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6y4fp5e3rx" w:id="0"/>
      <w:bookmarkEnd w:id="0"/>
      <w:r w:rsidDel="00000000" w:rsidR="00000000" w:rsidRPr="00000000">
        <w:rPr>
          <w:rtl w:val="0"/>
        </w:rPr>
        <w:t xml:space="preserve">Compte rendu TP 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nia2sum05qc" w:id="1"/>
      <w:bookmarkEnd w:id="1"/>
      <w:r w:rsidDel="00000000" w:rsidR="00000000" w:rsidRPr="00000000">
        <w:rPr>
          <w:rtl w:val="0"/>
        </w:rPr>
        <w:t xml:space="preserve">TP 1 - Analyse linguistique avec la plateforme Stanford CoreNLP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ueyi9diqldn" w:id="2"/>
      <w:bookmarkEnd w:id="2"/>
      <w:r w:rsidDel="00000000" w:rsidR="00000000" w:rsidRPr="00000000">
        <w:rPr>
          <w:rtl w:val="0"/>
        </w:rPr>
        <w:t xml:space="preserve">I. Installation et évaluation de l’outil de désambiguïsation morphosyntaxique de l’université de Stanford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l75kbsqdn34" w:id="3"/>
      <w:bookmarkEnd w:id="3"/>
      <w:r w:rsidDel="00000000" w:rsidR="00000000" w:rsidRPr="00000000">
        <w:rPr>
          <w:rtl w:val="0"/>
        </w:rPr>
        <w:t xml:space="preserve">2. Evaluation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Evaluation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152610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747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526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13854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38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f. A partir de l’analyse des deux documents et du résultat de l’évaluation, on peut faire les conclusions suivantes: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observe une différence d’étiquetage morpho-syntaxique de 8%, et donc le Stanford donne des résultats assez similaires à la référence.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Cette différence n’est pas forcément négative comme par exemple pour le cas “more” où on a un meilleur étiquetage pour le Stanford (ref:more_ADJ, Stanford: more_ADV).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observe presque aucune différence de segmentation entre les deux documents. Cela montre que l’outil de tokenisation de Stanford est très efficace.</w:t>
      </w:r>
    </w:p>
    <w:p w:rsidR="00000000" w:rsidDel="00000000" w:rsidP="00000000" w:rsidRDefault="00000000" w:rsidRPr="00000000" w14:paraId="00000013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3n7qy2d1yb7" w:id="4"/>
      <w:bookmarkEnd w:id="4"/>
      <w:r w:rsidDel="00000000" w:rsidR="00000000" w:rsidRPr="00000000">
        <w:rPr>
          <w:rtl w:val="0"/>
        </w:rPr>
        <w:t xml:space="preserve">II. Installation et utilisation de l’outil de reconnaissance d’entités nommées de l’université de Stanford </w:t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wtsmtv759wrm" w:id="5"/>
      <w:bookmarkEnd w:id="5"/>
      <w:r w:rsidDel="00000000" w:rsidR="00000000" w:rsidRPr="00000000">
        <w:rPr>
          <w:rtl w:val="0"/>
        </w:rPr>
        <w:t xml:space="preserve">2. Extraction d’entités nommées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kuxtml5kh5oy" w:id="6"/>
      <w:bookmarkEnd w:id="6"/>
      <w:r w:rsidDel="00000000" w:rsidR="00000000" w:rsidRPr="00000000">
        <w:rPr>
          <w:rtl w:val="0"/>
        </w:rPr>
        <w:t xml:space="preserve">TP 2 - Analyse linguistique avec le framework NLTK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eebf2vrpw2m2" w:id="7"/>
      <w:bookmarkEnd w:id="7"/>
      <w:r w:rsidDel="00000000" w:rsidR="00000000" w:rsidRPr="00000000">
        <w:rPr>
          <w:rtl w:val="0"/>
        </w:rPr>
        <w:t xml:space="preserve">1. Evaluation de l’analyse morpho-syntaxique de la plateforme 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2. 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45646" cy="13318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646" cy="1331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4354173" cy="114939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530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173" cy="1149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observe une légère différence dans l'étiquetage d’environ 1%, ce qui montre que l’outil nltk est assez fiable.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nltk en général, donne des résultats qui s'approchent beaucoup de la référence.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a56wdtpxe75a" w:id="8"/>
      <w:bookmarkEnd w:id="8"/>
      <w:r w:rsidDel="00000000" w:rsidR="00000000" w:rsidRPr="00000000">
        <w:rPr>
          <w:rtl w:val="0"/>
        </w:rPr>
        <w:t xml:space="preserve">3. Utilisation de la plateforme NLTK pour l’extraction d’entités nommées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Suite à l’extraction des entitées nommées nous obtenons des arbres comme le suivant (plus facilement lisible qu’un fichier txt) 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253412</wp:posOffset>
            </wp:positionV>
            <wp:extent cx="7143983" cy="9936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983" cy="99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