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663E" w14:textId="52FA52C7" w:rsidR="00F37459" w:rsidRDefault="008E14C1" w:rsidP="008E14C1">
      <w:pPr>
        <w:jc w:val="center"/>
        <w:rPr>
          <w:sz w:val="36"/>
          <w:szCs w:val="36"/>
          <w:u w:val="single"/>
        </w:rPr>
      </w:pPr>
      <w:r w:rsidRPr="008E14C1">
        <w:rPr>
          <w:sz w:val="36"/>
          <w:szCs w:val="36"/>
          <w:u w:val="single"/>
        </w:rPr>
        <w:t>Réflexion écriture fiche lecture</w:t>
      </w:r>
    </w:p>
    <w:p w14:paraId="684689C3" w14:textId="751FE623" w:rsidR="008E14C1" w:rsidRDefault="008E14C1" w:rsidP="008E14C1">
      <w:pPr>
        <w:jc w:val="center"/>
        <w:rPr>
          <w:sz w:val="36"/>
          <w:szCs w:val="36"/>
          <w:u w:val="single"/>
        </w:rPr>
      </w:pPr>
    </w:p>
    <w:p w14:paraId="41F82F77" w14:textId="77777777" w:rsidR="008E14C1" w:rsidRDefault="008E14C1" w:rsidP="008E14C1">
      <w:pPr>
        <w:pStyle w:val="Paragraphedeliste"/>
        <w:numPr>
          <w:ilvl w:val="0"/>
          <w:numId w:val="1"/>
        </w:numPr>
        <w:rPr>
          <w:color w:val="FF0000"/>
          <w:sz w:val="36"/>
          <w:szCs w:val="36"/>
        </w:rPr>
      </w:pPr>
      <w:r w:rsidRPr="00FF644C">
        <w:rPr>
          <w:color w:val="FF0000"/>
          <w:sz w:val="36"/>
          <w:szCs w:val="36"/>
        </w:rPr>
        <w:t>INTRO</w:t>
      </w:r>
      <w:r>
        <w:rPr>
          <w:color w:val="FF0000"/>
          <w:sz w:val="36"/>
          <w:szCs w:val="36"/>
        </w:rPr>
        <w:t>DUCTION</w:t>
      </w:r>
    </w:p>
    <w:p w14:paraId="6941B900" w14:textId="77777777" w:rsidR="008E14C1" w:rsidRDefault="008E14C1" w:rsidP="008E14C1">
      <w:pPr>
        <w:pStyle w:val="Paragraphedeliste"/>
        <w:ind w:left="1080"/>
      </w:pPr>
    </w:p>
    <w:p w14:paraId="19632DDD" w14:textId="77777777" w:rsidR="008E14C1" w:rsidRDefault="008E14C1" w:rsidP="008E14C1">
      <w:pPr>
        <w:pStyle w:val="Paragraphedeliste"/>
        <w:numPr>
          <w:ilvl w:val="0"/>
          <w:numId w:val="2"/>
        </w:numPr>
      </w:pPr>
      <w:r>
        <w:t>Auteur : Sidonie Naulin</w:t>
      </w:r>
    </w:p>
    <w:p w14:paraId="0CE32A3D" w14:textId="77777777" w:rsidR="008E14C1" w:rsidRDefault="008E14C1" w:rsidP="008E14C1">
      <w:pPr>
        <w:pStyle w:val="Paragraphedeliste"/>
        <w:numPr>
          <w:ilvl w:val="0"/>
          <w:numId w:val="2"/>
        </w:numPr>
      </w:pPr>
      <w:r>
        <w:rPr>
          <w:rFonts w:cstheme="minorHAnsi"/>
          <w:color w:val="3D3D3D"/>
        </w:rPr>
        <w:t>Q</w:t>
      </w:r>
      <w:r w:rsidRPr="001C538F">
        <w:rPr>
          <w:rFonts w:cstheme="minorHAnsi"/>
          <w:color w:val="3D3D3D"/>
        </w:rPr>
        <w:t>uel type d'ouvrage il s'agit (thèse, ouvrage collectif, scientifique, etc.)</w:t>
      </w:r>
      <w:r>
        <w:rPr>
          <w:rFonts w:cstheme="minorHAnsi"/>
          <w:color w:val="3D3D3D"/>
        </w:rPr>
        <w:t xml:space="preserve"> </w:t>
      </w:r>
      <w:r>
        <w:t xml:space="preserve">: </w:t>
      </w:r>
    </w:p>
    <w:p w14:paraId="01D82D6C" w14:textId="77777777" w:rsidR="008E14C1" w:rsidRDefault="008E14C1" w:rsidP="008E14C1">
      <w:pPr>
        <w:pStyle w:val="Paragraphedeliste"/>
        <w:numPr>
          <w:ilvl w:val="1"/>
          <w:numId w:val="2"/>
        </w:numPr>
      </w:pPr>
      <w:r>
        <w:t xml:space="preserve">article tiré du site cairn.info qui s’appelle « LA BLOGOSPHÈRE CULINAIRE, Cartographie d'un espace d'évaluation amateur » </w:t>
      </w:r>
    </w:p>
    <w:p w14:paraId="5D5331BE" w14:textId="77777777" w:rsidR="008E14C1" w:rsidRDefault="008E14C1" w:rsidP="008E14C1">
      <w:pPr>
        <w:pStyle w:val="Paragraphedeliste"/>
        <w:numPr>
          <w:ilvl w:val="1"/>
          <w:numId w:val="2"/>
        </w:numPr>
      </w:pPr>
      <w:r>
        <w:t xml:space="preserve">cairn.info  &gt; </w:t>
      </w:r>
      <w:r w:rsidRPr="00073C2F">
        <w:rPr>
          <w:rFonts w:cstheme="minorHAnsi"/>
        </w:rPr>
        <w:t xml:space="preserve">Revues &gt; Réseaux &gt; </w:t>
      </w:r>
      <w:r w:rsidRPr="00073C2F">
        <w:rPr>
          <w:rFonts w:cstheme="minorHAnsi"/>
          <w:color w:val="323232"/>
        </w:rPr>
        <w:t>Évaluations profanes : le jugement en ligne</w:t>
      </w:r>
      <w:r w:rsidRPr="00073C2F">
        <w:rPr>
          <w:rFonts w:cstheme="minorHAnsi"/>
        </w:rPr>
        <w:t xml:space="preserve"> &gt; </w:t>
      </w:r>
      <w:r w:rsidRPr="00073C2F">
        <w:rPr>
          <w:rFonts w:eastAsia="Times New Roman" w:cstheme="minorHAnsi"/>
          <w:color w:val="323232"/>
          <w:lang w:eastAsia="fr-FR"/>
        </w:rPr>
        <w:t>La blogosphère culinaire (page 31 à 62 de « </w:t>
      </w:r>
      <w:r w:rsidRPr="00073C2F">
        <w:rPr>
          <w:rFonts w:cstheme="minorHAnsi"/>
          <w:color w:val="323232"/>
        </w:rPr>
        <w:t>Évaluations profanes : le jugement en ligne »</w:t>
      </w:r>
      <w:r w:rsidRPr="00073C2F">
        <w:rPr>
          <w:rFonts w:eastAsia="Times New Roman" w:cstheme="minorHAnsi"/>
          <w:color w:val="323232"/>
          <w:lang w:eastAsia="fr-FR"/>
        </w:rPr>
        <w:t>)</w:t>
      </w:r>
    </w:p>
    <w:p w14:paraId="5BA837FE" w14:textId="77777777" w:rsidR="008E14C1" w:rsidRDefault="008E14C1" w:rsidP="008E14C1">
      <w:pPr>
        <w:pStyle w:val="Paragraphedeliste"/>
        <w:numPr>
          <w:ilvl w:val="0"/>
          <w:numId w:val="2"/>
        </w:numPr>
      </w:pPr>
      <w:r>
        <w:rPr>
          <w:rFonts w:cstheme="minorHAnsi"/>
          <w:color w:val="3D3D3D"/>
        </w:rPr>
        <w:t>Le pourquoi de l’importance de ce livre (</w:t>
      </w:r>
      <w:r w:rsidRPr="001C538F">
        <w:rPr>
          <w:rFonts w:cstheme="minorHAnsi"/>
          <w:color w:val="3D3D3D"/>
        </w:rPr>
        <w:t>livre qui a fait débat dans le milieu scientifique ?</w:t>
      </w:r>
      <w:r>
        <w:rPr>
          <w:rFonts w:cstheme="minorHAnsi"/>
          <w:color w:val="3D3D3D"/>
        </w:rPr>
        <w:t xml:space="preserve"> </w:t>
      </w:r>
      <w:r w:rsidRPr="001C538F">
        <w:rPr>
          <w:rFonts w:cstheme="minorHAnsi"/>
          <w:color w:val="3D3D3D"/>
        </w:rPr>
        <w:t>livre qui a été très médiatisé ?</w:t>
      </w:r>
      <w:r>
        <w:rPr>
          <w:rFonts w:cstheme="minorHAnsi"/>
          <w:color w:val="3D3D3D"/>
        </w:rPr>
        <w:t>) </w:t>
      </w:r>
      <w:r w:rsidRPr="00FF644C">
        <w:t>:</w:t>
      </w:r>
      <w:r>
        <w:t xml:space="preserve">  </w:t>
      </w:r>
      <w:r>
        <w:rPr>
          <w:rFonts w:ascii="Arial" w:hAnsi="Arial" w:cs="Arial"/>
          <w:b/>
          <w:bCs/>
          <w:color w:val="202122"/>
          <w:sz w:val="21"/>
          <w:szCs w:val="21"/>
          <w:shd w:val="clear" w:color="auto" w:fill="FFFFFF"/>
        </w:rPr>
        <w:t>Cairn.info</w:t>
      </w:r>
      <w:r>
        <w:rPr>
          <w:rFonts w:ascii="Arial" w:hAnsi="Arial" w:cs="Arial"/>
          <w:color w:val="202122"/>
          <w:sz w:val="21"/>
          <w:szCs w:val="21"/>
          <w:shd w:val="clear" w:color="auto" w:fill="FFFFFF"/>
        </w:rPr>
        <w:t> est un </w:t>
      </w:r>
      <w:hyperlink r:id="rId5" w:tooltip="Portail web" w:history="1">
        <w:r>
          <w:rPr>
            <w:rStyle w:val="Lienhypertexte"/>
            <w:rFonts w:ascii="Arial" w:hAnsi="Arial" w:cs="Arial"/>
            <w:color w:val="0B0080"/>
            <w:sz w:val="21"/>
            <w:szCs w:val="21"/>
            <w:u w:val="none"/>
            <w:shd w:val="clear" w:color="auto" w:fill="FFFFFF"/>
          </w:rPr>
          <w:t>portail web</w:t>
        </w:r>
      </w:hyperlink>
      <w:r>
        <w:rPr>
          <w:rFonts w:ascii="Arial" w:hAnsi="Arial" w:cs="Arial"/>
          <w:color w:val="202122"/>
          <w:sz w:val="21"/>
          <w:szCs w:val="21"/>
          <w:shd w:val="clear" w:color="auto" w:fill="FFFFFF"/>
        </w:rPr>
        <w:t> lancé en 2005 à l'initiative de quatre maisons d’édition - </w:t>
      </w:r>
      <w:hyperlink r:id="rId6" w:tooltip="Éditions Belin" w:history="1">
        <w:r>
          <w:rPr>
            <w:rStyle w:val="Lienhypertexte"/>
            <w:rFonts w:ascii="Arial" w:hAnsi="Arial" w:cs="Arial"/>
            <w:color w:val="0B0080"/>
            <w:sz w:val="21"/>
            <w:szCs w:val="21"/>
            <w:u w:val="none"/>
            <w:shd w:val="clear" w:color="auto" w:fill="FFFFFF"/>
          </w:rPr>
          <w:t>Belin</w:t>
        </w:r>
      </w:hyperlink>
      <w:r>
        <w:rPr>
          <w:rFonts w:ascii="Arial" w:hAnsi="Arial" w:cs="Arial"/>
          <w:color w:val="202122"/>
          <w:sz w:val="21"/>
          <w:szCs w:val="21"/>
          <w:shd w:val="clear" w:color="auto" w:fill="FFFFFF"/>
        </w:rPr>
        <w:t>, </w:t>
      </w:r>
      <w:hyperlink r:id="rId7" w:tooltip="De Boeck" w:history="1">
        <w:r>
          <w:rPr>
            <w:rStyle w:val="Lienhypertexte"/>
            <w:rFonts w:ascii="Arial" w:hAnsi="Arial" w:cs="Arial"/>
            <w:color w:val="0B0080"/>
            <w:sz w:val="21"/>
            <w:szCs w:val="21"/>
            <w:u w:val="none"/>
            <w:shd w:val="clear" w:color="auto" w:fill="FFFFFF"/>
          </w:rPr>
          <w:t>De Boeck</w:t>
        </w:r>
      </w:hyperlink>
      <w:r>
        <w:rPr>
          <w:rFonts w:ascii="Arial" w:hAnsi="Arial" w:cs="Arial"/>
          <w:color w:val="202122"/>
          <w:sz w:val="21"/>
          <w:szCs w:val="21"/>
          <w:shd w:val="clear" w:color="auto" w:fill="FFFFFF"/>
        </w:rPr>
        <w:t>, </w:t>
      </w:r>
      <w:hyperlink r:id="rId8" w:tooltip="La Découverte" w:history="1">
        <w:r>
          <w:rPr>
            <w:rStyle w:val="Lienhypertexte"/>
            <w:rFonts w:ascii="Arial" w:hAnsi="Arial" w:cs="Arial"/>
            <w:color w:val="0B0080"/>
            <w:sz w:val="21"/>
            <w:szCs w:val="21"/>
            <w:u w:val="none"/>
            <w:shd w:val="clear" w:color="auto" w:fill="FFFFFF"/>
          </w:rPr>
          <w:t>La Découverte</w:t>
        </w:r>
      </w:hyperlink>
      <w:r>
        <w:rPr>
          <w:rFonts w:ascii="Arial" w:hAnsi="Arial" w:cs="Arial"/>
          <w:color w:val="202122"/>
          <w:sz w:val="21"/>
          <w:szCs w:val="21"/>
          <w:shd w:val="clear" w:color="auto" w:fill="FFFFFF"/>
        </w:rPr>
        <w:t> et </w:t>
      </w:r>
      <w:hyperlink r:id="rId9" w:tooltip="Éditions Érès" w:history="1">
        <w:r>
          <w:rPr>
            <w:rStyle w:val="Lienhypertexte"/>
            <w:rFonts w:ascii="Arial" w:hAnsi="Arial" w:cs="Arial"/>
            <w:color w:val="0B0080"/>
            <w:sz w:val="21"/>
            <w:szCs w:val="21"/>
            <w:u w:val="none"/>
            <w:shd w:val="clear" w:color="auto" w:fill="FFFFFF"/>
          </w:rPr>
          <w:t>Érès</w:t>
        </w:r>
      </w:hyperlink>
      <w:r>
        <w:rPr>
          <w:rFonts w:ascii="Arial" w:hAnsi="Arial" w:cs="Arial"/>
          <w:color w:val="202122"/>
          <w:sz w:val="21"/>
          <w:szCs w:val="21"/>
          <w:shd w:val="clear" w:color="auto" w:fill="FFFFFF"/>
        </w:rPr>
        <w:t> - auquel la </w:t>
      </w:r>
      <w:hyperlink r:id="rId10" w:tooltip="Bibliothèque nationale de France" w:history="1">
        <w:r>
          <w:rPr>
            <w:rStyle w:val="Lienhypertexte"/>
            <w:rFonts w:ascii="Arial" w:hAnsi="Arial" w:cs="Arial"/>
            <w:color w:val="0B0080"/>
            <w:sz w:val="21"/>
            <w:szCs w:val="21"/>
            <w:u w:val="none"/>
            <w:shd w:val="clear" w:color="auto" w:fill="FFFFFF"/>
          </w:rPr>
          <w:t>Bibliothèque nationale de France</w:t>
        </w:r>
      </w:hyperlink>
      <w:r>
        <w:rPr>
          <w:rFonts w:ascii="Arial" w:hAnsi="Arial" w:cs="Arial"/>
          <w:color w:val="202122"/>
          <w:sz w:val="21"/>
          <w:szCs w:val="21"/>
          <w:shd w:val="clear" w:color="auto" w:fill="FFFFFF"/>
        </w:rPr>
        <w:t> s'est associée en 2006, puis les </w:t>
      </w:r>
      <w:hyperlink r:id="rId11" w:tooltip="Presses universitaires de France" w:history="1">
        <w:r>
          <w:rPr>
            <w:rStyle w:val="Lienhypertexte"/>
            <w:rFonts w:ascii="Arial" w:hAnsi="Arial" w:cs="Arial"/>
            <w:color w:val="0B0080"/>
            <w:sz w:val="21"/>
            <w:szCs w:val="21"/>
            <w:u w:val="none"/>
            <w:shd w:val="clear" w:color="auto" w:fill="FFFFFF"/>
          </w:rPr>
          <w:t>Presses universitaires de France</w:t>
        </w:r>
      </w:hyperlink>
      <w:r>
        <w:rPr>
          <w:rFonts w:ascii="Arial" w:hAnsi="Arial" w:cs="Arial"/>
          <w:color w:val="202122"/>
          <w:sz w:val="21"/>
          <w:szCs w:val="21"/>
          <w:shd w:val="clear" w:color="auto" w:fill="FFFFFF"/>
        </w:rPr>
        <w:t> (PUF) en 2014 puis le </w:t>
      </w:r>
      <w:hyperlink r:id="rId12" w:tooltip="Groupe Madrigall" w:history="1">
        <w:r>
          <w:rPr>
            <w:rStyle w:val="Lienhypertexte"/>
            <w:rFonts w:ascii="Arial" w:hAnsi="Arial" w:cs="Arial"/>
            <w:color w:val="0B0080"/>
            <w:sz w:val="21"/>
            <w:szCs w:val="21"/>
            <w:u w:val="none"/>
            <w:shd w:val="clear" w:color="auto" w:fill="FFFFFF"/>
          </w:rPr>
          <w:t xml:space="preserve">groupe </w:t>
        </w:r>
        <w:proofErr w:type="spellStart"/>
        <w:r>
          <w:rPr>
            <w:rStyle w:val="Lienhypertexte"/>
            <w:rFonts w:ascii="Arial" w:hAnsi="Arial" w:cs="Arial"/>
            <w:color w:val="0B0080"/>
            <w:sz w:val="21"/>
            <w:szCs w:val="21"/>
            <w:u w:val="none"/>
            <w:shd w:val="clear" w:color="auto" w:fill="FFFFFF"/>
          </w:rPr>
          <w:t>Madrigall</w:t>
        </w:r>
        <w:proofErr w:type="spellEnd"/>
      </w:hyperlink>
      <w:r>
        <w:rPr>
          <w:rFonts w:ascii="Arial" w:hAnsi="Arial" w:cs="Arial"/>
          <w:color w:val="202122"/>
          <w:sz w:val="21"/>
          <w:szCs w:val="21"/>
          <w:shd w:val="clear" w:color="auto" w:fill="FFFFFF"/>
        </w:rPr>
        <w:t> (</w:t>
      </w:r>
      <w:hyperlink r:id="rId13" w:history="1">
        <w:r>
          <w:rPr>
            <w:rStyle w:val="Lienhypertexte"/>
            <w:rFonts w:ascii="Arial" w:hAnsi="Arial" w:cs="Arial"/>
            <w:color w:val="0B0080"/>
            <w:sz w:val="21"/>
            <w:szCs w:val="21"/>
            <w:u w:val="none"/>
            <w:shd w:val="clear" w:color="auto" w:fill="FFFFFF"/>
          </w:rPr>
          <w:t>Gallimard</w:t>
        </w:r>
      </w:hyperlink>
      <w:r>
        <w:rPr>
          <w:rFonts w:ascii="Arial" w:hAnsi="Arial" w:cs="Arial"/>
          <w:color w:val="202122"/>
          <w:sz w:val="21"/>
          <w:szCs w:val="21"/>
          <w:shd w:val="clear" w:color="auto" w:fill="FFFFFF"/>
        </w:rPr>
        <w:t>, </w:t>
      </w:r>
      <w:hyperlink r:id="rId14" w:tooltip="Groupe Flammarion" w:history="1">
        <w:r>
          <w:rPr>
            <w:rStyle w:val="Lienhypertexte"/>
            <w:rFonts w:ascii="Arial" w:hAnsi="Arial" w:cs="Arial"/>
            <w:color w:val="0B0080"/>
            <w:sz w:val="21"/>
            <w:szCs w:val="21"/>
            <w:u w:val="none"/>
            <w:shd w:val="clear" w:color="auto" w:fill="FFFFFF"/>
          </w:rPr>
          <w:t>Flammarion</w:t>
        </w:r>
      </w:hyperlink>
      <w:r>
        <w:rPr>
          <w:rFonts w:ascii="Arial" w:hAnsi="Arial" w:cs="Arial"/>
          <w:color w:val="202122"/>
          <w:sz w:val="21"/>
          <w:szCs w:val="21"/>
          <w:shd w:val="clear" w:color="auto" w:fill="FFFFFF"/>
        </w:rPr>
        <w:t>) en 2020.</w:t>
      </w:r>
    </w:p>
    <w:p w14:paraId="5F78E051" w14:textId="77777777" w:rsidR="008E14C1" w:rsidRPr="00073C2F" w:rsidRDefault="008E14C1" w:rsidP="008E14C1">
      <w:pPr>
        <w:pStyle w:val="Paragraphedeliste"/>
        <w:numPr>
          <w:ilvl w:val="0"/>
          <w:numId w:val="2"/>
        </w:numPr>
      </w:pPr>
      <w:r w:rsidRPr="001C538F">
        <w:rPr>
          <w:rFonts w:cstheme="minorHAnsi"/>
          <w:color w:val="3D3D3D"/>
        </w:rPr>
        <w:t>traiter rapidement de la mise en page et du style esthétique de l'ouvrage</w:t>
      </w:r>
      <w:r>
        <w:rPr>
          <w:rFonts w:cstheme="minorHAnsi"/>
          <w:color w:val="3D3D3D"/>
        </w:rPr>
        <w:t xml:space="preserve"> : </w:t>
      </w:r>
    </w:p>
    <w:p w14:paraId="3B42637C" w14:textId="77777777" w:rsidR="008E14C1" w:rsidRPr="00073C2F" w:rsidRDefault="008E14C1" w:rsidP="008E14C1">
      <w:pPr>
        <w:pStyle w:val="Paragraphedeliste"/>
        <w:numPr>
          <w:ilvl w:val="1"/>
          <w:numId w:val="2"/>
        </w:numPr>
      </w:pPr>
      <w:r>
        <w:rPr>
          <w:rFonts w:cstheme="minorHAnsi"/>
          <w:color w:val="3D3D3D"/>
        </w:rPr>
        <w:t>Plutôt compréhensible au premier abord (quelques mots un peu techniques)</w:t>
      </w:r>
    </w:p>
    <w:p w14:paraId="7CEF60A3" w14:textId="77777777" w:rsidR="008E14C1" w:rsidRPr="00073C2F" w:rsidRDefault="008E14C1" w:rsidP="008E14C1">
      <w:pPr>
        <w:pStyle w:val="Paragraphedeliste"/>
        <w:numPr>
          <w:ilvl w:val="1"/>
          <w:numId w:val="2"/>
        </w:numPr>
      </w:pPr>
      <w:r>
        <w:rPr>
          <w:rFonts w:cstheme="minorHAnsi"/>
          <w:color w:val="3D3D3D"/>
        </w:rPr>
        <w:t xml:space="preserve">Bien structuré par catégories : </w:t>
      </w:r>
    </w:p>
    <w:p w14:paraId="065B5031" w14:textId="77777777" w:rsidR="008E14C1" w:rsidRDefault="008E14C1" w:rsidP="008E14C1">
      <w:pPr>
        <w:pStyle w:val="Paragraphedeliste"/>
        <w:numPr>
          <w:ilvl w:val="2"/>
          <w:numId w:val="2"/>
        </w:numPr>
      </w:pPr>
      <w:r>
        <w:t>BLOGS, ÉVALUATION ET MARCHANDISATION DE L’ÉVALUATION</w:t>
      </w:r>
    </w:p>
    <w:p w14:paraId="78202EC1" w14:textId="77777777" w:rsidR="008E14C1" w:rsidRDefault="008E14C1" w:rsidP="008E14C1">
      <w:pPr>
        <w:pStyle w:val="Paragraphedeliste"/>
        <w:numPr>
          <w:ilvl w:val="3"/>
          <w:numId w:val="2"/>
        </w:numPr>
        <w:rPr>
          <w:b/>
          <w:bCs/>
        </w:rPr>
      </w:pPr>
      <w:r w:rsidRPr="00FF644C">
        <w:rPr>
          <w:b/>
          <w:bCs/>
        </w:rPr>
        <w:t>La place de l’évaluation dans les blogs culinaires</w:t>
      </w:r>
    </w:p>
    <w:p w14:paraId="05AEA2D8" w14:textId="77777777" w:rsidR="008E14C1" w:rsidRDefault="008E14C1" w:rsidP="008E14C1">
      <w:pPr>
        <w:pStyle w:val="Paragraphedeliste"/>
        <w:numPr>
          <w:ilvl w:val="3"/>
          <w:numId w:val="2"/>
        </w:numPr>
        <w:rPr>
          <w:b/>
          <w:bCs/>
        </w:rPr>
      </w:pPr>
      <w:r w:rsidRPr="00FF644C">
        <w:rPr>
          <w:b/>
          <w:bCs/>
        </w:rPr>
        <w:t>L’intérêt des marques pour l’évaluation amateur</w:t>
      </w:r>
    </w:p>
    <w:p w14:paraId="17A9EE58" w14:textId="77777777" w:rsidR="008E14C1" w:rsidRDefault="008E14C1" w:rsidP="008E14C1">
      <w:pPr>
        <w:pStyle w:val="Paragraphedeliste"/>
        <w:numPr>
          <w:ilvl w:val="3"/>
          <w:numId w:val="2"/>
        </w:numPr>
        <w:rPr>
          <w:b/>
          <w:bCs/>
        </w:rPr>
      </w:pPr>
      <w:r w:rsidRPr="00FF644C">
        <w:rPr>
          <w:b/>
          <w:bCs/>
        </w:rPr>
        <w:t>Les différentes formes d’interactions entre marques et blogueurs</w:t>
      </w:r>
    </w:p>
    <w:p w14:paraId="6D297072" w14:textId="77777777" w:rsidR="008E14C1" w:rsidRPr="00FF644C" w:rsidRDefault="008E14C1" w:rsidP="008E14C1">
      <w:pPr>
        <w:pStyle w:val="Paragraphedeliste"/>
        <w:numPr>
          <w:ilvl w:val="3"/>
          <w:numId w:val="2"/>
        </w:numPr>
        <w:rPr>
          <w:b/>
          <w:bCs/>
        </w:rPr>
      </w:pPr>
      <w:r w:rsidRPr="00FF644C">
        <w:rPr>
          <w:b/>
          <w:bCs/>
        </w:rPr>
        <w:t>Motivations des blogueurs et conséquences sur l’émission de leur jugement</w:t>
      </w:r>
    </w:p>
    <w:p w14:paraId="69CBB461" w14:textId="77777777" w:rsidR="008E14C1" w:rsidRDefault="008E14C1" w:rsidP="008E14C1">
      <w:pPr>
        <w:pStyle w:val="Paragraphedeliste"/>
        <w:numPr>
          <w:ilvl w:val="2"/>
          <w:numId w:val="2"/>
        </w:numPr>
      </w:pPr>
      <w:r>
        <w:t>DISTRIBUTION DES PRATIQUES ET TYPOLOGIE DES BLOGUEURS</w:t>
      </w:r>
    </w:p>
    <w:p w14:paraId="46D3EDE4" w14:textId="77777777" w:rsidR="008E14C1" w:rsidRDefault="008E14C1" w:rsidP="008E14C1">
      <w:pPr>
        <w:pStyle w:val="Paragraphedeliste"/>
        <w:numPr>
          <w:ilvl w:val="3"/>
          <w:numId w:val="2"/>
        </w:numPr>
        <w:rPr>
          <w:b/>
          <w:bCs/>
        </w:rPr>
      </w:pPr>
      <w:r w:rsidRPr="00FF644C">
        <w:rPr>
          <w:b/>
          <w:bCs/>
        </w:rPr>
        <w:t>L’audience comme principe de hiérarchisation</w:t>
      </w:r>
    </w:p>
    <w:p w14:paraId="4B5A18F2" w14:textId="77777777" w:rsidR="008E14C1" w:rsidRDefault="008E14C1" w:rsidP="008E14C1">
      <w:pPr>
        <w:pStyle w:val="Paragraphedeliste"/>
        <w:numPr>
          <w:ilvl w:val="3"/>
          <w:numId w:val="2"/>
        </w:numPr>
        <w:rPr>
          <w:b/>
          <w:bCs/>
        </w:rPr>
      </w:pPr>
      <w:r w:rsidRPr="00FF644C">
        <w:rPr>
          <w:b/>
          <w:bCs/>
        </w:rPr>
        <w:t>Un espace structuré par l’intensité de la pratique et l’orientation intra- ou extrablogosphérique du succès des blogueurs</w:t>
      </w:r>
    </w:p>
    <w:p w14:paraId="5A7BE2F0" w14:textId="77777777" w:rsidR="008E14C1" w:rsidRDefault="008E14C1" w:rsidP="008E14C1">
      <w:pPr>
        <w:pStyle w:val="Paragraphedeliste"/>
        <w:numPr>
          <w:ilvl w:val="3"/>
          <w:numId w:val="2"/>
        </w:numPr>
        <w:rPr>
          <w:b/>
          <w:bCs/>
        </w:rPr>
      </w:pPr>
      <w:r w:rsidRPr="00FF644C">
        <w:rPr>
          <w:b/>
          <w:bCs/>
        </w:rPr>
        <w:t>Quatre profils de blogueurs culinaires</w:t>
      </w:r>
    </w:p>
    <w:p w14:paraId="5DBE0806" w14:textId="77777777" w:rsidR="008E14C1" w:rsidRPr="00073C2F" w:rsidRDefault="008E14C1" w:rsidP="008E14C1">
      <w:pPr>
        <w:pStyle w:val="Paragraphedeliste"/>
        <w:numPr>
          <w:ilvl w:val="1"/>
          <w:numId w:val="2"/>
        </w:numPr>
      </w:pPr>
      <w:r>
        <w:rPr>
          <w:rFonts w:cstheme="minorHAnsi"/>
          <w:color w:val="3D3D3D"/>
        </w:rPr>
        <w:t>Beaucoup de référence à d’autres auteurs en fin d’article (annexes)</w:t>
      </w:r>
    </w:p>
    <w:p w14:paraId="5E46AB2A" w14:textId="77777777" w:rsidR="008E14C1" w:rsidRPr="00073C2F" w:rsidRDefault="008E14C1" w:rsidP="008E14C1">
      <w:pPr>
        <w:pStyle w:val="Paragraphedeliste"/>
        <w:numPr>
          <w:ilvl w:val="1"/>
          <w:numId w:val="2"/>
        </w:numPr>
      </w:pPr>
      <w:r>
        <w:rPr>
          <w:rFonts w:cstheme="minorHAnsi"/>
          <w:color w:val="3D3D3D"/>
        </w:rPr>
        <w:t>Beaucoup de graphes, tableaux et schémas expliquant les propos de l’article (souvent en suivant le propos concerné)</w:t>
      </w:r>
    </w:p>
    <w:p w14:paraId="5821540E" w14:textId="77777777" w:rsidR="008E14C1" w:rsidRPr="00073C2F" w:rsidRDefault="008E14C1" w:rsidP="008E14C1">
      <w:pPr>
        <w:pStyle w:val="Paragraphedeliste"/>
        <w:numPr>
          <w:ilvl w:val="1"/>
          <w:numId w:val="2"/>
        </w:numPr>
      </w:pPr>
      <w:r>
        <w:rPr>
          <w:rFonts w:cstheme="minorHAnsi"/>
          <w:color w:val="3D3D3D"/>
        </w:rPr>
        <w:t xml:space="preserve">Citations exprimant les propos qui sont incorporées aux propos de l’article (citation de blogueuses) </w:t>
      </w:r>
    </w:p>
    <w:p w14:paraId="11A28936" w14:textId="77777777" w:rsidR="008E14C1" w:rsidRPr="00073C2F" w:rsidRDefault="008E14C1" w:rsidP="008E14C1">
      <w:pPr>
        <w:ind w:left="3600"/>
        <w:rPr>
          <w:b/>
          <w:bCs/>
        </w:rPr>
      </w:pPr>
    </w:p>
    <w:p w14:paraId="23769437" w14:textId="77777777" w:rsidR="008E14C1" w:rsidRPr="00FF644C" w:rsidRDefault="008E14C1" w:rsidP="008E14C1">
      <w:pPr>
        <w:rPr>
          <w:color w:val="FF0000"/>
          <w:sz w:val="36"/>
          <w:szCs w:val="36"/>
        </w:rPr>
      </w:pPr>
    </w:p>
    <w:p w14:paraId="1720D348" w14:textId="77777777" w:rsidR="008E14C1" w:rsidRDefault="008E14C1" w:rsidP="008E14C1">
      <w:pPr>
        <w:pStyle w:val="Paragraphedeliste"/>
        <w:numPr>
          <w:ilvl w:val="0"/>
          <w:numId w:val="1"/>
        </w:numPr>
        <w:rPr>
          <w:color w:val="FF0000"/>
          <w:sz w:val="36"/>
          <w:szCs w:val="36"/>
        </w:rPr>
      </w:pPr>
      <w:r>
        <w:rPr>
          <w:color w:val="FF0000"/>
          <w:sz w:val="36"/>
          <w:szCs w:val="36"/>
        </w:rPr>
        <w:lastRenderedPageBreak/>
        <w:t>DEVELOPPEMENT</w:t>
      </w:r>
    </w:p>
    <w:p w14:paraId="615627B4" w14:textId="77777777" w:rsidR="008E14C1" w:rsidRPr="00FF644C" w:rsidRDefault="008E14C1" w:rsidP="008E14C1">
      <w:pPr>
        <w:pStyle w:val="Paragraphedeliste"/>
        <w:numPr>
          <w:ilvl w:val="0"/>
          <w:numId w:val="3"/>
        </w:numPr>
        <w:jc w:val="both"/>
        <w:rPr>
          <w:rFonts w:cstheme="minorHAnsi"/>
        </w:rPr>
      </w:pPr>
      <w:r w:rsidRPr="00FF644C">
        <w:rPr>
          <w:rFonts w:cstheme="minorHAnsi"/>
        </w:rPr>
        <w:t>Thème abordés / Mots clés / concepts importants / Citations phares</w:t>
      </w:r>
    </w:p>
    <w:p w14:paraId="413E0739" w14:textId="77777777" w:rsidR="008E14C1" w:rsidRDefault="008E14C1" w:rsidP="008E14C1">
      <w:pPr>
        <w:pStyle w:val="Paragraphedeliste"/>
        <w:numPr>
          <w:ilvl w:val="0"/>
          <w:numId w:val="3"/>
        </w:numPr>
        <w:jc w:val="both"/>
      </w:pPr>
      <w:r>
        <w:t>Elaborer le plan logique du texte en fonction du développement, de l’argumentation et des idées fortes du texte.</w:t>
      </w:r>
    </w:p>
    <w:p w14:paraId="03A7DF97" w14:textId="77777777" w:rsidR="008E14C1" w:rsidRDefault="008E14C1" w:rsidP="008E14C1">
      <w:pPr>
        <w:pStyle w:val="Paragraphedeliste"/>
        <w:numPr>
          <w:ilvl w:val="0"/>
          <w:numId w:val="3"/>
        </w:numPr>
        <w:jc w:val="both"/>
      </w:pPr>
      <w:r>
        <w:t xml:space="preserve">Pour cela, vous pouvez, en suivant la progression du livre, opérer des regroupements de chapitres et pour chaque grande partie identifiée, dire ce que l’auteur traite, ce qu’il veut démontrer, comment il le démontre (quels sont ses arguments, ses exemples, etc.) quelle est sa conclusion. </w:t>
      </w:r>
    </w:p>
    <w:p w14:paraId="5A395B14" w14:textId="77777777" w:rsidR="008E14C1" w:rsidRPr="00FF644C" w:rsidRDefault="008E14C1" w:rsidP="008E14C1">
      <w:pPr>
        <w:pStyle w:val="Paragraphedeliste"/>
        <w:numPr>
          <w:ilvl w:val="0"/>
          <w:numId w:val="3"/>
        </w:numPr>
        <w:jc w:val="both"/>
        <w:rPr>
          <w:rFonts w:cstheme="minorHAnsi"/>
        </w:rPr>
      </w:pPr>
      <w:r>
        <w:t>Le développement de la fiche doit être structuré et argumenté, s’appuyant sur des exemples tirés de l’ouvrage. En aucun cas, il ne pourrait se contenter d’être une succession de citations du livre collées les unes aux autres.</w:t>
      </w:r>
    </w:p>
    <w:p w14:paraId="6567E315" w14:textId="77777777" w:rsidR="008E14C1" w:rsidRDefault="008E14C1" w:rsidP="008E14C1">
      <w:pPr>
        <w:pStyle w:val="Paragraphedeliste"/>
        <w:ind w:left="1080"/>
        <w:rPr>
          <w:color w:val="FF0000"/>
          <w:sz w:val="36"/>
          <w:szCs w:val="36"/>
        </w:rPr>
      </w:pPr>
    </w:p>
    <w:p w14:paraId="5D7F8E25" w14:textId="77777777" w:rsidR="008E14C1" w:rsidRDefault="008E14C1" w:rsidP="008E14C1">
      <w:pPr>
        <w:pStyle w:val="Paragraphedeliste"/>
        <w:numPr>
          <w:ilvl w:val="0"/>
          <w:numId w:val="1"/>
        </w:numPr>
        <w:rPr>
          <w:color w:val="FF0000"/>
          <w:sz w:val="36"/>
          <w:szCs w:val="36"/>
        </w:rPr>
      </w:pPr>
      <w:r>
        <w:rPr>
          <w:color w:val="FF0000"/>
          <w:sz w:val="36"/>
          <w:szCs w:val="36"/>
        </w:rPr>
        <w:t>CONCLUSION</w:t>
      </w:r>
    </w:p>
    <w:p w14:paraId="017D0267" w14:textId="77777777" w:rsidR="008E14C1" w:rsidRDefault="008E14C1" w:rsidP="008E14C1">
      <w:pPr>
        <w:pStyle w:val="Paragraphedeliste"/>
        <w:numPr>
          <w:ilvl w:val="0"/>
          <w:numId w:val="4"/>
        </w:numPr>
      </w:pPr>
      <w:r>
        <w:t xml:space="preserve">Bilan (remettre les arguments d’avant + reprendre éléments de la conclusion de l’article) : </w:t>
      </w:r>
    </w:p>
    <w:p w14:paraId="33D1DE8B" w14:textId="77777777" w:rsidR="008E14C1" w:rsidRDefault="008E14C1" w:rsidP="008E14C1">
      <w:pPr>
        <w:pStyle w:val="Paragraphedeliste"/>
        <w:numPr>
          <w:ilvl w:val="0"/>
          <w:numId w:val="4"/>
        </w:numPr>
      </w:pPr>
      <w:r>
        <w:t>Ouverture : Parler du rapport avec les vidéos YouTube et l’influence des consommateurs de vidéos YouTube</w:t>
      </w:r>
    </w:p>
    <w:p w14:paraId="63CCC6EC" w14:textId="77777777" w:rsidR="008E14C1" w:rsidRPr="008E14C1" w:rsidRDefault="008E14C1" w:rsidP="008E14C1">
      <w:pPr>
        <w:rPr>
          <w:sz w:val="36"/>
          <w:szCs w:val="36"/>
          <w:u w:val="single"/>
        </w:rPr>
      </w:pPr>
    </w:p>
    <w:sectPr w:rsidR="008E14C1" w:rsidRPr="008E1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1BC"/>
    <w:multiLevelType w:val="hybridMultilevel"/>
    <w:tmpl w:val="D49261A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FA2775C"/>
    <w:multiLevelType w:val="hybridMultilevel"/>
    <w:tmpl w:val="A5009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223C0E2C"/>
    <w:multiLevelType w:val="hybridMultilevel"/>
    <w:tmpl w:val="2730DF3E"/>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622A3478"/>
    <w:multiLevelType w:val="hybridMultilevel"/>
    <w:tmpl w:val="685E4BBC"/>
    <w:lvl w:ilvl="0" w:tplc="85C8AA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C1"/>
    <w:rsid w:val="008E14C1"/>
    <w:rsid w:val="00F37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5DA2"/>
  <w15:chartTrackingRefBased/>
  <w15:docId w15:val="{199EC908-5755-4081-85E1-A0D229A8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14C1"/>
    <w:pPr>
      <w:ind w:left="720"/>
      <w:contextualSpacing/>
    </w:pPr>
  </w:style>
  <w:style w:type="character" w:styleId="Lienhypertexte">
    <w:name w:val="Hyperlink"/>
    <w:basedOn w:val="Policepardfaut"/>
    <w:uiPriority w:val="99"/>
    <w:semiHidden/>
    <w:unhideWhenUsed/>
    <w:rsid w:val="008E14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a_D%C3%A9couverte" TargetMode="External"/><Relationship Id="rId13" Type="http://schemas.openxmlformats.org/officeDocument/2006/relationships/hyperlink" Target="https://fr.wikipedia.org/wiki/%C3%89ditions_Gallimard" TargetMode="External"/><Relationship Id="rId3" Type="http://schemas.openxmlformats.org/officeDocument/2006/relationships/settings" Target="settings.xml"/><Relationship Id="rId7" Type="http://schemas.openxmlformats.org/officeDocument/2006/relationships/hyperlink" Target="https://fr.wikipedia.org/wiki/De_Boeck" TargetMode="External"/><Relationship Id="rId12" Type="http://schemas.openxmlformats.org/officeDocument/2006/relationships/hyperlink" Target="https://fr.wikipedia.org/wiki/Groupe_Madriga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wikipedia.org/wiki/%C3%89ditions_Belin" TargetMode="External"/><Relationship Id="rId11" Type="http://schemas.openxmlformats.org/officeDocument/2006/relationships/hyperlink" Target="https://fr.wikipedia.org/wiki/Presses_universitaires_de_France" TargetMode="External"/><Relationship Id="rId5" Type="http://schemas.openxmlformats.org/officeDocument/2006/relationships/hyperlink" Target="https://fr.wikipedia.org/wiki/Portail_web" TargetMode="External"/><Relationship Id="rId15" Type="http://schemas.openxmlformats.org/officeDocument/2006/relationships/fontTable" Target="fontTable.xml"/><Relationship Id="rId10" Type="http://schemas.openxmlformats.org/officeDocument/2006/relationships/hyperlink" Target="https://fr.wikipedia.org/wiki/Biblioth%C3%A8que_nationale_de_France" TargetMode="External"/><Relationship Id="rId4" Type="http://schemas.openxmlformats.org/officeDocument/2006/relationships/webSettings" Target="webSettings.xml"/><Relationship Id="rId9" Type="http://schemas.openxmlformats.org/officeDocument/2006/relationships/hyperlink" Target="https://fr.wikipedia.org/wiki/%C3%89ditions_%C3%89r%C3%A8s" TargetMode="External"/><Relationship Id="rId14" Type="http://schemas.openxmlformats.org/officeDocument/2006/relationships/hyperlink" Target="https://fr.wikipedia.org/wiki/Groupe_Flammar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3152</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1</cp:revision>
  <dcterms:created xsi:type="dcterms:W3CDTF">2020-11-14T15:47:00Z</dcterms:created>
  <dcterms:modified xsi:type="dcterms:W3CDTF">2020-11-14T15:48:00Z</dcterms:modified>
</cp:coreProperties>
</file>