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B22FB" w14:textId="77777777" w:rsidR="001421CE" w:rsidRDefault="001421CE"/>
    <w:p w14:paraId="3B09AB41" w14:textId="7CFB9D59" w:rsidR="000D3032" w:rsidRDefault="000D3032">
      <w:pPr>
        <w:rPr>
          <w:rFonts w:ascii="Calibri" w:hAnsi="Calibri" w:cs="Calibri"/>
          <w:b/>
          <w:color w:val="64381F"/>
          <w:sz w:val="44"/>
        </w:rPr>
      </w:pPr>
      <w:r>
        <w:rPr>
          <w:rFonts w:ascii="Calibri" w:hAnsi="Calibri" w:cs="Calibri"/>
          <w:b/>
          <w:color w:val="64381F"/>
          <w:sz w:val="44"/>
        </w:rPr>
        <w:t>Architecture de partage de données inter-domaines sous Microsoft Fabric</w:t>
      </w:r>
    </w:p>
    <w:p w14:paraId="6391E0A7" w14:textId="77777777" w:rsidR="000D3032" w:rsidRDefault="000D3032">
      <w:pPr>
        <w:rPr>
          <w:rFonts w:ascii="Calibri" w:hAnsi="Calibri" w:cs="Calibri"/>
          <w:color w:val="000000"/>
          <w:sz w:val="12"/>
        </w:rPr>
      </w:pPr>
    </w:p>
    <w:p w14:paraId="1A8984AE" w14:textId="77777777" w:rsidR="000D3032" w:rsidRDefault="000D3032">
      <w:pPr>
        <w:rPr>
          <w:rFonts w:ascii="Calibri" w:hAnsi="Calibri" w:cs="Calibri"/>
          <w:color w:val="000000"/>
          <w:sz w:val="12"/>
        </w:rPr>
      </w:pPr>
    </w:p>
    <w:p w14:paraId="15665D13" w14:textId="130D547B" w:rsidR="000D3032" w:rsidRDefault="000D3032">
      <w:pPr>
        <w:rPr>
          <w:rFonts w:ascii="Calibri" w:hAnsi="Calibri" w:cs="Calibri"/>
          <w:b/>
          <w:color w:val="B6752E"/>
          <w:sz w:val="30"/>
        </w:rPr>
      </w:pPr>
      <w:r>
        <w:rPr>
          <w:rFonts w:ascii="Calibri" w:hAnsi="Calibri" w:cs="Calibri"/>
          <w:b/>
          <w:color w:val="B6752E"/>
          <w:sz w:val="30"/>
        </w:rPr>
        <w:t>Cloisonnement Banque de Détail × Assurance — Proof of Concept</w:t>
      </w:r>
    </w:p>
    <w:p w14:paraId="10673C59" w14:textId="77777777" w:rsidR="000D3032" w:rsidRDefault="000D3032">
      <w:pPr>
        <w:rPr>
          <w:rFonts w:ascii="Calibri" w:hAnsi="Calibri" w:cs="Calibri"/>
          <w:color w:val="000000"/>
          <w:sz w:val="30"/>
        </w:rPr>
      </w:pPr>
    </w:p>
    <w:p w14:paraId="30A6FCF7" w14:textId="1143551E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Client : Crédit Agricole — Direction Innovation &amp; Gouvernance des données</w:t>
      </w:r>
    </w:p>
    <w:p w14:paraId="2D8A4E5B" w14:textId="2DECD419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Date : Juin 2026</w:t>
      </w:r>
    </w:p>
    <w:p w14:paraId="787A8FB5" w14:textId="10E80D6A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Statut : Proof of Concept déployé sur tenant Microsoft Fabric</w:t>
      </w:r>
    </w:p>
    <w:p w14:paraId="7F7D9432" w14:textId="77777777" w:rsidR="000D3032" w:rsidRDefault="000D3032">
      <w:pPr>
        <w:rPr>
          <w:rFonts w:ascii="Calibri" w:hAnsi="Calibri" w:cs="Calibri"/>
          <w:color w:val="000000"/>
          <w:sz w:val="22"/>
        </w:rPr>
      </w:pPr>
    </w:p>
    <w:p w14:paraId="375A6AB1" w14:textId="22BBCDFC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________________________________________________________________________________</w:t>
      </w:r>
    </w:p>
    <w:p w14:paraId="5E2C6A8D" w14:textId="77777777" w:rsidR="000D3032" w:rsidRDefault="000D3032">
      <w:pPr>
        <w:rPr>
          <w:rFonts w:ascii="Calibri" w:hAnsi="Calibri" w:cs="Calibri"/>
          <w:color w:val="000000"/>
          <w:sz w:val="22"/>
        </w:rPr>
      </w:pPr>
    </w:p>
    <w:p w14:paraId="53321BD4" w14:textId="77777777" w:rsidR="000D3032" w:rsidRDefault="000D3032">
      <w:pPr>
        <w:rPr>
          <w:rFonts w:ascii="Calibri" w:hAnsi="Calibri" w:cs="Calibri"/>
          <w:color w:val="000000"/>
          <w:sz w:val="22"/>
        </w:rPr>
      </w:pPr>
    </w:p>
    <w:p w14:paraId="0FCF7437" w14:textId="24AA220C" w:rsidR="000D3032" w:rsidRDefault="000D3032">
      <w:pPr>
        <w:rPr>
          <w:rFonts w:ascii="Calibri" w:hAnsi="Calibri" w:cs="Calibri"/>
          <w:b/>
          <w:color w:val="B6752E"/>
          <w:sz w:val="30"/>
        </w:rPr>
      </w:pPr>
      <w:r>
        <w:rPr>
          <w:rFonts w:ascii="Calibri" w:hAnsi="Calibri" w:cs="Calibri"/>
          <w:b/>
          <w:color w:val="B6752E"/>
          <w:sz w:val="30"/>
        </w:rPr>
        <w:t>1. Contexte et enjeux</w:t>
      </w:r>
    </w:p>
    <w:p w14:paraId="5AB7445E" w14:textId="77777777" w:rsidR="000D3032" w:rsidRDefault="000D3032">
      <w:pPr>
        <w:rPr>
          <w:rFonts w:ascii="Calibri" w:hAnsi="Calibri" w:cs="Calibri"/>
          <w:color w:val="000000"/>
          <w:sz w:val="30"/>
        </w:rPr>
      </w:pPr>
    </w:p>
    <w:p w14:paraId="387F3C36" w14:textId="19454A9F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Le groupe Crédit Agricole regroupe des entités métier aux périmètres distincts : la banque de détail (LCL / CADIF) et l'assurance (Pacifica). Ces deux domaines partagent une base commune de clients, mais leurs données sont sensibles et soumises à des règles de confidentialité strictes :</w:t>
      </w:r>
    </w:p>
    <w:p w14:paraId="1CC0C90B" w14:textId="77777777" w:rsidR="000D3032" w:rsidRDefault="000D3032">
      <w:pPr>
        <w:rPr>
          <w:rFonts w:ascii="Calibri" w:hAnsi="Calibri" w:cs="Calibri"/>
          <w:color w:val="000000"/>
          <w:sz w:val="22"/>
        </w:rPr>
      </w:pPr>
    </w:p>
    <w:p w14:paraId="72EE8FDB" w14:textId="4511A990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Un conseiller bancaire ne doit pas avoir accès au détail des contrats d'assurance de clients qui ne sont pas les siens</w:t>
      </w:r>
    </w:p>
    <w:p w14:paraId="6DB0DAAB" w14:textId="34C1B1CE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Un gestionnaire assurance ne doit pas avoir accès aux données financières bancaires (soldes, mouvements)</w:t>
      </w:r>
    </w:p>
    <w:p w14:paraId="71DA525D" w14:textId="5F96A11C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Pourtant, une vue consolidée du client est nécessaire pour certains cas d'usage métier (rebond commercial, prévention des risques)</w:t>
      </w:r>
    </w:p>
    <w:p w14:paraId="5BF0E9B0" w14:textId="77777777" w:rsidR="000D3032" w:rsidRDefault="000D3032">
      <w:pPr>
        <w:rPr>
          <w:rFonts w:ascii="Calibri" w:hAnsi="Calibri" w:cs="Calibri"/>
          <w:color w:val="000000"/>
          <w:sz w:val="22"/>
        </w:rPr>
      </w:pPr>
    </w:p>
    <w:p w14:paraId="300BF2F2" w14:textId="557402A8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La question posée est donc :</w:t>
      </w:r>
    </w:p>
    <w:p w14:paraId="5AF2FFD8" w14:textId="77777777" w:rsidR="000D3032" w:rsidRDefault="000D3032">
      <w:pPr>
        <w:rPr>
          <w:rFonts w:ascii="Calibri" w:hAnsi="Calibri" w:cs="Calibri"/>
          <w:color w:val="000000"/>
          <w:sz w:val="22"/>
        </w:rPr>
      </w:pPr>
    </w:p>
    <w:p w14:paraId="4114152C" w14:textId="3A7D190B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&gt; *Comment permettre à des données d'un domaine d'alimenter un modèle analytique d'un autre domaine, sans que les utilisateurs du domaine cible n'aient accès au domaine source ?*</w:t>
      </w:r>
    </w:p>
    <w:p w14:paraId="042F7079" w14:textId="77777777" w:rsidR="000D3032" w:rsidRDefault="000D3032">
      <w:pPr>
        <w:rPr>
          <w:rFonts w:ascii="Calibri" w:hAnsi="Calibri" w:cs="Calibri"/>
          <w:color w:val="000000"/>
          <w:sz w:val="22"/>
        </w:rPr>
      </w:pPr>
    </w:p>
    <w:p w14:paraId="65096596" w14:textId="348B0795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________________________________________________________________________________</w:t>
      </w:r>
    </w:p>
    <w:p w14:paraId="4996E655" w14:textId="77777777" w:rsidR="000D3032" w:rsidRDefault="000D3032">
      <w:pPr>
        <w:rPr>
          <w:rFonts w:ascii="Calibri" w:hAnsi="Calibri" w:cs="Calibri"/>
          <w:color w:val="000000"/>
          <w:sz w:val="22"/>
        </w:rPr>
      </w:pPr>
    </w:p>
    <w:p w14:paraId="08F2192A" w14:textId="77777777" w:rsidR="000D3032" w:rsidRDefault="000D3032">
      <w:pPr>
        <w:rPr>
          <w:rFonts w:ascii="Calibri" w:hAnsi="Calibri" w:cs="Calibri"/>
          <w:color w:val="000000"/>
          <w:sz w:val="22"/>
        </w:rPr>
      </w:pPr>
    </w:p>
    <w:p w14:paraId="2F53222E" w14:textId="23531C13" w:rsidR="000D3032" w:rsidRDefault="000D3032">
      <w:pPr>
        <w:rPr>
          <w:rFonts w:ascii="Calibri" w:hAnsi="Calibri" w:cs="Calibri"/>
          <w:b/>
          <w:color w:val="B6752E"/>
          <w:sz w:val="30"/>
        </w:rPr>
      </w:pPr>
      <w:r>
        <w:rPr>
          <w:rFonts w:ascii="Calibri" w:hAnsi="Calibri" w:cs="Calibri"/>
          <w:b/>
          <w:color w:val="B6752E"/>
          <w:sz w:val="30"/>
        </w:rPr>
        <w:t>2. Architecture déployée</w:t>
      </w:r>
    </w:p>
    <w:p w14:paraId="3C535D71" w14:textId="77777777" w:rsidR="000D3032" w:rsidRDefault="000D3032">
      <w:pPr>
        <w:rPr>
          <w:rFonts w:ascii="Calibri" w:hAnsi="Calibri" w:cs="Calibri"/>
          <w:color w:val="000000"/>
          <w:sz w:val="30"/>
        </w:rPr>
      </w:pPr>
    </w:p>
    <w:p w14:paraId="2DB39F28" w14:textId="5EED8424" w:rsidR="000D3032" w:rsidRDefault="000D3032">
      <w:pPr>
        <w:rPr>
          <w:rFonts w:ascii="Calibri" w:hAnsi="Calibri" w:cs="Calibri"/>
          <w:b/>
          <w:color w:val="B6752E"/>
        </w:rPr>
      </w:pPr>
      <w:r>
        <w:rPr>
          <w:rFonts w:ascii="Calibri" w:hAnsi="Calibri" w:cs="Calibri"/>
          <w:b/>
          <w:color w:val="B6752E"/>
        </w:rPr>
        <w:t>2.1 Vue d'ensemble</w:t>
      </w:r>
    </w:p>
    <w:p w14:paraId="07B5735D" w14:textId="77777777" w:rsidR="000D3032" w:rsidRDefault="000D3032">
      <w:pPr>
        <w:rPr>
          <w:rFonts w:ascii="Calibri" w:hAnsi="Calibri" w:cs="Calibri"/>
          <w:color w:val="000000"/>
        </w:rPr>
      </w:pPr>
    </w:p>
    <w:p w14:paraId="366E93DE" w14:textId="4B2B8AF5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L'architecture repose sur trois composants Microsoft Fabric combinés :</w:t>
      </w:r>
    </w:p>
    <w:p w14:paraId="77E4D709" w14:textId="77777777" w:rsidR="000D3032" w:rsidRDefault="000D3032">
      <w:pPr>
        <w:rPr>
          <w:rFonts w:ascii="Calibri" w:hAnsi="Calibri" w:cs="Calibri"/>
          <w:color w:val="000000"/>
          <w:sz w:val="22"/>
        </w:rPr>
      </w:pPr>
    </w:p>
    <w:p w14:paraId="0B8EFEC4" w14:textId="07D049C6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>Domaine Banque                          Domaine Assurance</w:t>
      </w:r>
    </w:p>
    <w:p w14:paraId="20F85340" w14:textId="719E8EA5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>══════════════════════════════          ══════════════════════════════════════════</w:t>
      </w:r>
    </w:p>
    <w:p w14:paraId="4723D3B5" w14:textId="447DB293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 xml:space="preserve">  WS-Banking                              WS-Insurance</w:t>
      </w:r>
    </w:p>
    <w:p w14:paraId="077321FB" w14:textId="66EB4F3B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 xml:space="preserve">  └─ Lakehouse_Banking                    └─ Lakehouse_Insurance</w:t>
      </w:r>
    </w:p>
    <w:p w14:paraId="26C7FB45" w14:textId="60FF5C4F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 xml:space="preserve">       ├─ dim_customers       ──────►          ├─ sc_dim_customers        (Shortcut)</w:t>
      </w:r>
    </w:p>
    <w:p w14:paraId="71094747" w14:textId="0C005167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 xml:space="preserve">       ├─ fact_bank_accounts  ──────►          ├─ sc_fact_bank_accounts   (Shortcut)</w:t>
      </w:r>
    </w:p>
    <w:p w14:paraId="38B99347" w14:textId="4253DE7E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 xml:space="preserve">       └─ bridge_ins_customers──────►          ├─ sc_bridge_ins_customers (Shortcut)</w:t>
      </w:r>
    </w:p>
    <w:p w14:paraId="49413755" w14:textId="65F48E92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 xml:space="preserve">                                               ├─ insurance_contracts     (données Pacifica)</w:t>
      </w:r>
    </w:p>
    <w:p w14:paraId="2B2A6EF0" w14:textId="15EEABC1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 xml:space="preserve">                                               ├─ insurance_claims</w:t>
      </w:r>
    </w:p>
    <w:p w14:paraId="2C596C2C" w14:textId="7D978CEE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 xml:space="preserve">                                               ├─ security_table</w:t>
      </w:r>
    </w:p>
    <w:p w14:paraId="24161FC9" w14:textId="7FCE3A95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 xml:space="preserve">                                               └─ SEM_Insurance           (Modèle sémantique)</w:t>
      </w:r>
    </w:p>
    <w:p w14:paraId="1369F08B" w14:textId="623DD352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 xml:space="preserve">                                                    ├─ Rôle BankingAdvisor</w:t>
      </w:r>
    </w:p>
    <w:p w14:paraId="6348CE78" w14:textId="7B25B59F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 xml:space="preserve">                                                    └─ Rôle InsuranceUser</w:t>
      </w:r>
    </w:p>
    <w:p w14:paraId="7E325B4E" w14:textId="77777777" w:rsidR="000D3032" w:rsidRDefault="000D3032">
      <w:pPr>
        <w:rPr>
          <w:rFonts w:ascii="Consolas" w:hAnsi="Consolas" w:cs="Calibri"/>
          <w:color w:val="000000"/>
          <w:sz w:val="18"/>
        </w:rPr>
      </w:pPr>
    </w:p>
    <w:p w14:paraId="41710B3B" w14:textId="77777777" w:rsidR="000D3032" w:rsidRDefault="000D3032">
      <w:pPr>
        <w:rPr>
          <w:rFonts w:ascii="Consolas" w:hAnsi="Consolas" w:cs="Calibri"/>
          <w:color w:val="000000"/>
          <w:sz w:val="18"/>
        </w:rPr>
      </w:pPr>
    </w:p>
    <w:p w14:paraId="345353CB" w14:textId="7BC27353" w:rsidR="000D3032" w:rsidRDefault="000D3032">
      <w:pPr>
        <w:rPr>
          <w:rFonts w:ascii="Calibri" w:hAnsi="Calibri" w:cs="Calibri"/>
          <w:b/>
          <w:color w:val="B6752E"/>
        </w:rPr>
      </w:pPr>
      <w:r>
        <w:rPr>
          <w:rFonts w:ascii="Calibri" w:hAnsi="Calibri" w:cs="Calibri"/>
          <w:b/>
          <w:color w:val="B6752E"/>
        </w:rPr>
        <w:t>2.2 Les trois mécanismes de protection</w:t>
      </w:r>
    </w:p>
    <w:p w14:paraId="4251C6CF" w14:textId="77777777" w:rsidR="000D3032" w:rsidRDefault="000D3032">
      <w:pPr>
        <w:rPr>
          <w:rFonts w:ascii="Calibri" w:hAnsi="Calibri" w:cs="Calibri"/>
          <w:color w:val="000000"/>
        </w:rPr>
      </w:pPr>
    </w:p>
    <w:p w14:paraId="260DE63E" w14:textId="7E469357" w:rsidR="000D3032" w:rsidRDefault="000D3032">
      <w:pPr>
        <w:rPr>
          <w:rFonts w:ascii="Calibri" w:hAnsi="Calibri" w:cs="Calibri"/>
          <w:b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Mécanisme 1 — Isolation des workspaces Fabric</w:t>
      </w:r>
    </w:p>
    <w:p w14:paraId="3B890229" w14:textId="77777777" w:rsidR="000D3032" w:rsidRDefault="000D3032">
      <w:pPr>
        <w:rPr>
          <w:rFonts w:ascii="Calibri" w:hAnsi="Calibri" w:cs="Calibri"/>
          <w:color w:val="000000"/>
          <w:sz w:val="22"/>
        </w:rPr>
      </w:pPr>
    </w:p>
    <w:p w14:paraId="23D5ECBB" w14:textId="60E797BA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Chaque domaine dispose de son propre workspace Fabric, avec une gestion d'accès indépendante :</w:t>
      </w:r>
    </w:p>
    <w:p w14:paraId="3D8EB33D" w14:textId="77777777" w:rsidR="000D3032" w:rsidRDefault="000D3032">
      <w:pPr>
        <w:rPr>
          <w:rFonts w:ascii="Calibri" w:hAnsi="Calibri" w:cs="Calibri"/>
          <w:color w:val="000000"/>
          <w:sz w:val="22"/>
        </w:rPr>
      </w:pPr>
    </w:p>
    <w:p w14:paraId="72E9B76B" w14:textId="0B2E765D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| Utilisateur   |   WS-Banking   |   WS-Insurance |</w:t>
      </w:r>
    </w:p>
    <w:p w14:paraId="09B394CE" w14:textId="496052DD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| Conseillers bancaires (hugo.lambert, isabelle.fontaine)   |   </w:t>
      </w:r>
      <w:r>
        <w:rPr>
          <w:rFonts w:ascii="Segoe UI Emoji" w:hAnsi="Segoe UI Emoji" w:cs="Segoe UI Emoji"/>
          <w:color w:val="000000"/>
          <w:sz w:val="18"/>
        </w:rPr>
        <w:t>✅</w:t>
      </w:r>
      <w:r>
        <w:rPr>
          <w:rFonts w:ascii="Consolas" w:hAnsi="Consolas" w:cs="Calibri"/>
          <w:color w:val="000000"/>
          <w:sz w:val="18"/>
        </w:rPr>
        <w:t xml:space="preserve"> Member   |   </w:t>
      </w:r>
      <w:r>
        <w:rPr>
          <w:rFonts w:ascii="Segoe UI Emoji" w:hAnsi="Segoe UI Emoji" w:cs="Segoe UI Emoji"/>
          <w:color w:val="000000"/>
          <w:sz w:val="18"/>
        </w:rPr>
        <w:t>✅</w:t>
      </w:r>
      <w:r>
        <w:rPr>
          <w:rFonts w:ascii="Consolas" w:hAnsi="Consolas" w:cs="Calibri"/>
          <w:color w:val="000000"/>
          <w:sz w:val="18"/>
        </w:rPr>
        <w:t xml:space="preserve"> Member |</w:t>
      </w:r>
    </w:p>
    <w:p w14:paraId="373A5AB7" w14:textId="54B701D6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| Gestionnaire assurance (sophie.marchand)   |   </w:t>
      </w:r>
      <w:r>
        <w:rPr>
          <w:rFonts w:ascii="Segoe UI Emoji" w:hAnsi="Segoe UI Emoji" w:cs="Segoe UI Emoji"/>
          <w:color w:val="000000"/>
          <w:sz w:val="18"/>
        </w:rPr>
        <w:t>❌</w:t>
      </w:r>
      <w:r>
        <w:rPr>
          <w:rFonts w:ascii="Consolas" w:hAnsi="Consolas" w:cs="Calibri"/>
          <w:color w:val="000000"/>
          <w:sz w:val="18"/>
        </w:rPr>
        <w:t xml:space="preserve"> Aucun acc</w:t>
      </w:r>
      <w:r>
        <w:rPr>
          <w:rFonts w:ascii="Consolas" w:hAnsi="Consolas" w:cs="Consolas"/>
          <w:color w:val="000000"/>
          <w:sz w:val="18"/>
        </w:rPr>
        <w:t>è</w:t>
      </w:r>
      <w:r>
        <w:rPr>
          <w:rFonts w:ascii="Consolas" w:hAnsi="Consolas" w:cs="Calibri"/>
          <w:color w:val="000000"/>
          <w:sz w:val="18"/>
        </w:rPr>
        <w:t xml:space="preserve">s   |   </w:t>
      </w:r>
      <w:r>
        <w:rPr>
          <w:rFonts w:ascii="Segoe UI Emoji" w:hAnsi="Segoe UI Emoji" w:cs="Segoe UI Emoji"/>
          <w:color w:val="000000"/>
          <w:sz w:val="18"/>
        </w:rPr>
        <w:t>✅</w:t>
      </w:r>
      <w:r>
        <w:rPr>
          <w:rFonts w:ascii="Consolas" w:hAnsi="Consolas" w:cs="Calibri"/>
          <w:color w:val="000000"/>
          <w:sz w:val="18"/>
        </w:rPr>
        <w:t xml:space="preserve"> Member |</w:t>
      </w:r>
    </w:p>
    <w:p w14:paraId="02EE9760" w14:textId="77777777" w:rsidR="000D3032" w:rsidRDefault="000D3032">
      <w:pPr>
        <w:rPr>
          <w:rFonts w:ascii="Consolas" w:hAnsi="Consolas" w:cs="Calibri"/>
          <w:color w:val="000000"/>
          <w:sz w:val="18"/>
        </w:rPr>
      </w:pPr>
    </w:p>
    <w:p w14:paraId="14A8DF83" w14:textId="2D93590B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Un utilisateur assurance ne peut pas naviguer, explorer ou requêter le workspace bancaire. Il n'en connaît pas l'existence dans son interface Fabric.</w:t>
      </w:r>
    </w:p>
    <w:p w14:paraId="09CB9FCE" w14:textId="77777777" w:rsidR="000D3032" w:rsidRDefault="000D3032">
      <w:pPr>
        <w:rPr>
          <w:rFonts w:ascii="Calibri" w:hAnsi="Calibri" w:cs="Calibri"/>
          <w:color w:val="000000"/>
          <w:sz w:val="22"/>
        </w:rPr>
      </w:pPr>
    </w:p>
    <w:p w14:paraId="16D8FB60" w14:textId="1D305E87" w:rsidR="000D3032" w:rsidRDefault="000D3032">
      <w:pPr>
        <w:rPr>
          <w:rFonts w:ascii="Calibri" w:hAnsi="Calibri" w:cs="Calibri"/>
          <w:b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Mécanisme 2 — OneLake Shortcuts (projection sans copie)</w:t>
      </w:r>
    </w:p>
    <w:p w14:paraId="207F6DCE" w14:textId="77777777" w:rsidR="000D3032" w:rsidRDefault="000D3032">
      <w:pPr>
        <w:rPr>
          <w:rFonts w:ascii="Calibri" w:hAnsi="Calibri" w:cs="Calibri"/>
          <w:color w:val="000000"/>
          <w:sz w:val="22"/>
        </w:rPr>
      </w:pPr>
    </w:p>
    <w:p w14:paraId="5BFECF28" w14:textId="595E11E3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Les Shortcuts sont des pointeurs vers des données d'un autre workspace. Ils permettent de rendre visible une table d'un domaine dans un autre, sans dupliquer la donnée physiquement.</w:t>
      </w:r>
    </w:p>
    <w:p w14:paraId="3FDF99F4" w14:textId="77777777" w:rsidR="000D3032" w:rsidRDefault="000D3032">
      <w:pPr>
        <w:rPr>
          <w:rFonts w:ascii="Calibri" w:hAnsi="Calibri" w:cs="Calibri"/>
          <w:color w:val="000000"/>
          <w:sz w:val="22"/>
        </w:rPr>
      </w:pPr>
    </w:p>
    <w:p w14:paraId="30B8015C" w14:textId="1E18FCD1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Points clés de sécurité :</w:t>
      </w:r>
    </w:p>
    <w:p w14:paraId="1F2518AE" w14:textId="6D309696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La donnée reste physiquement stockée dans WS-Banking (LH-Banking)</w:t>
      </w:r>
    </w:p>
    <w:p w14:paraId="3D7DE842" w14:textId="224405AB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Le shortcut dans LH-Insurance est une référence technique — il s'exécute sous l'identité du service Fabric, pas de l'utilisateur final</w:t>
      </w:r>
    </w:p>
    <w:p w14:paraId="04EA9732" w14:textId="36B70047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Un utilisateur de WS-Insurance qui tente d'accéder directement à l'URL OneLake de WS-Banking obtient une erreur d'autorisation 403</w:t>
      </w:r>
    </w:p>
    <w:p w14:paraId="7EDC4DAD" w14:textId="649CE958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Les shortcuts exposent uniquement les tables sélectionnées — pas tout le lakehouse</w:t>
      </w:r>
    </w:p>
    <w:p w14:paraId="03ACD925" w14:textId="77777777" w:rsidR="000D3032" w:rsidRDefault="000D3032">
      <w:pPr>
        <w:rPr>
          <w:rFonts w:ascii="Calibri" w:hAnsi="Calibri" w:cs="Calibri"/>
          <w:color w:val="000000"/>
          <w:sz w:val="22"/>
        </w:rPr>
      </w:pPr>
    </w:p>
    <w:p w14:paraId="0C126E7F" w14:textId="3A25A613" w:rsidR="000D3032" w:rsidRDefault="000D3032">
      <w:pPr>
        <w:rPr>
          <w:rFonts w:ascii="Calibri" w:hAnsi="Calibri" w:cs="Calibri"/>
          <w:b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Mécanisme 3 — Row-Level Security (RLS) dans le Modèle Sémantique</w:t>
      </w:r>
    </w:p>
    <w:p w14:paraId="105536FC" w14:textId="77777777" w:rsidR="000D3032" w:rsidRDefault="000D3032">
      <w:pPr>
        <w:rPr>
          <w:rFonts w:ascii="Calibri" w:hAnsi="Calibri" w:cs="Calibri"/>
          <w:color w:val="000000"/>
          <w:sz w:val="22"/>
        </w:rPr>
      </w:pPr>
    </w:p>
    <w:p w14:paraId="00EEEC0D" w14:textId="68E26FC2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Le modèle sémantique SEM_Insurance centralise les données des deux domaines et applique un filtre dynamique par utilisateur via deux rôles distincts :</w:t>
      </w:r>
    </w:p>
    <w:p w14:paraId="0CE93798" w14:textId="77777777" w:rsidR="000D3032" w:rsidRDefault="000D3032">
      <w:pPr>
        <w:rPr>
          <w:rFonts w:ascii="Calibri" w:hAnsi="Calibri" w:cs="Calibri"/>
          <w:color w:val="000000"/>
          <w:sz w:val="22"/>
        </w:rPr>
      </w:pPr>
    </w:p>
    <w:p w14:paraId="16568E66" w14:textId="11A18F50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Rôle BankingAdvisor — pour les conseillers LCL/CADIF :</w:t>
      </w:r>
    </w:p>
    <w:p w14:paraId="6C83385B" w14:textId="77777777" w:rsidR="000D3032" w:rsidRDefault="000D3032">
      <w:pPr>
        <w:rPr>
          <w:rFonts w:ascii="Calibri" w:hAnsi="Calibri" w:cs="Calibri"/>
          <w:color w:val="000000"/>
          <w:sz w:val="22"/>
        </w:rPr>
      </w:pPr>
    </w:p>
    <w:p w14:paraId="3F333AAE" w14:textId="2B5EF397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>sc_dim_customers      → [advisor_email] = USERPRINCIPALNAME()</w:t>
      </w:r>
    </w:p>
    <w:p w14:paraId="2B0CEA06" w14:textId="297AB92E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>security_table        → [user_email]    = USERPRINCIPALNAME()</w:t>
      </w:r>
    </w:p>
    <w:p w14:paraId="0EBAC4B4" w14:textId="77777777" w:rsidR="000D3032" w:rsidRDefault="000D3032">
      <w:pPr>
        <w:rPr>
          <w:rFonts w:ascii="Consolas" w:hAnsi="Consolas" w:cs="Calibri"/>
          <w:color w:val="000000"/>
          <w:sz w:val="18"/>
        </w:rPr>
      </w:pPr>
    </w:p>
    <w:p w14:paraId="0E99723E" w14:textId="2FC068AD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→ Le conseiller ne voit que ses propres clients, et uniquement leurs contrats assurance</w:t>
      </w:r>
    </w:p>
    <w:p w14:paraId="5927EDE3" w14:textId="6BDE156C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→ Il ne voit pas les clients ni les soldes des autres conseillers</w:t>
      </w:r>
    </w:p>
    <w:p w14:paraId="1A74972A" w14:textId="77777777" w:rsidR="000D3032" w:rsidRDefault="000D3032">
      <w:pPr>
        <w:rPr>
          <w:rFonts w:ascii="Calibri" w:hAnsi="Calibri" w:cs="Calibri"/>
          <w:color w:val="000000"/>
          <w:sz w:val="22"/>
        </w:rPr>
      </w:pPr>
    </w:p>
    <w:p w14:paraId="485DC9B7" w14:textId="5110409B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Rôle InsuranceUser — pour les gestionnaires Pacifica :</w:t>
      </w:r>
    </w:p>
    <w:p w14:paraId="361413E5" w14:textId="77777777" w:rsidR="000D3032" w:rsidRDefault="000D3032">
      <w:pPr>
        <w:rPr>
          <w:rFonts w:ascii="Calibri" w:hAnsi="Calibri" w:cs="Calibri"/>
          <w:color w:val="000000"/>
          <w:sz w:val="22"/>
        </w:rPr>
      </w:pPr>
    </w:p>
    <w:p w14:paraId="6C5D3C9E" w14:textId="4FEB5C14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>sc_dim_customers       → [customer_id] IN VALUES(sc_bridge_ins_customers[customer_id])</w:t>
      </w:r>
    </w:p>
    <w:p w14:paraId="72079FBC" w14:textId="2987E59C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>sc_fact_bank_accounts  → FALSE()</w:t>
      </w:r>
    </w:p>
    <w:p w14:paraId="21955EAE" w14:textId="7A5DF839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>security_table         → [user_email] = USERPRINCIPALNAME()</w:t>
      </w:r>
    </w:p>
    <w:p w14:paraId="1EFD063A" w14:textId="77777777" w:rsidR="000D3032" w:rsidRDefault="000D3032">
      <w:pPr>
        <w:rPr>
          <w:rFonts w:ascii="Consolas" w:hAnsi="Consolas" w:cs="Calibri"/>
          <w:color w:val="000000"/>
          <w:sz w:val="18"/>
        </w:rPr>
      </w:pPr>
    </w:p>
    <w:p w14:paraId="3BFF0037" w14:textId="40B80BD5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→ Le gestionnaire ne voit que les clients ayant explicitement consenti au partage de données</w:t>
      </w:r>
    </w:p>
    <w:p w14:paraId="03A11C41" w14:textId="56C5A255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→ Il ne voit aucune donnée bancaire (les comptes et soldes sont bloqués à la source par FALSE())</w:t>
      </w:r>
    </w:p>
    <w:p w14:paraId="2A60D348" w14:textId="77777777" w:rsidR="000D3032" w:rsidRDefault="000D3032">
      <w:pPr>
        <w:rPr>
          <w:rFonts w:ascii="Calibri" w:hAnsi="Calibri" w:cs="Calibri"/>
          <w:color w:val="000000"/>
          <w:sz w:val="22"/>
        </w:rPr>
      </w:pPr>
    </w:p>
    <w:p w14:paraId="203B932E" w14:textId="2889FCA4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________________________________________________________________________________</w:t>
      </w:r>
    </w:p>
    <w:p w14:paraId="3B0A4948" w14:textId="77777777" w:rsidR="000D3032" w:rsidRDefault="000D3032">
      <w:pPr>
        <w:rPr>
          <w:rFonts w:ascii="Calibri" w:hAnsi="Calibri" w:cs="Calibri"/>
          <w:color w:val="000000"/>
          <w:sz w:val="22"/>
        </w:rPr>
      </w:pPr>
    </w:p>
    <w:p w14:paraId="5B4D5A57" w14:textId="77777777" w:rsidR="000D3032" w:rsidRDefault="000D3032">
      <w:pPr>
        <w:rPr>
          <w:rFonts w:ascii="Calibri" w:hAnsi="Calibri" w:cs="Calibri"/>
          <w:color w:val="000000"/>
          <w:sz w:val="22"/>
        </w:rPr>
      </w:pPr>
    </w:p>
    <w:p w14:paraId="3BD26EAF" w14:textId="12ECF4F6" w:rsidR="000D3032" w:rsidRDefault="000D3032">
      <w:pPr>
        <w:rPr>
          <w:rFonts w:ascii="Calibri" w:hAnsi="Calibri" w:cs="Calibri"/>
          <w:b/>
          <w:color w:val="B6752E"/>
          <w:sz w:val="30"/>
        </w:rPr>
      </w:pPr>
      <w:r>
        <w:rPr>
          <w:rFonts w:ascii="Calibri" w:hAnsi="Calibri" w:cs="Calibri"/>
          <w:b/>
          <w:color w:val="B6752E"/>
          <w:sz w:val="30"/>
        </w:rPr>
        <w:t>3. La table de consentement : clé de voûte du dispositif</w:t>
      </w:r>
    </w:p>
    <w:p w14:paraId="30E346F3" w14:textId="77777777" w:rsidR="000D3032" w:rsidRDefault="000D3032">
      <w:pPr>
        <w:rPr>
          <w:rFonts w:ascii="Calibri" w:hAnsi="Calibri" w:cs="Calibri"/>
          <w:color w:val="000000"/>
          <w:sz w:val="30"/>
        </w:rPr>
      </w:pPr>
    </w:p>
    <w:p w14:paraId="335CF881" w14:textId="10B62AAF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La table bridge_ins_customers matérialise le consentement explicite du client au partage de ses données entre les deux entités. Elle est gérée par le domaine bancaire et contient :</w:t>
      </w:r>
    </w:p>
    <w:p w14:paraId="30924118" w14:textId="77777777" w:rsidR="000D3032" w:rsidRDefault="000D3032">
      <w:pPr>
        <w:rPr>
          <w:rFonts w:ascii="Calibri" w:hAnsi="Calibri" w:cs="Calibri"/>
          <w:color w:val="000000"/>
          <w:sz w:val="22"/>
        </w:rPr>
      </w:pPr>
    </w:p>
    <w:p w14:paraId="7D1BCFA5" w14:textId="2EF9DAB6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| Champ   |   Description |</w:t>
      </w:r>
    </w:p>
    <w:p w14:paraId="6C182EB1" w14:textId="76C41D54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| `customer_id`   |   Identifiant client partagé entre les deux domaines |</w:t>
      </w:r>
    </w:p>
    <w:p w14:paraId="6D691896" w14:textId="73E12787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| `insurance_consent`   |   Booléen : le client a-t-il consenti au partage ? |</w:t>
      </w:r>
    </w:p>
    <w:p w14:paraId="31EAE2BE" w14:textId="1B094E85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| `sharing_scope`   |   Granularité du partage (`FULL` ou `BASIC`) |</w:t>
      </w:r>
    </w:p>
    <w:p w14:paraId="1A17A9AD" w14:textId="77777777" w:rsidR="000D3032" w:rsidRDefault="000D3032">
      <w:pPr>
        <w:rPr>
          <w:rFonts w:ascii="Consolas" w:hAnsi="Consolas" w:cs="Calibri"/>
          <w:color w:val="000000"/>
          <w:sz w:val="18"/>
        </w:rPr>
      </w:pPr>
    </w:p>
    <w:p w14:paraId="437E61AE" w14:textId="6B2F3B45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Seuls les clients avec insurance_consent = true sont visibles par les gestionnaires assurance. Cette table est alimentée par le domaine bancaire (qui recueille le consentement) et consommée par le domaine assurance via shortcut — sans que Pacifica puisse la modifier.</w:t>
      </w:r>
    </w:p>
    <w:p w14:paraId="73B0275D" w14:textId="77777777" w:rsidR="000D3032" w:rsidRDefault="000D3032">
      <w:pPr>
        <w:rPr>
          <w:rFonts w:ascii="Calibri" w:hAnsi="Calibri" w:cs="Calibri"/>
          <w:color w:val="000000"/>
          <w:sz w:val="22"/>
        </w:rPr>
      </w:pPr>
    </w:p>
    <w:p w14:paraId="6E195308" w14:textId="5C9350BE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________________________________________________________________________________</w:t>
      </w:r>
    </w:p>
    <w:p w14:paraId="3D950444" w14:textId="77777777" w:rsidR="000D3032" w:rsidRDefault="000D3032">
      <w:pPr>
        <w:rPr>
          <w:rFonts w:ascii="Calibri" w:hAnsi="Calibri" w:cs="Calibri"/>
          <w:color w:val="000000"/>
          <w:sz w:val="22"/>
        </w:rPr>
      </w:pPr>
    </w:p>
    <w:p w14:paraId="39719AD7" w14:textId="77777777" w:rsidR="000D3032" w:rsidRDefault="000D3032">
      <w:pPr>
        <w:rPr>
          <w:rFonts w:ascii="Calibri" w:hAnsi="Calibri" w:cs="Calibri"/>
          <w:color w:val="000000"/>
          <w:sz w:val="22"/>
        </w:rPr>
      </w:pPr>
    </w:p>
    <w:p w14:paraId="07A4477D" w14:textId="445746A0" w:rsidR="000D3032" w:rsidRDefault="000D3032">
      <w:pPr>
        <w:rPr>
          <w:rFonts w:ascii="Calibri" w:hAnsi="Calibri" w:cs="Calibri"/>
          <w:b/>
          <w:color w:val="B6752E"/>
          <w:sz w:val="30"/>
        </w:rPr>
      </w:pPr>
      <w:r>
        <w:rPr>
          <w:rFonts w:ascii="Calibri" w:hAnsi="Calibri" w:cs="Calibri"/>
          <w:b/>
          <w:color w:val="B6752E"/>
          <w:sz w:val="30"/>
        </w:rPr>
        <w:t>4. Matrice de visibilité des données</w:t>
      </w:r>
    </w:p>
    <w:p w14:paraId="3E2CE884" w14:textId="77777777" w:rsidR="000D3032" w:rsidRDefault="000D3032">
      <w:pPr>
        <w:rPr>
          <w:rFonts w:ascii="Calibri" w:hAnsi="Calibri" w:cs="Calibri"/>
          <w:color w:val="000000"/>
          <w:sz w:val="30"/>
        </w:rPr>
      </w:pPr>
    </w:p>
    <w:p w14:paraId="6083EAC0" w14:textId="3FD1AE41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| Données   |   Conseiller bancaire   |   Gestionnaire assurance |</w:t>
      </w:r>
    </w:p>
    <w:p w14:paraId="04DDCEF5" w14:textId="4C594DD1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| Identité client (nom, région, segment)   |   </w:t>
      </w:r>
      <w:r>
        <w:rPr>
          <w:rFonts w:ascii="Segoe UI Emoji" w:hAnsi="Segoe UI Emoji" w:cs="Segoe UI Emoji"/>
          <w:color w:val="000000"/>
          <w:sz w:val="18"/>
        </w:rPr>
        <w:t>✅</w:t>
      </w:r>
      <w:r>
        <w:rPr>
          <w:rFonts w:ascii="Consolas" w:hAnsi="Consolas" w:cs="Calibri"/>
          <w:color w:val="000000"/>
          <w:sz w:val="18"/>
        </w:rPr>
        <w:t xml:space="preserve"> Ses clients uniquement   |   </w:t>
      </w:r>
      <w:r>
        <w:rPr>
          <w:rFonts w:ascii="Segoe UI Emoji" w:hAnsi="Segoe UI Emoji" w:cs="Segoe UI Emoji"/>
          <w:color w:val="000000"/>
          <w:sz w:val="18"/>
        </w:rPr>
        <w:t>✅</w:t>
      </w:r>
      <w:r>
        <w:rPr>
          <w:rFonts w:ascii="Consolas" w:hAnsi="Consolas" w:cs="Calibri"/>
          <w:color w:val="000000"/>
          <w:sz w:val="18"/>
        </w:rPr>
        <w:t xml:space="preserve"> Clients consentants uniquement |</w:t>
      </w:r>
    </w:p>
    <w:p w14:paraId="5C3D9CFC" w14:textId="42BC5A18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| Solde et produits bancaires   |   </w:t>
      </w:r>
      <w:r>
        <w:rPr>
          <w:rFonts w:ascii="Segoe UI Emoji" w:hAnsi="Segoe UI Emoji" w:cs="Segoe UI Emoji"/>
          <w:color w:val="000000"/>
          <w:sz w:val="18"/>
        </w:rPr>
        <w:t>✅</w:t>
      </w:r>
      <w:r>
        <w:rPr>
          <w:rFonts w:ascii="Consolas" w:hAnsi="Consolas" w:cs="Calibri"/>
          <w:color w:val="000000"/>
          <w:sz w:val="18"/>
        </w:rPr>
        <w:t xml:space="preserve"> Ses clients   |   </w:t>
      </w:r>
      <w:r>
        <w:rPr>
          <w:rFonts w:ascii="Segoe UI Emoji" w:hAnsi="Segoe UI Emoji" w:cs="Segoe UI Emoji"/>
          <w:color w:val="000000"/>
          <w:sz w:val="18"/>
        </w:rPr>
        <w:t>❌</w:t>
      </w:r>
      <w:r>
        <w:rPr>
          <w:rFonts w:ascii="Consolas" w:hAnsi="Consolas" w:cs="Calibri"/>
          <w:color w:val="000000"/>
          <w:sz w:val="18"/>
        </w:rPr>
        <w:t xml:space="preserve"> Bloqué |</w:t>
      </w:r>
    </w:p>
    <w:p w14:paraId="7D0B8038" w14:textId="3D42DFC0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| Contrats d'assurance   |   </w:t>
      </w:r>
      <w:r>
        <w:rPr>
          <w:rFonts w:ascii="Segoe UI Emoji" w:hAnsi="Segoe UI Emoji" w:cs="Segoe UI Emoji"/>
          <w:color w:val="000000"/>
          <w:sz w:val="18"/>
        </w:rPr>
        <w:t>✅</w:t>
      </w:r>
      <w:r>
        <w:rPr>
          <w:rFonts w:ascii="Consolas" w:hAnsi="Consolas" w:cs="Calibri"/>
          <w:color w:val="000000"/>
          <w:sz w:val="18"/>
        </w:rPr>
        <w:t xml:space="preserve"> Clients consentants de son portefeuille   |   </w:t>
      </w:r>
      <w:r>
        <w:rPr>
          <w:rFonts w:ascii="Segoe UI Emoji" w:hAnsi="Segoe UI Emoji" w:cs="Segoe UI Emoji"/>
          <w:color w:val="000000"/>
          <w:sz w:val="18"/>
        </w:rPr>
        <w:t>✅</w:t>
      </w:r>
      <w:r>
        <w:rPr>
          <w:rFonts w:ascii="Consolas" w:hAnsi="Consolas" w:cs="Calibri"/>
          <w:color w:val="000000"/>
          <w:sz w:val="18"/>
        </w:rPr>
        <w:t xml:space="preserve"> Ses clients consentants |</w:t>
      </w:r>
    </w:p>
    <w:p w14:paraId="00F1C1AB" w14:textId="559F6F3F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| Sinistres   |   </w:t>
      </w:r>
      <w:r>
        <w:rPr>
          <w:rFonts w:ascii="Segoe UI Emoji" w:hAnsi="Segoe UI Emoji" w:cs="Segoe UI Emoji"/>
          <w:color w:val="000000"/>
          <w:sz w:val="18"/>
        </w:rPr>
        <w:t>✅</w:t>
      </w:r>
      <w:r>
        <w:rPr>
          <w:rFonts w:ascii="Consolas" w:hAnsi="Consolas" w:cs="Calibri"/>
          <w:color w:val="000000"/>
          <w:sz w:val="18"/>
        </w:rPr>
        <w:t xml:space="preserve"> Clients consentants de son portefeuille   |   </w:t>
      </w:r>
      <w:r>
        <w:rPr>
          <w:rFonts w:ascii="Segoe UI Emoji" w:hAnsi="Segoe UI Emoji" w:cs="Segoe UI Emoji"/>
          <w:color w:val="000000"/>
          <w:sz w:val="18"/>
        </w:rPr>
        <w:t>✅</w:t>
      </w:r>
      <w:r>
        <w:rPr>
          <w:rFonts w:ascii="Consolas" w:hAnsi="Consolas" w:cs="Calibri"/>
          <w:color w:val="000000"/>
          <w:sz w:val="18"/>
        </w:rPr>
        <w:t xml:space="preserve"> Ses clients consentants |</w:t>
      </w:r>
    </w:p>
    <w:p w14:paraId="04588370" w14:textId="52B71F27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| Données des autres conseillers   |   </w:t>
      </w:r>
      <w:r>
        <w:rPr>
          <w:rFonts w:ascii="Segoe UI Emoji" w:hAnsi="Segoe UI Emoji" w:cs="Segoe UI Emoji"/>
          <w:color w:val="000000"/>
          <w:sz w:val="18"/>
        </w:rPr>
        <w:t>❌</w:t>
      </w:r>
      <w:r>
        <w:rPr>
          <w:rFonts w:ascii="Consolas" w:hAnsi="Consolas" w:cs="Calibri"/>
          <w:color w:val="000000"/>
          <w:sz w:val="18"/>
        </w:rPr>
        <w:t xml:space="preserve"> Bloqu</w:t>
      </w:r>
      <w:r>
        <w:rPr>
          <w:rFonts w:ascii="Consolas" w:hAnsi="Consolas" w:cs="Consolas"/>
          <w:color w:val="000000"/>
          <w:sz w:val="18"/>
        </w:rPr>
        <w:t>é</w:t>
      </w:r>
      <w:r>
        <w:rPr>
          <w:rFonts w:ascii="Consolas" w:hAnsi="Consolas" w:cs="Calibri"/>
          <w:color w:val="000000"/>
          <w:sz w:val="18"/>
        </w:rPr>
        <w:t xml:space="preserve">   |   </w:t>
      </w:r>
      <w:r>
        <w:rPr>
          <w:rFonts w:ascii="Segoe UI Emoji" w:hAnsi="Segoe UI Emoji" w:cs="Segoe UI Emoji"/>
          <w:color w:val="000000"/>
          <w:sz w:val="18"/>
        </w:rPr>
        <w:t>❌</w:t>
      </w:r>
      <w:r>
        <w:rPr>
          <w:rFonts w:ascii="Consolas" w:hAnsi="Consolas" w:cs="Calibri"/>
          <w:color w:val="000000"/>
          <w:sz w:val="18"/>
        </w:rPr>
        <w:t xml:space="preserve"> Bloqué |</w:t>
      </w:r>
    </w:p>
    <w:p w14:paraId="7B10C95A" w14:textId="4E098BDD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| Email / identité des autres utilisateurs   |   </w:t>
      </w:r>
      <w:r>
        <w:rPr>
          <w:rFonts w:ascii="Segoe UI Emoji" w:hAnsi="Segoe UI Emoji" w:cs="Segoe UI Emoji"/>
          <w:color w:val="000000"/>
          <w:sz w:val="18"/>
        </w:rPr>
        <w:t>❌</w:t>
      </w:r>
      <w:r>
        <w:rPr>
          <w:rFonts w:ascii="Consolas" w:hAnsi="Consolas" w:cs="Calibri"/>
          <w:color w:val="000000"/>
          <w:sz w:val="18"/>
        </w:rPr>
        <w:t xml:space="preserve"> Bloqu</w:t>
      </w:r>
      <w:r>
        <w:rPr>
          <w:rFonts w:ascii="Consolas" w:hAnsi="Consolas" w:cs="Consolas"/>
          <w:color w:val="000000"/>
          <w:sz w:val="18"/>
        </w:rPr>
        <w:t>é</w:t>
      </w:r>
      <w:r>
        <w:rPr>
          <w:rFonts w:ascii="Consolas" w:hAnsi="Consolas" w:cs="Calibri"/>
          <w:color w:val="000000"/>
          <w:sz w:val="18"/>
        </w:rPr>
        <w:t xml:space="preserve">   |   </w:t>
      </w:r>
      <w:r>
        <w:rPr>
          <w:rFonts w:ascii="Segoe UI Emoji" w:hAnsi="Segoe UI Emoji" w:cs="Segoe UI Emoji"/>
          <w:color w:val="000000"/>
          <w:sz w:val="18"/>
        </w:rPr>
        <w:t>❌</w:t>
      </w:r>
      <w:r>
        <w:rPr>
          <w:rFonts w:ascii="Consolas" w:hAnsi="Consolas" w:cs="Calibri"/>
          <w:color w:val="000000"/>
          <w:sz w:val="18"/>
        </w:rPr>
        <w:t xml:space="preserve"> Bloqué |</w:t>
      </w:r>
    </w:p>
    <w:p w14:paraId="53615BEB" w14:textId="77777777" w:rsidR="000D3032" w:rsidRDefault="000D3032">
      <w:pPr>
        <w:rPr>
          <w:rFonts w:ascii="Consolas" w:hAnsi="Consolas" w:cs="Calibri"/>
          <w:color w:val="000000"/>
          <w:sz w:val="18"/>
        </w:rPr>
      </w:pPr>
    </w:p>
    <w:p w14:paraId="5AAAC98C" w14:textId="6502E17D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________________________________________________________________________________</w:t>
      </w:r>
    </w:p>
    <w:p w14:paraId="77F2A60B" w14:textId="77777777" w:rsidR="000D3032" w:rsidRDefault="000D3032">
      <w:pPr>
        <w:rPr>
          <w:rFonts w:ascii="Consolas" w:hAnsi="Consolas" w:cs="Calibri"/>
          <w:color w:val="000000"/>
          <w:sz w:val="18"/>
        </w:rPr>
      </w:pPr>
    </w:p>
    <w:p w14:paraId="46768D36" w14:textId="77777777" w:rsidR="000D3032" w:rsidRDefault="000D3032">
      <w:pPr>
        <w:rPr>
          <w:rFonts w:ascii="Consolas" w:hAnsi="Consolas" w:cs="Calibri"/>
          <w:color w:val="000000"/>
          <w:sz w:val="18"/>
        </w:rPr>
      </w:pPr>
    </w:p>
    <w:p w14:paraId="1868CACB" w14:textId="07388619" w:rsidR="000D3032" w:rsidRDefault="000D3032">
      <w:pPr>
        <w:rPr>
          <w:rFonts w:ascii="Calibri" w:hAnsi="Calibri" w:cs="Calibri"/>
          <w:b/>
          <w:color w:val="B6752E"/>
          <w:sz w:val="30"/>
        </w:rPr>
      </w:pPr>
      <w:r>
        <w:rPr>
          <w:rFonts w:ascii="Calibri" w:hAnsi="Calibri" w:cs="Calibri"/>
          <w:b/>
          <w:color w:val="B6752E"/>
          <w:sz w:val="30"/>
        </w:rPr>
        <w:t>5. Scénarios de test déployés</w:t>
      </w:r>
    </w:p>
    <w:p w14:paraId="3F00FA85" w14:textId="77777777" w:rsidR="000D3032" w:rsidRDefault="000D3032">
      <w:pPr>
        <w:rPr>
          <w:rFonts w:ascii="Calibri" w:hAnsi="Calibri" w:cs="Calibri"/>
          <w:color w:val="000000"/>
          <w:sz w:val="30"/>
        </w:rPr>
      </w:pPr>
    </w:p>
    <w:p w14:paraId="0BEA6C39" w14:textId="3B466FB2" w:rsidR="000D3032" w:rsidRDefault="000D3032">
      <w:pPr>
        <w:rPr>
          <w:rFonts w:ascii="Calibri" w:hAnsi="Calibri" w:cs="Calibri"/>
          <w:b/>
          <w:color w:val="B6752E"/>
        </w:rPr>
      </w:pPr>
      <w:r>
        <w:rPr>
          <w:rFonts w:ascii="Calibri" w:hAnsi="Calibri" w:cs="Calibri"/>
          <w:b/>
          <w:color w:val="B6752E"/>
        </w:rPr>
        <w:t>Compte de test — Conseiller bancaire</w:t>
      </w:r>
    </w:p>
    <w:p w14:paraId="2DEE4616" w14:textId="77777777" w:rsidR="000D3032" w:rsidRDefault="000D3032">
      <w:pPr>
        <w:rPr>
          <w:rFonts w:ascii="Calibri" w:hAnsi="Calibri" w:cs="Calibri"/>
          <w:color w:val="000000"/>
        </w:rPr>
      </w:pPr>
    </w:p>
    <w:p w14:paraId="0571306A" w14:textId="625AFF9D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| Paramètre   |   Valeur |</w:t>
      </w:r>
    </w:p>
    <w:p w14:paraId="085A2308" w14:textId="04FE984A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| Compte   |   `hugo.lambert@MngEnvMCAP578215.onmicrosoft.com` |</w:t>
      </w:r>
    </w:p>
    <w:p w14:paraId="47595841" w14:textId="499B90BA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| Rôle RLS   |   `BankingAdvisor` |</w:t>
      </w:r>
    </w:p>
    <w:p w14:paraId="1819DB19" w14:textId="32F6FC77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| Portefeuille   |   CUS-001 Marie Dupont, CUS-002 Jean Martin, CUS-005 Isabelle Moreau, CUS-007 Claire Laurent, CUS-009 Nathalie Garcia |</w:t>
      </w:r>
    </w:p>
    <w:p w14:paraId="5FE83896" w14:textId="6ACFAD9A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| Contrats assurance visibles   |   CTR-001, CTR-002 (Marie Dupont), CTR-003 (Jean Martin), CTR-005 (Claire Laurent), CTR-006 (Nathalie Garcia) |</w:t>
      </w:r>
    </w:p>
    <w:p w14:paraId="1435A4D5" w14:textId="77777777" w:rsidR="000D3032" w:rsidRDefault="000D3032">
      <w:pPr>
        <w:rPr>
          <w:rFonts w:ascii="Consolas" w:hAnsi="Consolas" w:cs="Calibri"/>
          <w:color w:val="000000"/>
          <w:sz w:val="18"/>
        </w:rPr>
      </w:pPr>
    </w:p>
    <w:p w14:paraId="6E4AEA41" w14:textId="4B09AD4F" w:rsidR="000D3032" w:rsidRDefault="000D3032">
      <w:pPr>
        <w:rPr>
          <w:rFonts w:ascii="Calibri" w:hAnsi="Calibri" w:cs="Calibri"/>
          <w:b/>
          <w:color w:val="B6752E"/>
        </w:rPr>
      </w:pPr>
      <w:r>
        <w:rPr>
          <w:rFonts w:ascii="Calibri" w:hAnsi="Calibri" w:cs="Calibri"/>
          <w:b/>
          <w:color w:val="B6752E"/>
        </w:rPr>
        <w:t>Compte de test — Gestionnaire assurance</w:t>
      </w:r>
    </w:p>
    <w:p w14:paraId="3F1849FA" w14:textId="77777777" w:rsidR="000D3032" w:rsidRDefault="000D3032">
      <w:pPr>
        <w:rPr>
          <w:rFonts w:ascii="Calibri" w:hAnsi="Calibri" w:cs="Calibri"/>
          <w:color w:val="000000"/>
        </w:rPr>
      </w:pPr>
    </w:p>
    <w:p w14:paraId="64E7332F" w14:textId="14A3779B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| Paramètre   |   Valeur |</w:t>
      </w:r>
    </w:p>
    <w:p w14:paraId="794E908A" w14:textId="560C06CD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| Compte   |   `sophie.marchand@MngEnvMCAP578215.onmicrosoft.com` |</w:t>
      </w:r>
    </w:p>
    <w:p w14:paraId="5D437A0A" w14:textId="00ADCA32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| Rôle RLS   |   `InsuranceUser` |</w:t>
      </w:r>
    </w:p>
    <w:p w14:paraId="7ED51B0C" w14:textId="507B9B99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| Clients visibles   |   CUS-001, CUS-002, CUS-004, CUS-007, CUS-009 (consentement `true` uniquement) |</w:t>
      </w:r>
    </w:p>
    <w:p w14:paraId="604FA5D1" w14:textId="6A992275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| Données bancaires   |   </w:t>
      </w:r>
      <w:r>
        <w:rPr>
          <w:rFonts w:ascii="Segoe UI Emoji" w:hAnsi="Segoe UI Emoji" w:cs="Segoe UI Emoji"/>
          <w:color w:val="000000"/>
          <w:sz w:val="18"/>
        </w:rPr>
        <w:t>❌</w:t>
      </w:r>
      <w:r>
        <w:rPr>
          <w:rFonts w:ascii="Consolas" w:hAnsi="Consolas" w:cs="Calibri"/>
          <w:color w:val="000000"/>
          <w:sz w:val="18"/>
        </w:rPr>
        <w:t xml:space="preserve"> Aucune (soldes masqués) |</w:t>
      </w:r>
    </w:p>
    <w:p w14:paraId="196C4675" w14:textId="77777777" w:rsidR="000D3032" w:rsidRDefault="000D3032">
      <w:pPr>
        <w:rPr>
          <w:rFonts w:ascii="Consolas" w:hAnsi="Consolas" w:cs="Calibri"/>
          <w:color w:val="000000"/>
          <w:sz w:val="18"/>
        </w:rPr>
      </w:pPr>
    </w:p>
    <w:p w14:paraId="142796C3" w14:textId="4DCF6359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________________________________________________________________________________</w:t>
      </w:r>
    </w:p>
    <w:p w14:paraId="67075BA3" w14:textId="77777777" w:rsidR="000D3032" w:rsidRDefault="000D3032">
      <w:pPr>
        <w:rPr>
          <w:rFonts w:ascii="Consolas" w:hAnsi="Consolas" w:cs="Calibri"/>
          <w:color w:val="000000"/>
          <w:sz w:val="18"/>
        </w:rPr>
      </w:pPr>
    </w:p>
    <w:p w14:paraId="3CA27483" w14:textId="77777777" w:rsidR="000D3032" w:rsidRDefault="000D3032">
      <w:pPr>
        <w:rPr>
          <w:rFonts w:ascii="Consolas" w:hAnsi="Consolas" w:cs="Calibri"/>
          <w:color w:val="000000"/>
          <w:sz w:val="18"/>
        </w:rPr>
      </w:pPr>
    </w:p>
    <w:p w14:paraId="5D016BCA" w14:textId="1A911334" w:rsidR="000D3032" w:rsidRDefault="000D3032">
      <w:pPr>
        <w:rPr>
          <w:rFonts w:ascii="Calibri" w:hAnsi="Calibri" w:cs="Calibri"/>
          <w:b/>
          <w:color w:val="B6752E"/>
          <w:sz w:val="30"/>
        </w:rPr>
      </w:pPr>
      <w:r>
        <w:rPr>
          <w:rFonts w:ascii="Calibri" w:hAnsi="Calibri" w:cs="Calibri"/>
          <w:b/>
          <w:color w:val="B6752E"/>
          <w:sz w:val="30"/>
        </w:rPr>
        <w:t>6. Garanties de conformité</w:t>
      </w:r>
    </w:p>
    <w:p w14:paraId="23E70E04" w14:textId="77777777" w:rsidR="000D3032" w:rsidRDefault="000D3032">
      <w:pPr>
        <w:rPr>
          <w:rFonts w:ascii="Calibri" w:hAnsi="Calibri" w:cs="Calibri"/>
          <w:color w:val="000000"/>
          <w:sz w:val="30"/>
        </w:rPr>
      </w:pPr>
    </w:p>
    <w:p w14:paraId="2288598E" w14:textId="63E059A7" w:rsidR="000D3032" w:rsidRDefault="000D3032">
      <w:pPr>
        <w:rPr>
          <w:rFonts w:ascii="Calibri" w:hAnsi="Calibri" w:cs="Calibri"/>
          <w:b/>
          <w:color w:val="B6752E"/>
        </w:rPr>
      </w:pPr>
      <w:r>
        <w:rPr>
          <w:rFonts w:ascii="Calibri" w:hAnsi="Calibri" w:cs="Calibri"/>
          <w:b/>
          <w:color w:val="B6752E"/>
        </w:rPr>
        <w:t>Étanchéité des couches</w:t>
      </w:r>
    </w:p>
    <w:p w14:paraId="0B342B72" w14:textId="77777777" w:rsidR="000D3032" w:rsidRDefault="000D3032">
      <w:pPr>
        <w:rPr>
          <w:rFonts w:ascii="Calibri" w:hAnsi="Calibri" w:cs="Calibri"/>
          <w:color w:val="000000"/>
        </w:rPr>
      </w:pPr>
    </w:p>
    <w:p w14:paraId="4517CAFE" w14:textId="3CD347EB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Le cloisonnement repose sur trois couches indépendantes : si l'une venait à être contournée, les deux autres restent actives.</w:t>
      </w:r>
    </w:p>
    <w:p w14:paraId="52288EC4" w14:textId="77777777" w:rsidR="000D3032" w:rsidRDefault="000D3032">
      <w:pPr>
        <w:rPr>
          <w:rFonts w:ascii="Calibri" w:hAnsi="Calibri" w:cs="Calibri"/>
          <w:color w:val="000000"/>
          <w:sz w:val="22"/>
        </w:rPr>
      </w:pPr>
    </w:p>
    <w:p w14:paraId="236600B6" w14:textId="1B36152B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>Tentative d'accès non autorisé</w:t>
      </w:r>
    </w:p>
    <w:p w14:paraId="421AF4FB" w14:textId="1F352630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 xml:space="preserve">        │</w:t>
      </w:r>
    </w:p>
    <w:p w14:paraId="01EFD44C" w14:textId="68B020ED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 xml:space="preserve">        ▼</w:t>
      </w:r>
    </w:p>
    <w:p w14:paraId="48F7699F" w14:textId="569BDB24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>┌───────────────────────────────┐</w:t>
      </w:r>
    </w:p>
    <w:p w14:paraId="1EE9C153" w14:textId="08AA5FBA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>│  Couche 1 : Workspace Fabric  │ ← Accès refusé si pas membre du workspace</w:t>
      </w:r>
    </w:p>
    <w:p w14:paraId="767CD0E8" w14:textId="2D674AE5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>│  (contrôle d'accès Entra ID)  │</w:t>
      </w:r>
    </w:p>
    <w:p w14:paraId="16A75C1A" w14:textId="2D85121C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>└───────────────┬───────────────┘</w:t>
      </w:r>
    </w:p>
    <w:p w14:paraId="606472ED" w14:textId="0899D7E6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 xml:space="preserve">                │ (si membre)</w:t>
      </w:r>
    </w:p>
    <w:p w14:paraId="3BD4D306" w14:textId="6EB05E79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 xml:space="preserve">                ▼</w:t>
      </w:r>
    </w:p>
    <w:p w14:paraId="54C3F943" w14:textId="7D3E6FA7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>┌───────────────────────────────┐</w:t>
      </w:r>
    </w:p>
    <w:p w14:paraId="5D759F57" w14:textId="046EA613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>│  Couche 2 : Shortcut OneLake  │ ← Données source inaccessibles directement</w:t>
      </w:r>
    </w:p>
    <w:p w14:paraId="434554EE" w14:textId="55D7FAD0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>│  (identité service, pas user) │</w:t>
      </w:r>
    </w:p>
    <w:p w14:paraId="63847602" w14:textId="6BB0289B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>└───────────────┬───────────────┘</w:t>
      </w:r>
    </w:p>
    <w:p w14:paraId="45E32535" w14:textId="36172BD6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 xml:space="preserve">                │ (si accès modèle)</w:t>
      </w:r>
    </w:p>
    <w:p w14:paraId="49A8B172" w14:textId="67AC2C11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 xml:space="preserve">                ▼</w:t>
      </w:r>
    </w:p>
    <w:p w14:paraId="12A18087" w14:textId="58CC8512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>┌───────────────────────────────┐</w:t>
      </w:r>
    </w:p>
    <w:p w14:paraId="32F50564" w14:textId="7CDC993A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>│  Couche 3 : RLS Sémantique    │ ← Filtre ligne par ligne selon l'identité</w:t>
      </w:r>
    </w:p>
    <w:p w14:paraId="376A9CF9" w14:textId="1014D1BB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>│  (USERPRINCIPALNAME() / DAX)  │</w:t>
      </w:r>
    </w:p>
    <w:p w14:paraId="7053AF36" w14:textId="5575AEB7" w:rsidR="000D3032" w:rsidRDefault="000D3032">
      <w:pPr>
        <w:rPr>
          <w:rFonts w:ascii="Consolas" w:hAnsi="Consolas" w:cs="Calibri"/>
          <w:color w:val="53402E"/>
          <w:sz w:val="18"/>
        </w:rPr>
      </w:pPr>
      <w:r>
        <w:rPr>
          <w:rFonts w:ascii="Consolas" w:hAnsi="Consolas" w:cs="Calibri"/>
          <w:color w:val="53402E"/>
          <w:sz w:val="18"/>
        </w:rPr>
        <w:t>└───────────────────────────────┘</w:t>
      </w:r>
    </w:p>
    <w:p w14:paraId="415317F1" w14:textId="77777777" w:rsidR="000D3032" w:rsidRDefault="000D3032">
      <w:pPr>
        <w:rPr>
          <w:rFonts w:ascii="Consolas" w:hAnsi="Consolas" w:cs="Calibri"/>
          <w:color w:val="000000"/>
          <w:sz w:val="18"/>
        </w:rPr>
      </w:pPr>
    </w:p>
    <w:p w14:paraId="0C57518A" w14:textId="77777777" w:rsidR="000D3032" w:rsidRDefault="000D3032">
      <w:pPr>
        <w:rPr>
          <w:rFonts w:ascii="Consolas" w:hAnsi="Consolas" w:cs="Calibri"/>
          <w:color w:val="000000"/>
          <w:sz w:val="18"/>
        </w:rPr>
      </w:pPr>
    </w:p>
    <w:p w14:paraId="7ED2A1B0" w14:textId="7191DEC9" w:rsidR="000D3032" w:rsidRDefault="000D3032">
      <w:pPr>
        <w:rPr>
          <w:rFonts w:ascii="Calibri" w:hAnsi="Calibri" w:cs="Calibri"/>
          <w:b/>
          <w:color w:val="B6752E"/>
        </w:rPr>
      </w:pPr>
      <w:r>
        <w:rPr>
          <w:rFonts w:ascii="Calibri" w:hAnsi="Calibri" w:cs="Calibri"/>
          <w:b/>
          <w:color w:val="B6752E"/>
        </w:rPr>
        <w:t>Traçabilité</w:t>
      </w:r>
    </w:p>
    <w:p w14:paraId="5D8ABBAE" w14:textId="77777777" w:rsidR="000D3032" w:rsidRDefault="000D3032">
      <w:pPr>
        <w:rPr>
          <w:rFonts w:ascii="Calibri" w:hAnsi="Calibri" w:cs="Calibri"/>
          <w:color w:val="000000"/>
        </w:rPr>
      </w:pPr>
    </w:p>
    <w:p w14:paraId="2248914D" w14:textId="54FB06D8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Tous les accès au modèle sémantique sont tracés dans les journaux d'activité Fabric</w:t>
      </w:r>
    </w:p>
    <w:p w14:paraId="3AF94CBB" w14:textId="090164B3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La table security_table constitue un registre auditable des habilitations par utilisateur</w:t>
      </w:r>
    </w:p>
    <w:p w14:paraId="0A628304" w14:textId="0048D805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Les consentements sont versionnés dans bridge_ins_customers côté domaine bancaire</w:t>
      </w:r>
    </w:p>
    <w:p w14:paraId="162C7421" w14:textId="77777777" w:rsidR="000D3032" w:rsidRDefault="000D3032">
      <w:pPr>
        <w:rPr>
          <w:rFonts w:ascii="Calibri" w:hAnsi="Calibri" w:cs="Calibri"/>
          <w:color w:val="000000"/>
          <w:sz w:val="22"/>
        </w:rPr>
      </w:pPr>
    </w:p>
    <w:p w14:paraId="588CBF85" w14:textId="2A9C3B6B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________________________________________________________________________________</w:t>
      </w:r>
    </w:p>
    <w:p w14:paraId="0AD6B98F" w14:textId="77777777" w:rsidR="000D3032" w:rsidRDefault="000D3032">
      <w:pPr>
        <w:rPr>
          <w:rFonts w:ascii="Calibri" w:hAnsi="Calibri" w:cs="Calibri"/>
          <w:color w:val="000000"/>
          <w:sz w:val="22"/>
        </w:rPr>
      </w:pPr>
    </w:p>
    <w:p w14:paraId="1687316E" w14:textId="77777777" w:rsidR="000D3032" w:rsidRDefault="000D3032">
      <w:pPr>
        <w:rPr>
          <w:rFonts w:ascii="Calibri" w:hAnsi="Calibri" w:cs="Calibri"/>
          <w:color w:val="000000"/>
          <w:sz w:val="22"/>
        </w:rPr>
      </w:pPr>
    </w:p>
    <w:p w14:paraId="5882A0AB" w14:textId="265AA401" w:rsidR="000D3032" w:rsidRDefault="000D3032">
      <w:pPr>
        <w:rPr>
          <w:rFonts w:ascii="Calibri" w:hAnsi="Calibri" w:cs="Calibri"/>
          <w:b/>
          <w:color w:val="B6752E"/>
          <w:sz w:val="30"/>
        </w:rPr>
      </w:pPr>
      <w:r>
        <w:rPr>
          <w:rFonts w:ascii="Calibri" w:hAnsi="Calibri" w:cs="Calibri"/>
          <w:b/>
          <w:color w:val="B6752E"/>
          <w:sz w:val="30"/>
        </w:rPr>
        <w:t>7. Perspectives et évolutions</w:t>
      </w:r>
    </w:p>
    <w:p w14:paraId="3C077A5F" w14:textId="77777777" w:rsidR="000D3032" w:rsidRDefault="000D3032">
      <w:pPr>
        <w:rPr>
          <w:rFonts w:ascii="Calibri" w:hAnsi="Calibri" w:cs="Calibri"/>
          <w:color w:val="000000"/>
          <w:sz w:val="30"/>
        </w:rPr>
      </w:pPr>
    </w:p>
    <w:p w14:paraId="263195DA" w14:textId="574E9519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| Évolution   |   Description |</w:t>
      </w:r>
    </w:p>
    <w:p w14:paraId="26B713A7" w14:textId="5879B406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| **Object-Level Security (OLS)**   |   Masquage de colonnes entières (ex : `balance`) selon le rôle, sans `FALSE()` |</w:t>
      </w:r>
    </w:p>
    <w:p w14:paraId="1A37A060" w14:textId="63103C6B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| **Gouvernance via Purview**   |   Classification des tables sensibles et politiques d'accès centralisées |</w:t>
      </w:r>
    </w:p>
    <w:p w14:paraId="491D2CAE" w14:textId="7F47FBC8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| **Automatisation du consentement**   |   Mise à jour en temps réel de `bridge_ins_customers` depuis le SI bancaire |</w:t>
      </w:r>
    </w:p>
    <w:p w14:paraId="30875609" w14:textId="52FC6CB0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| **Multi-entités**   |   Extension du modèle à d'autres domaines (crédit, patrimoine, leasing) avec le même pattern shortcut + RLS |</w:t>
      </w:r>
    </w:p>
    <w:p w14:paraId="6334A04F" w14:textId="74F6D52E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| **Audit d'accès**   |   Rapport Power BI sur les accès par rôle, fréquence, données consultées |</w:t>
      </w:r>
    </w:p>
    <w:p w14:paraId="6197D072" w14:textId="77777777" w:rsidR="000D3032" w:rsidRDefault="000D3032">
      <w:pPr>
        <w:rPr>
          <w:rFonts w:ascii="Consolas" w:hAnsi="Consolas" w:cs="Calibri"/>
          <w:color w:val="000000"/>
          <w:sz w:val="18"/>
        </w:rPr>
      </w:pPr>
    </w:p>
    <w:p w14:paraId="4CF03E3D" w14:textId="379090F6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________________________________________________________________________________</w:t>
      </w:r>
    </w:p>
    <w:p w14:paraId="2955BFF6" w14:textId="77777777" w:rsidR="000D3032" w:rsidRDefault="000D3032">
      <w:pPr>
        <w:rPr>
          <w:rFonts w:ascii="Consolas" w:hAnsi="Consolas" w:cs="Calibri"/>
          <w:color w:val="000000"/>
          <w:sz w:val="18"/>
        </w:rPr>
      </w:pPr>
    </w:p>
    <w:p w14:paraId="1D1D9D89" w14:textId="77777777" w:rsidR="000D3032" w:rsidRDefault="000D3032">
      <w:pPr>
        <w:rPr>
          <w:rFonts w:ascii="Consolas" w:hAnsi="Consolas" w:cs="Calibri"/>
          <w:color w:val="000000"/>
          <w:sz w:val="18"/>
        </w:rPr>
      </w:pPr>
    </w:p>
    <w:p w14:paraId="4535C6F7" w14:textId="3B1EDD1A" w:rsidR="000D3032" w:rsidRDefault="000D3032">
      <w:pPr>
        <w:rPr>
          <w:rFonts w:ascii="Calibri" w:hAnsi="Calibri" w:cs="Calibri"/>
          <w:b/>
          <w:color w:val="B6752E"/>
          <w:sz w:val="30"/>
        </w:rPr>
      </w:pPr>
      <w:r>
        <w:rPr>
          <w:rFonts w:ascii="Calibri" w:hAnsi="Calibri" w:cs="Calibri"/>
          <w:b/>
          <w:color w:val="B6752E"/>
          <w:sz w:val="30"/>
        </w:rPr>
        <w:t>8. Références techniques</w:t>
      </w:r>
    </w:p>
    <w:p w14:paraId="0597F6ED" w14:textId="77777777" w:rsidR="000D3032" w:rsidRDefault="000D3032">
      <w:pPr>
        <w:rPr>
          <w:rFonts w:ascii="Calibri" w:hAnsi="Calibri" w:cs="Calibri"/>
          <w:color w:val="000000"/>
          <w:sz w:val="30"/>
        </w:rPr>
      </w:pPr>
    </w:p>
    <w:p w14:paraId="42A51B3D" w14:textId="5312CB46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| Composant   |   Technologie   |   Documentation |</w:t>
      </w:r>
    </w:p>
    <w:p w14:paraId="7B9CFE63" w14:textId="50D807F0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| Stockage   |   Microsoft Fabric OneLake (Delta Parquet)   |   [aka.ms/fabric-onelake](https://aka.ms/fabric-onelake) |</w:t>
      </w:r>
    </w:p>
    <w:p w14:paraId="69229B06" w14:textId="6FA23395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| Partage inter-workspace   |   OneLake Shortcuts   |   [aka.ms/onelake-shortcuts](https://aka.ms/onelake-shortcuts) |</w:t>
      </w:r>
    </w:p>
    <w:p w14:paraId="251DE398" w14:textId="06B11165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| Modèle analytique   |   Direct Lake Semantic Model (TMDL)   |   [aka.ms/direct-lake](https://aka.ms/direct-lake) |</w:t>
      </w:r>
    </w:p>
    <w:p w14:paraId="3D59B362" w14:textId="354389D9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| Sécurité des données   |   Row-Level Security DAX   |   [aka.ms/pbi-rls](https://aka.ms/pbi-rls) |</w:t>
      </w:r>
    </w:p>
    <w:p w14:paraId="1A9EFC39" w14:textId="603EC409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| Gestion des identités   |   Microsoft Entra ID (Azure AD)   |   [aka.ms/entra](https://aka.ms/entra) |</w:t>
      </w:r>
    </w:p>
    <w:p w14:paraId="33E913BE" w14:textId="0FA735E5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| Déploiement   |   Fabric REST API + PowerShell   |   [aka.ms/fabric-api](https://aka.ms/fabric-api) |</w:t>
      </w:r>
    </w:p>
    <w:p w14:paraId="3E283830" w14:textId="77777777" w:rsidR="000D3032" w:rsidRDefault="000D3032">
      <w:pPr>
        <w:rPr>
          <w:rFonts w:ascii="Consolas" w:hAnsi="Consolas" w:cs="Calibri"/>
          <w:color w:val="000000"/>
          <w:sz w:val="18"/>
        </w:rPr>
      </w:pPr>
    </w:p>
    <w:p w14:paraId="32F5E091" w14:textId="1DB4F890" w:rsidR="000D3032" w:rsidRDefault="000D3032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________________________________________________________________________________</w:t>
      </w:r>
    </w:p>
    <w:p w14:paraId="06C4529D" w14:textId="77777777" w:rsidR="000D3032" w:rsidRDefault="000D3032">
      <w:pPr>
        <w:rPr>
          <w:rFonts w:ascii="Consolas" w:hAnsi="Consolas" w:cs="Calibri"/>
          <w:color w:val="000000"/>
          <w:sz w:val="18"/>
        </w:rPr>
      </w:pPr>
    </w:p>
    <w:p w14:paraId="47DE7864" w14:textId="3CBD6028" w:rsidR="000D3032" w:rsidRDefault="000D3032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*Document produit dans le cadre du PoC CA-GIP — Architecture données cross-domaine Microsoft Fabric*</w:t>
      </w:r>
    </w:p>
    <w:p w14:paraId="5C8B7215" w14:textId="77777777" w:rsidR="000D3032" w:rsidRPr="000D3032" w:rsidRDefault="000D3032">
      <w:pPr>
        <w:rPr>
          <w:rFonts w:ascii="Calibri" w:hAnsi="Calibri" w:cs="Calibri"/>
          <w:color w:val="000000"/>
          <w:sz w:val="22"/>
        </w:rPr>
      </w:pPr>
    </w:p>
    <w:sectPr w:rsidR="000D3032" w:rsidRPr="000D3032" w:rsidSect="000D3032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032"/>
    <w:rsid w:val="000A354D"/>
    <w:rsid w:val="000D3032"/>
    <w:rsid w:val="001421CE"/>
    <w:rsid w:val="001A0EFE"/>
    <w:rsid w:val="0058049A"/>
    <w:rsid w:val="0071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3DDDD"/>
  <w15:chartTrackingRefBased/>
  <w15:docId w15:val="{D3336A8A-D424-474B-A474-2AD681FFB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1510</Words>
  <Characters>8611</Characters>
  <Application>Microsoft Office Word</Application>
  <DocSecurity>0</DocSecurity>
  <Lines>71</Lines>
  <Paragraphs>20</Paragraphs>
  <ScaleCrop>false</ScaleCrop>
  <Company/>
  <LinksUpToDate>false</LinksUpToDate>
  <CharactersWithSpaces>10101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PIERRE</dc:creator>
  <cp:keywords/>
  <dc:description/>
  <cp:lastModifiedBy>Julien PIERRE</cp:lastModifiedBy>
  <cp:revision>1</cp:revision>
  <dcterms:created xsi:type="dcterms:W3CDTF">2026-06-03T07:29:00Z</dcterms:created>
  <dcterms:modified xsi:type="dcterms:W3CDTF">2026-06-03T07:29:00Z</dcterms:modified>
</cp:coreProperties>
</file>