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sz w:val="28"/>
        </w:rPr>
        <w:t>NeuroAgenda: predicción del riesgo de inasistencia en consulta ambulatoria de psicología, nutrición y fisioterapia</w:t>
      </w:r>
    </w:p>
    <w:p>
      <w:pPr>
        <w:spacing w:after="80"/>
        <w:jc w:val="left"/>
      </w:pPr>
      <w:r>
        <w:rPr>
          <w:i w:val="0"/>
          <w:sz w:val="20"/>
        </w:rPr>
        <w:t xml:space="preserve">MINE-4101 Ciencia de Datos Aplicada · Proyecto final · Entrega 1 · Octubre 2026 · Equipo: </w:t>
      </w:r>
      <w:r>
        <w:rPr>
          <w:i w:val="0"/>
          <w:sz w:val="20"/>
          <w:highlight w:val="yellow"/>
        </w:rPr>
        <w:t>Nombre integrante 1; Nombre integrante 2</w:t>
      </w:r>
      <w:r>
        <w:rPr>
          <w:i w:val="0"/>
          <w:sz w:val="20"/>
        </w:rPr>
        <w:t xml:space="preserve"> · Repositorio: https://github.com/Juliethr3/neuroagenda-minhalma · Video: </w:t>
      </w:r>
      <w:r>
        <w:rPr>
          <w:i w:val="0"/>
          <w:sz w:val="20"/>
          <w:highlight w:val="yellow"/>
        </w:rPr>
        <w:t>enlace YouTube</w:t>
      </w:r>
    </w:p>
    <w:p>
      <w:pPr>
        <w:keepNext/>
        <w:spacing w:before="120" w:after="40"/>
      </w:pPr>
      <w:r>
        <w:rPr>
          <w:b/>
          <w:color w:val="1F3A5F"/>
          <w:sz w:val="24"/>
        </w:rPr>
        <w:t>1. Problemática y entendimiento del negocio</w:t>
      </w:r>
    </w:p>
    <w:p>
      <w:pPr>
        <w:spacing w:after="60"/>
        <w:jc w:val="both"/>
      </w:pPr>
      <w:r>
        <w:rPr>
          <w:b/>
          <w:i w:val="0"/>
          <w:sz w:val="24"/>
        </w:rPr>
        <w:t>Organización.</w:t>
      </w:r>
      <w:r>
        <w:rPr>
          <w:i w:val="0"/>
          <w:sz w:val="24"/>
        </w:rPr>
        <w:t xml:space="preserve"> </w:t>
      </w:r>
      <w:r>
        <w:rPr>
          <w:b/>
          <w:i w:val="0"/>
          <w:sz w:val="24"/>
        </w:rPr>
        <w:t>MinHalma</w:t>
      </w:r>
      <w:r>
        <w:rPr>
          <w:i w:val="0"/>
          <w:sz w:val="24"/>
        </w:rPr>
        <w:t xml:space="preserve">, centro de salud ambulatorio de reciente creación que ofrece psicología, nutrición y fisioterapia. </w:t>
      </w:r>
      <w:r>
        <w:rPr>
          <w:b/>
          <w:i w:val="0"/>
          <w:sz w:val="24"/>
        </w:rPr>
        <w:t>Stakeholder:</w:t>
      </w:r>
      <w:r>
        <w:rPr>
          <w:i w:val="0"/>
          <w:sz w:val="24"/>
        </w:rPr>
        <w:t xml:space="preserve"> </w:t>
      </w:r>
      <w:r>
        <w:rPr>
          <w:i w:val="0"/>
          <w:sz w:val="24"/>
          <w:highlight w:val="yellow"/>
        </w:rPr>
        <w:t>nombre y cargo</w:t>
      </w:r>
      <w:r>
        <w:rPr>
          <w:i w:val="0"/>
          <w:sz w:val="24"/>
        </w:rPr>
        <w:t>. Por ser un centro nuevo, su historial de citas aún es corto: esto justifica validar el enfoque con un conjunto público (sección 5) y es, a la vez, una oportunidad para estandarizar desde el inicio el registro del estado de cada cita.</w:t>
      </w:r>
    </w:p>
    <w:p>
      <w:pPr>
        <w:spacing w:after="60"/>
        <w:jc w:val="both"/>
      </w:pPr>
      <w:r>
        <w:rPr>
          <w:b/>
          <w:i w:val="0"/>
          <w:sz w:val="24"/>
        </w:rPr>
        <w:t>Problema.</w:t>
      </w:r>
      <w:r>
        <w:rPr>
          <w:i w:val="0"/>
          <w:sz w:val="24"/>
        </w:rPr>
        <w:t xml:space="preserve"> Una de cada cinco citas ambulatorias no se cumple: la tasa promedio de inasistencia (no-show) reportada en 105 estudios es cercana al 23 % (Dantas et al., 2018). En Colombia, el Hospital Regional de San Gil reportó 15.464 citas incumplidas solo en el primer semestre de 2025 (Blu Radio, 2025), y la ECV 2025 del DANE muestra que la proporción de personas con un problema de salud que acudieron a su entidad bajó de 63,3 % a 56,8 % entre 2024 y 2025 (Valora Analitik, 2026). Psicología, nutrición y fisioterapia funcionan por sesiones recurrentes: cada inasistencia es tiempo profesional no facturado, un cupo que otro paciente no pudo usar y una ruptura de la continuidad del tratamiento. Para un centro nuevo, la ocupación de agenda es además una condición de sostenibilidad financiera. Hoy los recordatorios son indiscriminados: se contacta igual a quien siempre asiste que a quien probablemente faltará.</w:t>
      </w:r>
    </w:p>
    <w:p>
      <w:pPr>
        <w:spacing w:after="60"/>
        <w:jc w:val="both"/>
      </w:pPr>
      <w:r>
        <w:rPr>
          <w:b/>
          <w:i w:val="0"/>
          <w:sz w:val="24"/>
        </w:rPr>
        <w:t>Oportunidad y objetivo.</w:t>
      </w:r>
      <w:r>
        <w:rPr>
          <w:i w:val="0"/>
          <w:sz w:val="24"/>
        </w:rPr>
        <w:t xml:space="preserve"> Estimar, al momento de agendar y 72 h antes de la cita, la probabilidad individual de inasistencia para </w:t>
      </w:r>
      <w:r>
        <w:rPr>
          <w:b/>
          <w:i w:val="0"/>
          <w:sz w:val="24"/>
        </w:rPr>
        <w:t>focalizar las acciones de confirmación y reasignación de cupos</w:t>
      </w:r>
      <w:r>
        <w:rPr>
          <w:i w:val="0"/>
          <w:sz w:val="24"/>
        </w:rPr>
        <w:t xml:space="preserve"> en las citas de mayor riesgo. Objetivos específicos: (O1) construir y validar un modelo calibrado de riesgo; (O2) exponerlo mediante una API REST; (O3) entregar un tablero operativo con la lista priorizada y los KPI.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KPI de negocio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Definición</w:t>
            </w:r>
          </w:p>
        </w:tc>
        <w:tc>
          <w:tcPr>
            <w:tcW w:type="dxa" w:w="3572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Meta a 6 meses (propuesta)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Tasa de inasistencia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Citas no asistidas / citas programadas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Reducción relativa ≥ 20 % frente a la línea base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Cupos recuperados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Cupos liberados con antelación y reasignados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≥ 50 % de las cancelaciones anticipadas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Ocupación efectiva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Horas de especialista atendidas / horas ofertadas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+5 p.p.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Eficiencia de contacto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Inasistencias evitadas por cada 100 contactos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Superior a la estrategia de contactar al azar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Equidad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Brecha de recall del modelo entre grupos de edad, sexo y subsidio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20"/>
              </w:rPr>
              <w:t>≤ 5 p.p.</w:t>
            </w:r>
          </w:p>
        </w:tc>
      </w:tr>
    </w:tbl>
    <w:p>
      <w:pPr>
        <w:spacing w:after="0"/>
      </w:pPr>
    </w:p>
    <w:p>
      <w:pPr>
        <w:keepNext/>
        <w:spacing w:before="120" w:after="40"/>
      </w:pPr>
      <w:r>
        <w:rPr>
          <w:b/>
          <w:color w:val="1F3A5F"/>
          <w:sz w:val="24"/>
        </w:rPr>
        <w:t>2. Ideación del producto de datos</w:t>
      </w:r>
    </w:p>
    <w:p>
      <w:pPr>
        <w:spacing w:after="60"/>
        <w:jc w:val="both"/>
      </w:pPr>
      <w:r>
        <w:rPr>
          <w:b/>
          <w:i w:val="0"/>
          <w:sz w:val="24"/>
        </w:rPr>
        <w:t>Usuarios y dolores.</w:t>
      </w:r>
      <w:r>
        <w:rPr>
          <w:i w:val="0"/>
          <w:sz w:val="24"/>
        </w:rPr>
        <w:t xml:space="preserve"> (i) </w:t>
      </w:r>
      <w:r>
        <w:rPr>
          <w:i/>
          <w:sz w:val="24"/>
        </w:rPr>
        <w:t>Coordinación de agenda/call center</w:t>
      </w:r>
      <w:r>
        <w:rPr>
          <w:i w:val="0"/>
          <w:sz w:val="24"/>
        </w:rPr>
        <w:t xml:space="preserve">: no sabe a quién llamar primero y sobreagenda a ciegas. (ii) </w:t>
      </w:r>
      <w:r>
        <w:rPr>
          <w:i/>
          <w:sz w:val="24"/>
        </w:rPr>
        <w:t>Dirección de MinHalma</w:t>
      </w:r>
      <w:r>
        <w:rPr>
          <w:i w:val="0"/>
          <w:sz w:val="24"/>
        </w:rPr>
        <w:t xml:space="preserve">: pierde capacidad facturable y no mide el efecto de las estrategias de recordatorio. (iii) </w:t>
      </w:r>
      <w:r>
        <w:rPr>
          <w:i/>
          <w:sz w:val="24"/>
        </w:rPr>
        <w:t>Psicólogos, nutricionistas y fisioterapeutas</w:t>
      </w:r>
      <w:r>
        <w:rPr>
          <w:i w:val="0"/>
          <w:sz w:val="24"/>
        </w:rPr>
        <w:t xml:space="preserve">: huecos en la agenda y pacientes que interrumpen el plan de sesiones. (iv) </w:t>
      </w:r>
      <w:r>
        <w:rPr>
          <w:i/>
          <w:sz w:val="24"/>
        </w:rPr>
        <w:t>Pacientes</w:t>
      </w:r>
      <w:r>
        <w:rPr>
          <w:i w:val="0"/>
          <w:sz w:val="24"/>
        </w:rPr>
        <w:t>: listas de espera más largas por cupos perdidos.</w:t>
      </w:r>
    </w:p>
    <w:p>
      <w:pPr>
        <w:spacing w:after="60"/>
        <w:jc w:val="both"/>
      </w:pPr>
      <w:r>
        <w:rPr>
          <w:b/>
          <w:i w:val="0"/>
          <w:sz w:val="24"/>
        </w:rPr>
        <w:t>Componentes (4 de 4):</w:t>
      </w:r>
      <w:r>
        <w:rPr>
          <w:i w:val="0"/>
          <w:sz w:val="24"/>
        </w:rPr>
        <w:t xml:space="preserve"> (1) </w:t>
      </w:r>
      <w:r>
        <w:rPr>
          <w:b/>
          <w:i w:val="0"/>
          <w:sz w:val="24"/>
        </w:rPr>
        <w:t>modelo de ML</w:t>
      </w:r>
      <w:r>
        <w:rPr>
          <w:i w:val="0"/>
          <w:sz w:val="24"/>
        </w:rPr>
        <w:t xml:space="preserve"> de riesgo por cita, calibrado y explicable (SHAP); (2) </w:t>
      </w:r>
      <w:r>
        <w:rPr>
          <w:b/>
          <w:i w:val="0"/>
          <w:sz w:val="24"/>
        </w:rPr>
        <w:t>API REST</w:t>
      </w:r>
      <w:r>
        <w:rPr>
          <w:i w:val="0"/>
          <w:sz w:val="24"/>
        </w:rPr>
        <w:t xml:space="preserve"> (FastAPI) con endpoints /score y /explain consumidos por el sistema de agendamiento; (3) </w:t>
      </w:r>
      <w:r>
        <w:rPr>
          <w:b/>
          <w:i w:val="0"/>
          <w:sz w:val="24"/>
        </w:rPr>
        <w:t>dashboard</w:t>
      </w:r>
      <w:r>
        <w:rPr>
          <w:i w:val="0"/>
          <w:sz w:val="24"/>
        </w:rPr>
        <w:t xml:space="preserve"> (Streamlit) con lista priorizada, acción sugerida y KPI; (4) integración opcional con mensajería para recordatorios focalizados. </w:t>
      </w:r>
      <w:r>
        <w:rPr>
          <w:b/>
          <w:i w:val="0"/>
          <w:sz w:val="24"/>
        </w:rPr>
        <w:t>Requerimientos clave:</w:t>
      </w:r>
      <w:r>
        <w:rPr>
          <w:i w:val="0"/>
          <w:sz w:val="24"/>
        </w:rPr>
        <w:t xml:space="preserve"> puntaje al agendar y en D-3; latencia &lt; 500 ms por cita; seudonimización y control de acceso por rol; registro de la acción tomada y su desenlace (para medir impacto y reentrenar); monitoreo de calibración y deriva. </w:t>
      </w:r>
      <w:r>
        <w:rPr>
          <w:b/>
          <w:i w:val="0"/>
          <w:sz w:val="24"/>
        </w:rPr>
        <w:t>Restricción de uso:</w:t>
      </w:r>
      <w:r>
        <w:rPr>
          <w:i w:val="0"/>
          <w:sz w:val="24"/>
        </w:rPr>
        <w:t xml:space="preserve"> el puntaje solo activa acciones de apoyo (confirmar, recordar, reasignar cupos liberados); nunca se usa para negar o postergar una cita.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i/>
          <w:sz w:val="20"/>
        </w:rPr>
        <w:t>Figura 1. Mockup del tablero operativo de NeuroAgenda (datos ficticios). Fuente: elaboración propia.</w:t>
      </w:r>
    </w:p>
    <w:p>
      <w:pPr>
        <w:keepNext/>
        <w:spacing w:before="120" w:after="40"/>
      </w:pPr>
      <w:r>
        <w:rPr>
          <w:b/>
          <w:color w:val="1F3A5F"/>
          <w:sz w:val="24"/>
        </w:rPr>
        <w:t>3. Aspectos éticos y legales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Riesgo</w:t>
            </w:r>
          </w:p>
        </w:tc>
        <w:tc>
          <w:tcPr>
            <w:tcW w:type="dxa" w:w="3912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Marco aplicable</w:t>
            </w:r>
          </w:p>
        </w:tc>
        <w:tc>
          <w:tcPr>
            <w:tcW w:type="dxa" w:w="3572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Mitigación en el producto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Datos de salud = datos sensibles</w:t>
            </w:r>
          </w:p>
        </w:tc>
        <w:tc>
          <w:tcPr>
            <w:tcW w:type="dxa" w:w="391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Ley 1581 de 2012 (arts. 5–6) y Decreto 1377 de 2013: autorización previa, expresa e informada y finalidad explícita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Autorización en el aviso de privacidad de MinHalma; minimización (solo variables de agenda); seudonimización en origen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Reserva de historia clínica y secreto profesional (crítico en salud mental)</w:t>
            </w:r>
          </w:p>
        </w:tc>
        <w:tc>
          <w:tcPr>
            <w:tcW w:type="dxa" w:w="391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Resolución 1995 de 1999; Ley 1090 de 2006 (psicología); Ley 528 de 1999 (fisioterapia); Ley 73 de 1979 (nutrición); Ley 1616 de 2013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El modelo no usa diagnósticos ni notas clínicas; el tablero no muestra nombre ni diagnóstico; acceso por rol y auditoría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Interoperabilidad y custodia</w:t>
            </w:r>
          </w:p>
        </w:tc>
        <w:tc>
          <w:tcPr>
            <w:tcW w:type="dxa" w:w="391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Ley 2015 de 2020 (historia clínica electrónica interoperable)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Acuerdo de transferencia y confidencialidad con MinHalma; los datos permanecen en su infraestructura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Sesgo y discriminación algorítmica</w:t>
            </w:r>
          </w:p>
        </w:tc>
        <w:tc>
          <w:tcPr>
            <w:tcW w:type="dxa" w:w="391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CONPES 3975 de 2019 (IA confiable); evidencia de sesgo en algoritmos de salud (Obermeyer et al., 2019)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Variables como subsidio y barrio son proxies socioeconómicos: auditoría de equidad por subgrupo y prohibición de uso restrictivo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Investigación con datos secundarios</w:t>
            </w:r>
          </w:p>
        </w:tc>
        <w:tc>
          <w:tcPr>
            <w:tcW w:type="dxa" w:w="391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Resolución 8430 de 1993 (investigación sin riesgo)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Aval de un comité de ética (el de la universidad, si MinHalma no cuenta con uno) antes de usar datos reales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Transferibilidad del conjunto proxy</w:t>
            </w:r>
          </w:p>
        </w:tc>
        <w:tc>
          <w:tcPr>
            <w:tcW w:type="dxa" w:w="391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Datos públicos y anonimizados (Kaggle); contexto Brasil 2016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Uso solo exploratorio; el modelo final se entrena con datos de MinHalma</w:t>
            </w:r>
          </w:p>
        </w:tc>
      </w:tr>
    </w:tbl>
    <w:p>
      <w:pPr>
        <w:spacing w:after="0"/>
      </w:pPr>
    </w:p>
    <w:p>
      <w:pPr>
        <w:keepNext/>
        <w:spacing w:before="120" w:after="40"/>
      </w:pPr>
      <w:r>
        <w:rPr>
          <w:b/>
          <w:color w:val="1F3A5F"/>
          <w:sz w:val="24"/>
        </w:rPr>
        <w:t>4. Enfoque analítico</w:t>
      </w:r>
    </w:p>
    <w:p>
      <w:pPr>
        <w:spacing w:after="60"/>
        <w:jc w:val="both"/>
      </w:pPr>
      <w:r>
        <w:rPr>
          <w:b/>
          <w:i w:val="0"/>
          <w:sz w:val="24"/>
        </w:rPr>
        <w:t>Pregunta de negocio:</w:t>
      </w:r>
      <w:r>
        <w:rPr>
          <w:i w:val="0"/>
          <w:sz w:val="24"/>
        </w:rPr>
        <w:t xml:space="preserve"> ¿a qué citas debe dirigirse la confirmación activa para evitar el mayor número de inasistencias con una capacidad de contacto limitada? Se formula como </w:t>
      </w:r>
      <w:r>
        <w:rPr>
          <w:b/>
          <w:i w:val="0"/>
          <w:sz w:val="24"/>
        </w:rPr>
        <w:t>clasificación binaria supervisada</w:t>
      </w:r>
      <w:r>
        <w:rPr>
          <w:i w:val="0"/>
          <w:sz w:val="24"/>
        </w:rPr>
        <w:t xml:space="preserve"> (no-show = 1) con desbalance moderado (20,2 %). Hipótesis (estado preliminar según el EDA, sección 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72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Hipótesis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Técnica de contraste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Evidencia preliminar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H1. A mayor antelación entre agendamiento y cita, mayor inasistencia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Mann-Whitney, χ², OR ajustado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Soportada: 4,6 % (mismo día) vs. 34,2 % (31–60 d)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H2. El historial de inasistencias del paciente es predictor independiente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Regresión logística, tasas por historial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Soportada: OR = 1,44 [IC 95 %: 1,36–1,52]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H3. El recordatorio SMS reduce la inasistencia una vez ajustado por antelación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OR de Mantel-Haenszel estratificado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Soportada: OR crudo 1,90 → OR MH 0,77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H4. El riesgo varía por edad y nivel socioeconómico (alerta de equidad)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χ², V de Cramér, OR ajustados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Soportada: 12–17 años 26,4 % vs. 60–74 15,0 %; subsidio OR = 1,30 [IC 95 %: 1,24–1,37]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H5. Las variables de agenda bastan para priorizar contactos mejor que el azar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Validación cruzada agrupada por paciente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Soportada: ROC-AUC 0,733; contactar el 30 % de mayor riesgo captura 53 % de los no-show</w:t>
            </w:r>
          </w:p>
        </w:tc>
      </w:tr>
    </w:tbl>
    <w:p>
      <w:pPr>
        <w:spacing w:after="0"/>
      </w:pPr>
    </w:p>
    <w:p>
      <w:pPr>
        <w:spacing w:after="60"/>
        <w:jc w:val="both"/>
      </w:pPr>
      <w:r>
        <w:rPr>
          <w:b/>
          <w:i w:val="0"/>
          <w:sz w:val="24"/>
        </w:rPr>
        <w:t>Técnicas (Entrega 2):</w:t>
      </w:r>
      <w:r>
        <w:rPr>
          <w:i w:val="0"/>
          <w:sz w:val="24"/>
        </w:rPr>
        <w:t xml:space="preserve"> regresión logística regularizada (línea base interpretable), Random Forest y gradient boosting (LightGBM/XGBoost), que la literatura reporta como los de mejor desempeño en este problema (Salazar et al., 2022), con búsqueda de hiperparámetros; calibración isotónica; explicabilidad con SHAP. </w:t>
      </w:r>
      <w:r>
        <w:rPr>
          <w:b/>
          <w:i w:val="0"/>
          <w:sz w:val="24"/>
        </w:rPr>
        <w:t>Validación:</w:t>
      </w:r>
      <w:r>
        <w:rPr>
          <w:i w:val="0"/>
          <w:sz w:val="24"/>
        </w:rPr>
        <w:t xml:space="preserve"> GroupKFold por paciente (evita fuga entre citas de una misma persona) y partición temporal (últimas semanas como prueba). </w:t>
      </w:r>
      <w:r>
        <w:rPr>
          <w:b/>
          <w:i w:val="0"/>
          <w:sz w:val="24"/>
        </w:rPr>
        <w:t>Métricas del modelo:</w:t>
      </w:r>
      <w:r>
        <w:rPr>
          <w:i w:val="0"/>
          <w:sz w:val="24"/>
        </w:rPr>
        <w:t xml:space="preserve"> PR-AUC (principal, por el desbalance), ROC-AUC, recall y precisión en el top-k % (capacidad real de llamadas), Brier y curva de calibración, y brecha de recall entre subgrupos. El umbral se elegirá por costo esperado (costo del contacto vs. valor del cupo recuperado).</w:t>
      </w:r>
    </w:p>
    <w:p>
      <w:pPr>
        <w:keepNext/>
        <w:spacing w:before="120" w:after="40"/>
      </w:pPr>
      <w:r>
        <w:rPr>
          <w:b/>
          <w:color w:val="1F3A5F"/>
          <w:sz w:val="24"/>
        </w:rPr>
        <w:t>5. Recolección de datos</w:t>
      </w:r>
    </w:p>
    <w:p>
      <w:pPr>
        <w:spacing w:after="60"/>
        <w:jc w:val="both"/>
      </w:pPr>
      <w:r>
        <w:rPr>
          <w:b/>
          <w:i w:val="0"/>
          <w:sz w:val="24"/>
        </w:rPr>
        <w:t>Fuente 1 (disponible, proxy):</w:t>
      </w:r>
      <w:r>
        <w:rPr>
          <w:i w:val="0"/>
          <w:sz w:val="24"/>
        </w:rPr>
        <w:t xml:space="preserve"> </w:t>
      </w:r>
      <w:r>
        <w:rPr>
          <w:i/>
          <w:sz w:val="24"/>
        </w:rPr>
        <w:t>Medical Appointment No Shows</w:t>
      </w:r>
      <w:r>
        <w:rPr>
          <w:i w:val="0"/>
          <w:sz w:val="24"/>
        </w:rPr>
        <w:t xml:space="preserve"> (Hoppen, 2016), CSV estructurado de 110.527 citas × 14 atributos de 62.299 pacientes del sistema público de Vitória (Brasil), citas entre 2016-04-29 y 2016-06-08. Permite validar hipótesis y pipeline mientras se formaliza el acceso. </w:t>
      </w:r>
      <w:r>
        <w:rPr>
          <w:b/>
          <w:i w:val="0"/>
          <w:sz w:val="24"/>
        </w:rPr>
        <w:t>Fuente 2 (Entrega 2):</w:t>
      </w:r>
      <w:r>
        <w:rPr>
          <w:i w:val="0"/>
          <w:sz w:val="24"/>
        </w:rPr>
        <w:t xml:space="preserve"> extracto seudonimizado del sistema de agendamiento de MinHalma (cita, servicio, profesional, hora, canal, estado asistió/canceló/no asistió, edad, sexo, régimen, municipio). </w:t>
      </w:r>
      <w:r>
        <w:rPr>
          <w:b/>
          <w:i w:val="0"/>
          <w:sz w:val="24"/>
        </w:rPr>
        <w:t>Fuente 3:</w:t>
      </w:r>
      <w:r>
        <w:rPr>
          <w:i w:val="0"/>
          <w:sz w:val="24"/>
        </w:rPr>
        <w:t xml:space="preserve"> calendario de festivos de Colombia. Diccionario completo en el repositorio (docs/diccionario_datos.md); atributos principales: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Atributo (original)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3458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Relevancia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AppointmentID / PatientId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ID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Identificador de cita / paciente (seudónimo)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Agrupación y historial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ScheduledDay / AppointmentDay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Fecha-hora de agendamiento / fecha de la cita (sin hora)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Deriva la antelación (predictor principal)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Age, Gender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Num. / Cat.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Edad en años; sexo (F/M)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Riesgo y auditoría de equidad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Scholarship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Binaria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Beneficiario de Bolsa Família (proxy socioeconómico)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Riesgo y equidad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Hipertension, Diabetes, Alcoholism, Handcap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Binaria / 0–4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Condiciones registradas; Handcap = n.º de discapacidades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Comorbilidad (sensible)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SMS_received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Binaria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Se envió al menos un SMS de recordatorio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Intervención evaluable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Neighbourhood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Cat. (81)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Barrio de la unidad de atención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Contexto territorial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No-show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Binaria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Yes = no asistió (variable objetivo)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i w:val="0"/>
                <w:sz w:val="18"/>
              </w:rPr>
              <w:t>Objetivo</w:t>
            </w:r>
          </w:p>
        </w:tc>
      </w:tr>
    </w:tbl>
    <w:p>
      <w:pPr>
        <w:spacing w:after="0"/>
      </w:pPr>
    </w:p>
    <w:p>
      <w:pPr>
        <w:keepNext/>
        <w:spacing w:before="120" w:after="40"/>
      </w:pPr>
      <w:r>
        <w:rPr>
          <w:b/>
          <w:color w:val="1F3A5F"/>
          <w:sz w:val="24"/>
        </w:rPr>
        <w:t>6. Entendimiento y calidad de los datos</w:t>
      </w:r>
    </w:p>
    <w:p>
      <w:pPr>
        <w:spacing w:after="60"/>
        <w:jc w:val="both"/>
      </w:pPr>
      <w:r>
        <w:rPr>
          <w:b/>
          <w:i w:val="0"/>
          <w:sz w:val="24"/>
        </w:rPr>
        <w:t>Calidad.</w:t>
      </w:r>
      <w:r>
        <w:rPr>
          <w:i w:val="0"/>
          <w:sz w:val="24"/>
        </w:rPr>
        <w:t xml:space="preserve"> Completitud total (0 nulos) y unicidad de cita_id. Se detectaron: 5 citas con fecha anterior al agendamiento y 1 edad negativa (excluidas, 6 registros); 7 edades &gt; 100 (marcadas para validar); Handcap codificado 0–4 y no binario (199 casos); 618 registros idénticos salvo el ID (posible doble agendamiento, a revisar con el stakeholder); y la fecha de la cita </w:t>
      </w:r>
      <w:r>
        <w:rPr>
          <w:b/>
          <w:i w:val="0"/>
          <w:sz w:val="24"/>
        </w:rPr>
        <w:t>no tiene hora</w:t>
      </w:r>
      <w:r>
        <w:rPr>
          <w:i w:val="0"/>
          <w:sz w:val="24"/>
        </w:rPr>
        <w:t xml:space="preserve">, lo que impide modelar la franja horaria. </w:t>
      </w:r>
      <w:r>
        <w:rPr>
          <w:b/>
          <w:i w:val="0"/>
          <w:sz w:val="24"/>
        </w:rPr>
        <w:t>Univariado:</w:t>
      </w:r>
      <w:r>
        <w:rPr>
          <w:i w:val="0"/>
          <w:sz w:val="24"/>
        </w:rPr>
        <w:t xml:space="preserve"> la antelación es muy asimétrica (mediana 4 días, asimetría 2,67; 34,9 % se agenda el mismo día); 60,9 % de los pacientes tiene una sola cita (máximo 88), y 32,1 % recibió SMS.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28000" cy="1392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ivari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392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i/>
          <w:sz w:val="20"/>
        </w:rPr>
        <w:t>Figura 2. Tasa de inasistencia (IC 95 % de Wilson) por antelación, edad, día y SMS. Línea punteada = tasa global.</w:t>
      </w:r>
    </w:p>
    <w:p>
      <w:pPr>
        <w:spacing w:after="60"/>
        <w:jc w:val="both"/>
      </w:pPr>
      <w:r>
        <w:rPr>
          <w:b/>
          <w:i w:val="0"/>
          <w:sz w:val="24"/>
        </w:rPr>
        <w:t>Bivariado.</w:t>
      </w:r>
      <w:r>
        <w:rPr>
          <w:i w:val="0"/>
          <w:sz w:val="24"/>
        </w:rPr>
        <w:t xml:space="preserve"> La antelación es la variable con mayor tamaño de efecto (r rank-biserial = 0,40): la inasistencia pasa de 4,6 % en citas del mismo día a 30,5 %–34,2 % cuando se agenda con 8 a 60 días. La edad muestra un gradiente inverso (máximo en 12–17 años, 26,4 %). Sexo (p = 0,17) y día de la semana tienen efectos despreciables (V &lt; 0,02).</w:t>
      </w:r>
    </w:p>
    <w:p>
      <w:pPr>
        <w:spacing w:after="60"/>
        <w:jc w:val="both"/>
      </w:pPr>
      <w:r>
        <w:rPr>
          <w:b/>
          <w:i w:val="0"/>
          <w:sz w:val="24"/>
        </w:rPr>
        <w:t>Multivariado.</w:t>
      </w:r>
      <w:r>
        <w:rPr>
          <w:i w:val="0"/>
          <w:sz w:val="24"/>
        </w:rPr>
        <w:t xml:space="preserve"> El SMS parece </w:t>
      </w:r>
      <w:r>
        <w:rPr>
          <w:i/>
          <w:sz w:val="24"/>
        </w:rPr>
        <w:t>aumentar</w:t>
      </w:r>
      <w:r>
        <w:rPr>
          <w:i w:val="0"/>
          <w:sz w:val="24"/>
        </w:rPr>
        <w:t xml:space="preserve"> la inasistencia (OR crudo = 1,90), pero solo se envía a citas con ≥ 3 días de antelación, que de por sí tienen más riesgo: al estratificar por días de antelación el efecto se invierte (</w:t>
      </w:r>
      <w:r>
        <w:rPr>
          <w:b/>
          <w:i w:val="0"/>
          <w:sz w:val="24"/>
        </w:rPr>
        <w:t>OR de Mantel-Haenszel = 0,77 [0,74–0,80]</w:t>
      </w:r>
      <w:r>
        <w:rPr>
          <w:i w:val="0"/>
          <w:sz w:val="24"/>
        </w:rPr>
        <w:t>), una paradoja de Simpson que justifica focalizar recordatorios. En el modelo logístico ajustado, el historial de inasistencias (OR = 1,44 [IC 95 %: 1,36–1,52]), el subsidio, la edad y la antelación son los efectos independientes más robustos; la tasa sube de 13,5 % sin inasistencias previas a 35,6 % con 3 o más. 11 de 81 barrios se salen de los límites del 99,8 % del funnel plot (variación territorial real).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28000" cy="1623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ultivari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623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i/>
          <w:sz w:val="20"/>
        </w:rPr>
        <w:t>Figura 3. Correlaciones de Spearman, OR ajustados (IC 95 %) y tasa según inasistencias previas sin fuga temporal.</w:t>
      </w:r>
    </w:p>
    <w:p>
      <w:pPr>
        <w:spacing w:after="60"/>
        <w:jc w:val="both"/>
      </w:pPr>
      <w:r>
        <w:rPr>
          <w:b/>
          <w:i w:val="0"/>
          <w:sz w:val="24"/>
        </w:rPr>
        <w:t>Suficiencia.</w:t>
      </w:r>
      <w:r>
        <w:rPr>
          <w:i w:val="0"/>
          <w:sz w:val="24"/>
        </w:rPr>
        <w:t xml:space="preserve"> Una línea base sin optimizar (validación cruzada agrupada por paciente, k = 5) alcanza ROC-AUC = 0,715 con regresión logística y 0,733 ± 0,004 con gradient boosting e historial; PR-AUC = 0,364 (1,8 veces la prevalencia) y Brier = 0,144 (vs. 0,161 de predecir la prevalencia). Al construir el historial se corrigió una fuga temporal (contar citas agendadas antes pero aún no ocurridas), que inflaba el ROC-AUC en ≈ 0,01. La señal es </w:t>
      </w:r>
      <w:r>
        <w:rPr>
          <w:b/>
          <w:i w:val="0"/>
          <w:sz w:val="24"/>
        </w:rPr>
        <w:t>suficiente para priorizar, pero moderada</w:t>
      </w:r>
      <w:r>
        <w:rPr>
          <w:i w:val="0"/>
          <w:sz w:val="24"/>
        </w:rPr>
        <w:t>: faltan servicio, hora, profesional, distancia y cancelaciones previas, que se solicitarán a MinHalma. Detalle: notebooks/01_eda_calidad.ipynb.</w:t>
      </w:r>
    </w:p>
    <w:p>
      <w:pPr>
        <w:keepNext/>
        <w:spacing w:before="120" w:after="40"/>
      </w:pPr>
      <w:r>
        <w:rPr>
          <w:b/>
          <w:color w:val="1F3A5F"/>
          <w:sz w:val="24"/>
        </w:rPr>
        <w:t>7. Conclusiones iniciales y próximos pasos</w:t>
      </w:r>
    </w:p>
    <w:p>
      <w:pPr>
        <w:pStyle w:val="ListBullet"/>
        <w:spacing w:after="20"/>
        <w:ind w:left="340"/>
        <w:jc w:val="both"/>
      </w:pPr>
      <w:r>
        <w:rPr>
          <w:b/>
          <w:i w:val="0"/>
          <w:sz w:val="24"/>
        </w:rPr>
        <w:t>La antelación es la palanca operativa principal:</w:t>
      </w:r>
      <w:r>
        <w:rPr>
          <w:i w:val="0"/>
          <w:sz w:val="24"/>
        </w:rPr>
        <w:t xml:space="preserve"> confirmar activamente en D-3/D-1 las citas agendadas con 8 a 60 días de antelación, donde la inasistencia supera el 30 %.</w:t>
      </w:r>
    </w:p>
    <w:p>
      <w:pPr>
        <w:pStyle w:val="ListBullet"/>
        <w:spacing w:after="20"/>
        <w:ind w:left="340"/>
        <w:jc w:val="both"/>
      </w:pPr>
      <w:r>
        <w:rPr>
          <w:b/>
          <w:i w:val="0"/>
          <w:sz w:val="24"/>
        </w:rPr>
        <w:t>Los recordatorios funcionan si se mide bien:</w:t>
      </w:r>
      <w:r>
        <w:rPr>
          <w:i w:val="0"/>
          <w:sz w:val="24"/>
        </w:rPr>
        <w:t xml:space="preserve"> ajustado por antelación, el SMS reduce las odds de inasistencia ≈ 23 %; la comparación cruda lleva a la conclusión opuesta.</w:t>
      </w:r>
    </w:p>
    <w:p>
      <w:pPr>
        <w:pStyle w:val="ListBullet"/>
        <w:spacing w:after="20"/>
        <w:ind w:left="340"/>
        <w:jc w:val="both"/>
      </w:pPr>
      <w:r>
        <w:rPr>
          <w:b/>
          <w:i w:val="0"/>
          <w:sz w:val="24"/>
        </w:rPr>
        <w:t>Focalizar es viable:</w:t>
      </w:r>
      <w:r>
        <w:rPr>
          <w:i w:val="0"/>
          <w:sz w:val="24"/>
        </w:rPr>
        <w:t xml:space="preserve"> contactar el 30 % de citas de mayor riesgo capturaría ≈ 53 % de las inasistencias, frente al 30 % esperado al azar.</w:t>
      </w:r>
    </w:p>
    <w:p>
      <w:pPr>
        <w:pStyle w:val="ListBullet"/>
        <w:spacing w:after="20"/>
        <w:ind w:left="340"/>
        <w:jc w:val="both"/>
      </w:pPr>
      <w:r>
        <w:rPr>
          <w:b/>
          <w:i w:val="0"/>
          <w:sz w:val="24"/>
        </w:rPr>
        <w:t>Equidad como requisito de diseño:</w:t>
      </w:r>
      <w:r>
        <w:rPr>
          <w:i w:val="0"/>
          <w:sz w:val="24"/>
        </w:rPr>
        <w:t xml:space="preserve"> jóvenes y beneficiarios de subsidio presentan más riesgo; el modelo debe ampliar el apoyo a estos grupos, no restringir su acceso.</w:t>
      </w:r>
    </w:p>
    <w:p>
      <w:pPr>
        <w:pStyle w:val="ListBullet"/>
        <w:spacing w:after="20"/>
        <w:ind w:left="340"/>
        <w:jc w:val="both"/>
      </w:pPr>
      <w:r>
        <w:rPr>
          <w:b/>
          <w:i w:val="0"/>
          <w:sz w:val="24"/>
        </w:rPr>
        <w:t>Acciones siguientes:</w:t>
      </w:r>
      <w:r>
        <w:rPr>
          <w:i w:val="0"/>
          <w:sz w:val="24"/>
        </w:rPr>
        <w:t xml:space="preserve"> formalizar el acuerdo de datos y el aval ético con MinHalma (interacción 1 de la bitácora); replicar el EDA con datos reales; en la Entrega 2, preparar datos, entrenar y comparar ≥ 3 algoritmos, y desplegar API y dashboard.</w:t>
      </w:r>
    </w:p>
    <w:p>
      <w:pPr>
        <w:keepNext/>
        <w:spacing w:before="120" w:after="40"/>
      </w:pPr>
      <w:r>
        <w:rPr>
          <w:b/>
          <w:color w:val="1F3A5F"/>
          <w:sz w:val="24"/>
        </w:rPr>
        <w:t>Referencias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Blu Radio. (2025, 15 de julio). Preocupación por inasistencia a más de 15.000 citas médicas en hospital de San Gil. https://www.bluradio.com/regiones/santanderes/preocupacion-por-inasistencia-a-mas-de-15-000-citas-medicas-en-hospital-de-san-gil-rg10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Congreso de Colombia. (1979). Ley 73 de 1979, por la cual se reglamenta la profesión de nutricionista-dietista.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Congreso de Colombia. (1999). Ley 528 de 1999, por la cual se reglamenta el ejercicio de la profesión de fisioterapia.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Congreso de Colombia. (2006). Ley 1090 de 2006, por la cual se reglamenta el ejercicio de la profesión de Psicología.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Congreso de Colombia. (2012). Ley Estatutaria 1581 de 2012, por la cual se dictan disposiciones generales para la protección de datos personales.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Congreso de Colombia. (2013). Ley 1616 de 2013, por medio de la cual se expide la ley de salud mental.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Congreso de Colombia. (2020). Ley 2015 de 2020, por medio de la cual se crea la historia clínica electrónica interoperable.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Consejo Nacional de Política Económica y Social. (2019). Documento CONPES 3975: Política nacional para la transformación digital e inteligencia artificial. DNP.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Dantas, L. F., Fleck, J. L., Cyrino Oliveira, F. L., &amp; Hamacher, S. (2018). No-shows in appointment scheduling – a systematic literature review. Health Policy, 122(4), 412–421. https://doi.org/10.1016/j.healthpol.2018.02.002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Hoppen, J. (2016). Medical Appointment No Shows [Conjunto de datos]. Kaggle. https://www.kaggle.com/datasets/joniarroba/noshowappointments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Ministerio de Salud. (1993). Resolución 8430 de 1993, normas científicas, técnicas y administrativas para la investigación en salud.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Ministerio de Salud. (1999). Resolución 1995 de 1999, normas para el manejo de la historia clínica.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Obermeyer, Z., Powers, B., Vogeli, C., &amp; Mullainathan, S. (2019). Dissecting racial bias in an algorithm used to manage the health of populations. Science, 366(6464), 447–453. https://doi.org/10.1126/science.aax2342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Presidencia de la República de Colombia. (2013). Decreto 1377 de 2013, por el cual se reglamenta parcialmente la Ley 1581 de 2012.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Salazar, L. H. A., Leithardt, V. R. Q., Parreira, W. D., da Rocha Fernandes, A. M., Barbosa, J. L. V., &amp; Correia, S. D. (2022). Application of machine learning techniques to predict a patient's no-show in the healthcare sector. Future Internet, 14(1), 3. https://doi.org/10.3390/fi14010003</w:t>
      </w:r>
    </w:p>
    <w:p>
      <w:pPr>
        <w:spacing w:after="20"/>
        <w:ind w:left="454" w:hanging="454"/>
        <w:jc w:val="left"/>
      </w:pPr>
      <w:r>
        <w:rPr>
          <w:i w:val="0"/>
          <w:sz w:val="18"/>
        </w:rPr>
        <w:t>Valora Analitik. (2026, 20 de abril). Calidad de la salud empeoró en 2025 y los colombianos asisten cada vez menos a citas médicas. https://www.valoraanalitik.com/calidad-de-la-salud-empeoro-en-2025-y-los-colombianos-asisten-cada-vez-menos-a-citas-medicas/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