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18"/>
          <w:sz-cs w:val="18"/>
          <w:b/>
          <w:color w:val="000000"/>
        </w:rPr>
        <w:t xml:space="preserve">Wohnhaus Aescherstrasse, Basel</w:t>
      </w:r>
    </w:p>
    <w:p>
      <w:pPr/>
      <w:r>
        <w:rPr>
          <w:rFonts w:ascii="Arial" w:hAnsi="Arial" w:cs="Arial"/>
          <w:sz w:val="18"/>
          <w:sz-cs w:val="18"/>
          <w:b/>
          <w:color w:val="000000"/>
        </w:rPr>
        <w:t xml:space="preserve">Neubau</w:t>
      </w:r>
    </w:p>
    <w:p>
      <w:pPr/>
      <w:r>
        <w:rPr>
          <w:rFonts w:ascii="Arial" w:hAnsi="Arial" w:cs="Arial"/>
          <w:sz w:val="18"/>
          <w:sz-cs w:val="18"/>
          <w:b/>
          <w:color w:val="000000"/>
        </w:rPr>
        <w:t xml:space="preserve"/>
      </w:r>
    </w:p>
    <w:p>
      <w:pPr/>
      <w:r>
        <w:rPr>
          <w:rFonts w:ascii="Arial" w:hAnsi="Arial" w:cs="Arial"/>
          <w:sz w:val="15"/>
          <w:sz-cs w:val="15"/>
          <w:color w:val="000000"/>
        </w:rPr>
        <w:t xml:space="preserve">Studienauftrag 2011, Vorprojekt 2012, Bauprojekt 2013 - 2014, Ausführung 2014-2015, P+D Projekt 2000-Watt-Gesellschaft Basel-Stadt</w:t>
      </w:r>
    </w:p>
    <w:p>
      <w:pPr/>
      <w:r>
        <w:rPr>
          <w:rFonts w:ascii="Arial" w:hAnsi="Arial" w:cs="Arial"/>
          <w:sz w:val="15"/>
          <w:sz-cs w:val="15"/>
          <w:color w:val="000000"/>
        </w:rPr>
        <w:t xml:space="preserve">Generalplaner: OPQMB, Osolin &amp; Plüss Architekten BSA AG, Quade Architects SIA, Moosmann Bitterli Architekten SIA STV GmbH</w:t>
      </w:r>
    </w:p>
    <w:p>
      <w:pPr/>
      <w:r>
        <w:rPr>
          <w:rFonts w:ascii="Arial" w:hAnsi="Arial" w:cs="Arial"/>
          <w:sz w:val="15"/>
          <w:sz-cs w:val="15"/>
          <w:color w:val="000000"/>
        </w:rPr>
        <w:t xml:space="preserve"/>
      </w:r>
    </w:p>
    <w:p>
      <w:pPr/>
      <w:r>
        <w:rPr>
          <w:rFonts w:ascii="Arial" w:hAnsi="Arial" w:cs="Arial"/>
          <w:sz w:val="15"/>
          <w:sz-cs w:val="15"/>
          <w:color w:val="000000"/>
        </w:rPr>
        <w:t xml:space="preserve">Der Neubau mit sieben 2.5 resp. 3.5 Zimmerwohnungen wurde nach Minergie-P-ECO zertifiziert und entspricht den Anforderungen der 2000-Watt-Gesellschaft. Das Projekt leistet einen Beitrag zum Quartiererhalt durch eine gezielte Weiterentwicklung der vorhandenen Strukturen und durch ein ergänzendes Wohnangebot. Zielpublikum für die Vermietung der Wohnungen ist die „Generation 50plus“. Das Gebäude wurde in Anlehnung an die Typologie der vorhandenen Quartierbauten entwickelt. Im Gegensatz zu diesen wurde der Neubau jedoch als Holzkonstruktion mit einem Kern aus Beton und einer Fassade aus Holz geplant. Durch ein einfaches Haustechnik-Konzept mit bewährten Komponenten wurde das Projekt optimiert mit dem Ziel, ein „Nullenergiehaus“ mit hohem Wohnwert und ansprechender Wirtschaftlichkeit zu erstellen.</w:t>
      </w:r>
    </w:p>
    <w:p>
      <w:pPr/>
      <w:r>
        <w:rPr>
          <w:rFonts w:ascii="Arial" w:hAnsi="Arial" w:cs="Arial"/>
          <w:sz w:val="15"/>
          <w:sz-cs w:val="15"/>
          <w:color w:val="000000"/>
        </w:rPr>
        <w:t xml:space="preserve"/>
      </w:r>
    </w:p>
    <w:p>
      <w:pPr/>
      <w:r>
        <w:rPr>
          <w:rFonts w:ascii="Arial" w:hAnsi="Arial" w:cs="Arial"/>
          <w:sz w:val="15"/>
          <w:sz-cs w:val="15"/>
          <w:color w:val="000000"/>
        </w:rPr>
        <w:t xml:space="preserve">Projektentwicklung:</w:t>
      </w:r>
    </w:p>
    <w:p>
      <w:pPr/>
      <w:r>
        <w:rPr>
          <w:rFonts w:ascii="Arial" w:hAnsi="Arial" w:cs="Arial"/>
          <w:sz w:val="15"/>
          <w:sz-cs w:val="15"/>
          <w:color w:val="000000"/>
        </w:rPr>
        <w:t xml:space="preserve">Bauherrschaft: Immobilien Basel-Stadt </w:t>
      </w:r>
    </w:p>
    <w:p>
      <w:pPr/>
      <w:r>
        <w:rPr>
          <w:rFonts w:ascii="Arial" w:hAnsi="Arial" w:cs="Arial"/>
          <w:sz w:val="15"/>
          <w:sz-cs w:val="15"/>
          <w:color w:val="000000"/>
        </w:rPr>
        <w:t xml:space="preserve">Studienauftrag: Osolin &amp; Plüss Architekten BSA AG, Quade Architects SIA, Moosmann Bitterli Architekten BSA AG</w:t>
      </w:r>
    </w:p>
    <w:p>
      <w:pPr/>
      <w:r>
        <w:rPr>
          <w:rFonts w:ascii="Arial" w:hAnsi="Arial" w:cs="Arial"/>
          <w:sz w:val="15"/>
          <w:sz-cs w:val="15"/>
          <w:color w:val="000000"/>
        </w:rPr>
        <w:t xml:space="preserve">Generalplaner: OPQMB, Osolin &amp; Plüss Architekten BSA AG, Quade Architects SIA, Moosmann Bitterli Architekten SIA STV GmbH</w:t>
      </w:r>
    </w:p>
    <w:p>
      <w:pPr/>
      <w:r>
        <w:rPr>
          <w:rFonts w:ascii="Arial" w:hAnsi="Arial" w:cs="Arial"/>
          <w:sz w:val="15"/>
          <w:sz-cs w:val="15"/>
          <w:color w:val="000000"/>
        </w:rPr>
        <w:t xml:space="preserve">Fachplaner: Walter Mory Maier Bauingenieure AG, Pirmin Jung Ingenieure für Holzbau AG, Eplan AG Elektroengineering, Waldhauser Haustechnik AG, Locher Schwittay Gebäudetechnik GmbH, Berchtold.Lenzin Landschaftsarchitekten</w:t>
      </w:r>
    </w:p>
    <w:p>
      <w:pPr/>
      <w:r>
        <w:rPr>
          <w:rFonts w:ascii="Arial" w:hAnsi="Arial" w:cs="Arial"/>
          <w:sz w:val="15"/>
          <w:sz-cs w:val="15"/>
          <w:color w:val="000000"/>
        </w:rPr>
        <w:t xml:space="preserve"/>
      </w:r>
    </w:p>
    <w:p>
      <w:pPr/>
      <w:r>
        <w:rPr>
          <w:rFonts w:ascii="Arial" w:hAnsi="Arial" w:cs="Arial"/>
          <w:sz w:val="15"/>
          <w:sz-cs w:val="15"/>
          <w:color w:val="000000"/>
        </w:rPr>
        <w:t xml:space="preserve">Projektbegleitung:</w:t>
      </w:r>
    </w:p>
    <w:p>
      <w:pPr/>
      <w:r>
        <w:rPr>
          <w:rFonts w:ascii="Arial" w:hAnsi="Arial" w:cs="Arial"/>
          <w:sz w:val="15"/>
          <w:sz-cs w:val="15"/>
          <w:color w:val="000000"/>
        </w:rPr>
        <w:t xml:space="preserve">Fuhr Buser Partner Bauökonomie; Institut Energie am Bau, Fachhochschule Nordwestschweiz</w:t>
      </w:r>
    </w:p>
    <w:p>
      <w:pPr/>
      <w:r>
        <w:rPr>
          <w:rFonts w:ascii="Arial" w:hAnsi="Arial" w:cs="Arial"/>
          <w:sz w:val="15"/>
          <w:sz-cs w:val="15"/>
          <w:color w:val="000000"/>
        </w:rPr>
        <w:t xml:space="preserve"/>
      </w:r>
    </w:p>
    <w:p>
      <w:pPr/>
      <w:r>
        <w:rPr>
          <w:rFonts w:ascii="Arial" w:hAnsi="Arial" w:cs="Arial"/>
          <w:sz w:val="15"/>
          <w:sz-cs w:val="15"/>
          <w:color w:val="000000"/>
        </w:rPr>
        <w:t xml:space="preserve"/>
      </w:r>
    </w:p>
    <w:p>
      <w:pPr/>
      <w:r>
        <w:rPr>
          <w:rFonts w:ascii="Arial" w:hAnsi="Arial" w:cs="Arial"/>
          <w:sz w:val="15"/>
          <w:sz-cs w:val="15"/>
          <w:color w:val="000000"/>
        </w:rPr>
        <w:t xml:space="preserve"/>
      </w:r>
    </w:p>
    <w:p>
      <w:pPr/>
      <w:r>
        <w:rPr>
          <w:rFonts w:ascii="Arial" w:hAnsi="Arial" w:cs="Arial"/>
          <w:sz w:val="15"/>
          <w:sz-cs w:val="15"/>
          <w:color w:val="000000"/>
        </w:rPr>
        <w:t xml:space="preserve"/>
      </w:r>
    </w:p>
    <w:p>
      <w:pPr/>
      <w:r>
        <w:rPr>
          <w:rFonts w:ascii="Arial" w:hAnsi="Arial" w:cs="Arial"/>
          <w:sz w:val="15"/>
          <w:sz-cs w:val="15"/>
          <w:color w:val="000000"/>
        </w:rPr>
        <w:t xml:space="preserve"/>
      </w:r>
    </w:p>
    <w:p>
      <w:pPr/>
      <w:r>
        <w:rPr>
          <w:rFonts w:ascii="Arial" w:hAnsi="Arial" w:cs="Arial"/>
          <w:sz w:val="16"/>
          <w:sz-cs w:val="16"/>
          <w:color w:val="000000"/>
        </w:rPr>
        <w:t xml:space="preserve">Notiz intern:</w:t>
      </w:r>
    </w:p>
    <w:p>
      <w:pPr/>
      <w:r>
        <w:rPr>
          <w:rFonts w:ascii="Arial" w:hAnsi="Arial" w:cs="Arial"/>
          <w:sz w:val="16"/>
          <w:sz-cs w:val="16"/>
          <w:color w:val="000000"/>
        </w:rPr>
        <w:t xml:space="preserve">Biller</w:t>
        <w:tab/>
        <w:t xml:space="preserve">2000 / 1500</w:t>
      </w:r>
    </w:p>
    <w:p>
      <w:pPr/>
      <w:r>
        <w:rPr>
          <w:rFonts w:ascii="Arial" w:hAnsi="Arial" w:cs="Arial"/>
          <w:sz w:val="16"/>
          <w:sz-cs w:val="16"/>
          <w:color w:val="000000"/>
        </w:rPr>
        <w:t xml:space="preserve">Pläne</w:t>
        <w:tab/>
        <w:t xml:space="preserve">3000 / 2250</w:t>
      </w:r>
    </w:p>
    <w:sectPr>
      <w:pgSz w:w="12240" w:h="15840"/>
      <w:pgMar w:top="1417" w:right="1417" w:bottom="1134"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CocoaOOXMLWriter/1404.47</generator>
</meta>
</file>