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Equipamento e o software de gerenciamento da cadeia de suprimentos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Julio leite</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Diretor de projeto</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Queremos que o fornecedor configure com êxito os sistemas adequados</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configurar o software de controle de estoque e atendimento</w:t>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vai instalar o novo software em todosos dispositivos e equipamentos</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instalar equipamentos de atendimento nos armazéns</w:t>
      </w:r>
    </w:p>
    <w:p w:rsidR="00000000" w:rsidDel="00000000" w:rsidP="00000000" w:rsidRDefault="00000000" w:rsidRPr="00000000" w14:paraId="0000001B">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criar manuais de treinamento e um guia de manutenção para o software e o equipamento</w:t>
      </w:r>
    </w:p>
    <w:p w:rsidR="00000000" w:rsidDel="00000000" w:rsidP="00000000" w:rsidRDefault="00000000" w:rsidRPr="00000000" w14:paraId="0000001C">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D">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treinamento de outros funcionários</w:t>
      </w:r>
      <w:r w:rsidDel="00000000" w:rsidR="00000000" w:rsidRPr="00000000">
        <w:rPr>
          <w:rtl w:val="0"/>
        </w:rPr>
      </w:r>
    </w:p>
    <w:p w:rsidR="00000000" w:rsidDel="00000000" w:rsidP="00000000" w:rsidRDefault="00000000" w:rsidRPr="00000000" w14:paraId="0000001E">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manutenção contínua</w:t>
      </w:r>
      <w:r w:rsidDel="00000000" w:rsidR="00000000" w:rsidRPr="00000000">
        <w:rPr>
          <w:rtl w:val="0"/>
        </w:rPr>
      </w:r>
    </w:p>
    <w:p w:rsidR="00000000" w:rsidDel="00000000" w:rsidP="00000000" w:rsidRDefault="00000000" w:rsidRPr="00000000" w14:paraId="0000001F">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21">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dispositivos e equipamentos da Office Green já com o software configurado e instalado</w:t>
      </w:r>
    </w:p>
    <w:p w:rsidR="00000000" w:rsidDel="00000000" w:rsidP="00000000" w:rsidRDefault="00000000" w:rsidRPr="00000000" w14:paraId="00000022">
      <w:pPr>
        <w:pageBreakBefore w:val="0"/>
        <w:numPr>
          <w:ilvl w:val="0"/>
          <w:numId w:val="1"/>
        </w:numPr>
        <w:spacing w:after="0" w:before="0" w:beforeAutospacing="0" w:lineRule="auto"/>
        <w:ind w:left="720" w:hanging="360"/>
        <w:rPr>
          <w:rFonts w:ascii="Arial" w:cs="Arial" w:eastAsia="Arial" w:hAnsi="Arial"/>
          <w:color w:val="1f1f1f"/>
          <w:sz w:val="24"/>
          <w:szCs w:val="24"/>
          <w:highlight w:val="white"/>
          <w:u w:val="none"/>
        </w:rPr>
      </w:pPr>
      <w:r w:rsidDel="00000000" w:rsidR="00000000" w:rsidRPr="00000000">
        <w:rPr>
          <w:rFonts w:ascii="Arial" w:cs="Arial" w:eastAsia="Arial" w:hAnsi="Arial"/>
          <w:color w:val="1f1f1f"/>
          <w:sz w:val="24"/>
          <w:szCs w:val="24"/>
          <w:highlight w:val="white"/>
          <w:rtl w:val="0"/>
        </w:rPr>
        <w:t xml:space="preserve">manuais de treinamento e um guia de manutenção para o software e o equipamento</w:t>
      </w:r>
      <w:r w:rsidDel="00000000" w:rsidR="00000000" w:rsidRPr="00000000">
        <w:rPr>
          <w:rtl w:val="0"/>
        </w:rPr>
      </w:r>
    </w:p>
    <w:p w:rsidR="00000000" w:rsidDel="00000000" w:rsidP="00000000" w:rsidRDefault="00000000" w:rsidRPr="00000000" w14:paraId="00000023">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Fonts w:ascii="Arial" w:cs="Arial" w:eastAsia="Arial" w:hAnsi="Arial"/>
          <w:sz w:val="24"/>
          <w:szCs w:val="24"/>
          <w:rtl w:val="0"/>
        </w:rPr>
        <w:t xml:space="preserve">Configurar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Software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Instalar Software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sz w:val="24"/>
          <w:szCs w:val="24"/>
          <w:rtl w:val="0"/>
        </w:rPr>
        <w:t xml:space="preserve">Criar e aplicar o treinamento</w:t>
      </w: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A">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80 horas (10 dias úteis)</w:t>
      </w:r>
      <w:r w:rsidDel="00000000" w:rsidR="00000000" w:rsidRPr="00000000">
        <w:rPr>
          <w:rtl w:val="0"/>
        </w:rPr>
      </w:r>
    </w:p>
    <w:p w:rsidR="00000000" w:rsidDel="00000000" w:rsidP="00000000" w:rsidRDefault="00000000" w:rsidRPr="00000000" w14:paraId="0000002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D">
      <w:pPr>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26 de Abril (10 dias úteis)</w:t>
      </w:r>
    </w:p>
    <w:p w:rsidR="00000000" w:rsidDel="00000000" w:rsidP="00000000" w:rsidRDefault="00000000" w:rsidRPr="00000000" w14:paraId="0000002E">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2F">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30">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A Office Green pagará ao fornecedor assim que ele tiver concluído todo o trabalho.</w:t>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A">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B">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4">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