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274E4E"/>
          <w:spacing w:val="80"/>
          <w:sz w:val="48"/>
          <w:szCs w:val="48"/>
        </w:rPr>
        <w:t xml:space="preserve">ESPECIFICACIÓN UI/UX</w:t>
      </w:r>
    </w:p>
    <w:p>
      <w:pPr>
        <w:spacing w:after="40" w:before="0"/>
        <w:jc w:val="center"/>
      </w:pPr>
      <w:r>
        <w:rPr>
          <w:rFonts w:ascii="Arial" w:cs="Arial" w:eastAsia="Arial" w:hAnsi="Arial"/>
          <w:b/>
          <w:bCs/>
          <w:color w:val="376D6D"/>
          <w:sz w:val="34"/>
          <w:szCs w:val="34"/>
        </w:rPr>
        <w:t xml:space="preserve">Sistema de Gestión de Consultorios Médicos</w:t>
      </w:r>
    </w:p>
    <w:p>
      <w:pPr>
        <w:spacing w:after="240" w:before="0"/>
        <w:jc w:val="center"/>
      </w:pPr>
      <w:r>
        <w:rPr>
          <w:rFonts w:ascii="Arial" w:cs="Arial" w:eastAsia="Arial" w:hAnsi="Arial"/>
          <w:color w:val="829a9a"/>
          <w:sz w:val="26"/>
          <w:szCs w:val="26"/>
        </w:rPr>
        <w:t xml:space="preserve">Fase 1 · MVP Entregable</w:t>
      </w:r>
    </w:p>
    <w:p>
      <w:pPr>
        <w:pBdr>
          <w:top w:val="single" w:color="B8DBDB" w:sz="6" w:space="1"/>
        </w:pBdr>
        <w:spacing w:after="240" w:before="0"/>
        <w:jc w:val="center"/>
      </w:pPr>
      <w:r>
        <w:t xml:space="preserve"/>
      </w:r>
    </w:p>
    <w:p>
      <w:pPr>
        <w:spacing w:after="60" w:before="0"/>
        <w:jc w:val="center"/>
      </w:pPr>
      <w:r>
        <w:rPr>
          <w:rFonts w:ascii="Arial" w:cs="Arial" w:eastAsia="Arial" w:hAnsi="Arial"/>
          <w:b/>
          <w:bCs/>
          <w:color w:val="1A2A2A"/>
          <w:sz w:val="22"/>
          <w:szCs w:val="22"/>
        </w:rPr>
        <w:t xml:space="preserve">Versión 1.0</w:t>
      </w:r>
    </w:p>
    <w:p>
      <w:pPr>
        <w:spacing w:after="60" w:before="0"/>
        <w:jc w:val="center"/>
      </w:pPr>
      <w:r>
        <w:rPr>
          <w:rFonts w:ascii="Arial" w:cs="Arial" w:eastAsia="Arial" w:hAnsi="Arial"/>
          <w:color w:val="829a9a"/>
          <w:sz w:val="20"/>
          <w:szCs w:val="20"/>
        </w:rPr>
        <w:t xml:space="preserve">Junio 2025  ·  Confidencial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Campo</w:t>
            </w:r>
          </w:p>
        </w:tc>
        <w:tc>
          <w:tcPr>
            <w:tcW w:type="dxa" w:w="69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Detalle</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Versión</w:t>
            </w:r>
          </w:p>
        </w:tc>
        <w:tc>
          <w:tcPr>
            <w:tcW w:type="dxa" w:w="6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1.0</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Fecha</w:t>
            </w:r>
          </w:p>
        </w:tc>
        <w:tc>
          <w:tcPr>
            <w:tcW w:type="dxa" w:w="6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Junio 2025</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Estado</w:t>
            </w:r>
          </w:p>
        </w:tc>
        <w:tc>
          <w:tcPr>
            <w:tcW w:type="dxa" w:w="6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Borrador para revisión</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Audiencia</w:t>
            </w:r>
          </w:p>
        </w:tc>
        <w:tc>
          <w:tcPr>
            <w:tcW w:type="dxa" w:w="6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Diseñadores UI/UX y Desarrolladores Frontend</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Referencias</w:t>
            </w:r>
          </w:p>
        </w:tc>
        <w:tc>
          <w:tcPr>
            <w:tcW w:type="dxa" w:w="6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Arquitectura v1.0 · Modelo de Datos v1.0</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Plataforma objetivo</w:t>
            </w:r>
          </w:p>
        </w:tc>
        <w:tc>
          <w:tcPr>
            <w:tcW w:type="dxa" w:w="6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Aplicación web SaaS — escritorio primario, tablet secundario</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Compatibilidad</w:t>
            </w:r>
          </w:p>
        </w:tc>
        <w:tc>
          <w:tcPr>
            <w:tcW w:type="dxa" w:w="6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Chrome 120+, Edge 120+, Safari 17+, Firefox 120+</w:t>
            </w:r>
          </w:p>
        </w:tc>
      </w:tr>
    </w:tbl>
    <w:p>
      <w:r>
        <w:br w:type="page"/>
      </w:r>
    </w:p>
    <w:p>
      <w:pPr>
        <w:pStyle w:val="Heading1"/>
        <w:pBdr>
          <w:bottom w:val="single" w:color="376D6D" w:sz="8" w:space="4"/>
        </w:pBdr>
        <w:spacing w:after="160" w:before="360"/>
      </w:pPr>
      <w:r>
        <w:rPr>
          <w:rFonts w:ascii="Arial" w:cs="Arial" w:eastAsia="Arial" w:hAnsi="Arial"/>
          <w:b/>
          <w:bCs/>
          <w:color w:val="274E4E"/>
          <w:sz w:val="32"/>
          <w:szCs w:val="32"/>
        </w:rPr>
        <w:t xml:space="preserve">1. Introducción</w:t>
      </w:r>
    </w:p>
    <w:p>
      <w:pPr>
        <w:pStyle w:val="Heading2"/>
        <w:spacing w:after="120" w:before="280"/>
      </w:pPr>
      <w:r>
        <w:rPr>
          <w:rFonts w:ascii="Arial" w:cs="Arial" w:eastAsia="Arial" w:hAnsi="Arial"/>
          <w:b/>
          <w:bCs/>
          <w:color w:val="274E4E"/>
          <w:sz w:val="26"/>
          <w:szCs w:val="26"/>
        </w:rPr>
        <w:t xml:space="preserve">1.1 Propósito del documento</w:t>
      </w:r>
    </w:p>
    <w:p>
      <w:pPr>
        <w:spacing w:after="80" w:before="80"/>
      </w:pPr>
      <w:r>
        <w:rPr>
          <w:rFonts w:ascii="Arial" w:cs="Arial" w:eastAsia="Arial" w:hAnsi="Arial"/>
          <w:color w:val="1A2A2A"/>
          <w:sz w:val="22"/>
          <w:szCs w:val="22"/>
        </w:rPr>
        <w:t xml:space="preserve">Este documento define la especificación completa de interfaz de usuario y experiencia de usuario (UI/UX) para la Fase 1 MVP del Sistema de Gestión de Consultorios Médicos. Su objetivo es servir como fuente única de verdad para el equipo de diseño y el equipo de desarrollo frontend, garantizando que ambos trabajen con los mismos criterios de interacción, jerarquía visual y comportamiento de componentes.</w:t>
      </w:r>
    </w:p>
    <w:p>
      <w:pPr>
        <w:spacing w:after="80" w:before="80"/>
      </w:pPr>
      <w:r>
        <w:rPr>
          <w:rFonts w:ascii="Arial" w:cs="Arial" w:eastAsia="Arial" w:hAnsi="Arial"/>
          <w:color w:val="1A2A2A"/>
          <w:sz w:val="22"/>
          <w:szCs w:val="22"/>
        </w:rPr>
        <w:t xml:space="preserve">El documento abarca desde los fundamentos del sistema de diseño (colores, tipografía, componentes base) hasta la especificación detallada de cada módulo funcional, incluyendo wireframes de referencia, flujos de navegación y reglas de comportamiento por rol de usuario.</w:t>
      </w:r>
    </w:p>
    <w:p>
      <w:pPr>
        <w:pStyle w:val="Heading2"/>
        <w:spacing w:after="120" w:before="280"/>
      </w:pPr>
      <w:r>
        <w:rPr>
          <w:rFonts w:ascii="Arial" w:cs="Arial" w:eastAsia="Arial" w:hAnsi="Arial"/>
          <w:b/>
          <w:bCs/>
          <w:color w:val="274E4E"/>
          <w:sz w:val="26"/>
          <w:szCs w:val="26"/>
        </w:rPr>
        <w:t xml:space="preserve">1.2 Audiencia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Perfil</w:t>
            </w:r>
          </w:p>
        </w:tc>
        <w:tc>
          <w:tcPr>
            <w:tcW w:type="dxa" w:w="63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 del documento</w:t>
            </w:r>
          </w:p>
        </w:tc>
      </w:tr>
      <w:tr>
        <w:tc>
          <w:tcPr>
            <w:tcW w:type="dxa" w:w="3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Diseñador UI/UX</w:t>
            </w:r>
          </w:p>
        </w:tc>
        <w:tc>
          <w:tcPr>
            <w:tcW w:type="dxa" w:w="6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Referencia para crear prototipos de alta fidelidad y validar con usuarios</w:t>
            </w:r>
          </w:p>
        </w:tc>
      </w:tr>
      <w:tr>
        <w:tc>
          <w:tcPr>
            <w:tcW w:type="dxa" w:w="3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Desarrollador frontend</w:t>
            </w:r>
          </w:p>
        </w:tc>
        <w:tc>
          <w:tcPr>
            <w:tcW w:type="dxa" w:w="6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Especificación de componentes, estados, validaciones y flujos a implementar</w:t>
            </w:r>
          </w:p>
        </w:tc>
      </w:tr>
      <w:tr>
        <w:tc>
          <w:tcPr>
            <w:tcW w:type="dxa" w:w="3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Product Owner</w:t>
            </w:r>
          </w:p>
        </w:tc>
        <w:tc>
          <w:tcPr>
            <w:tcW w:type="dxa" w:w="6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Verificación de cobertura funcional contra la especificación de arquitectura</w:t>
            </w:r>
          </w:p>
        </w:tc>
      </w:tr>
      <w:tr>
        <w:tc>
          <w:tcPr>
            <w:tcW w:type="dxa" w:w="3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QA</w:t>
            </w:r>
          </w:p>
        </w:tc>
        <w:tc>
          <w:tcPr>
            <w:tcW w:type="dxa" w:w="6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Criterios de aceptación para flujos de usuario y comportamientos de interfaz</w:t>
            </w:r>
          </w:p>
        </w:tc>
      </w:tr>
    </w:tbl>
    <w:p>
      <w:pPr>
        <w:spacing w:after="0" w:before="120"/>
      </w:pPr>
      <w:r>
        <w:t xml:space="preserve"/>
      </w:r>
    </w:p>
    <w:p>
      <w:pPr>
        <w:pStyle w:val="Heading2"/>
        <w:spacing w:after="120" w:before="280"/>
      </w:pPr>
      <w:r>
        <w:rPr>
          <w:rFonts w:ascii="Arial" w:cs="Arial" w:eastAsia="Arial" w:hAnsi="Arial"/>
          <w:b/>
          <w:bCs/>
          <w:color w:val="274E4E"/>
          <w:sz w:val="26"/>
          <w:szCs w:val="26"/>
        </w:rPr>
        <w:t xml:space="preserve">1.3 Alcance — Fase 1 MVP</w:t>
      </w:r>
    </w:p>
    <w:p>
      <w:pPr>
        <w:spacing w:after="80" w:before="80"/>
      </w:pPr>
      <w:r>
        <w:rPr>
          <w:rFonts w:ascii="Arial" w:cs="Arial" w:eastAsia="Arial" w:hAnsi="Arial"/>
          <w:color w:val="1A2A2A"/>
          <w:sz w:val="22"/>
          <w:szCs w:val="22"/>
        </w:rPr>
        <w:t xml:space="preserve">Este documento cubre exclusivamente los módulos incluidos en la Fase 1 MVP. Los módulos de fases posteriores (CFDI, nómina, BI, portal del paciente) están fuera del alcance de esta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Módulo</w:t>
            </w:r>
          </w:p>
        </w:tc>
        <w:tc>
          <w:tcPr>
            <w:tcW w:type="dxa" w:w="39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Incluido en Fase 1</w:t>
            </w:r>
          </w:p>
        </w:tc>
      </w:tr>
      <w:tr>
        <w:tc>
          <w:tcPr>
            <w:tcW w:type="dxa" w:w="5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Agenda y gestión de citas</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Catálogo de pacientes</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Expediente clínico y Canvas</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Tratamientos y presupuestos</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Caja y cobros</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Inventario básico</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Contabilidad interna (ARE + Libro Mayor)</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Personal y asistencia</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Sí</w:t>
            </w:r>
          </w:p>
        </w:tc>
      </w:tr>
      <w:tr>
        <w:tc>
          <w:tcPr>
            <w:tcW w:type="dxa" w:w="5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Facturación electrónica CFDI</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No — Fase 3</w:t>
            </w:r>
          </w:p>
        </w:tc>
      </w:tr>
      <w:tr>
        <w:tc>
          <w:tcPr>
            <w:tcW w:type="dxa" w:w="5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Nómina con timbrado</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No — Fase 2/3</w:t>
            </w:r>
          </w:p>
        </w:tc>
      </w:tr>
      <w:tr>
        <w:tc>
          <w:tcPr>
            <w:tcW w:type="dxa" w:w="5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Portal del paciente</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No — Fase 5</w:t>
            </w:r>
          </w:p>
        </w:tc>
      </w:tr>
    </w:tbl>
    <w:p>
      <w:pPr>
        <w:spacing w:after="0" w:before="120"/>
      </w:pPr>
      <w:r>
        <w:t xml:space="preserve"/>
      </w:r>
    </w:p>
    <w:p>
      <w:pPr>
        <w:pStyle w:val="Heading2"/>
        <w:spacing w:after="120" w:before="280"/>
      </w:pPr>
      <w:r>
        <w:rPr>
          <w:rFonts w:ascii="Arial" w:cs="Arial" w:eastAsia="Arial" w:hAnsi="Arial"/>
          <w:b/>
          <w:bCs/>
          <w:color w:val="274E4E"/>
          <w:sz w:val="26"/>
          <w:szCs w:val="26"/>
        </w:rPr>
        <w:t xml:space="preserve">1.4 Convenciones del documento</w:t>
      </w:r>
    </w:p>
    <w:p>
      <w:pPr>
        <w:pStyle w:val="ListParagraph"/>
        <w:numPr>
          <w:ilvl w:val="0"/>
          <w:numId w:val="2"/>
        </w:numPr>
        <w:spacing w:after="40" w:before="40"/>
      </w:pPr>
      <w:r>
        <w:rPr>
          <w:rFonts w:ascii="Arial" w:cs="Arial" w:eastAsia="Arial" w:hAnsi="Arial"/>
          <w:color w:val="1A2A2A"/>
          <w:sz w:val="22"/>
          <w:szCs w:val="22"/>
        </w:rPr>
        <w:t xml:space="preserve">Los wireframes incluidos son de referencia estructural (baja-media fidelidad). El equipo de diseño los usa como base para prototipos de alta fidelidad.</w:t>
      </w:r>
    </w:p>
    <w:p>
      <w:pPr>
        <w:pStyle w:val="ListParagraph"/>
        <w:numPr>
          <w:ilvl w:val="0"/>
          <w:numId w:val="2"/>
        </w:numPr>
        <w:spacing w:after="40" w:before="40"/>
      </w:pPr>
      <w:r>
        <w:rPr>
          <w:rFonts w:ascii="Arial" w:cs="Arial" w:eastAsia="Arial" w:hAnsi="Arial"/>
          <w:color w:val="1A2A2A"/>
          <w:sz w:val="22"/>
          <w:szCs w:val="22"/>
        </w:rPr>
        <w:t xml:space="preserve">Las especificaciones de componente incluyen: nombre, variantes, estados, comportamiento y correspondencia con la tabla del modelo de datos.</w:t>
      </w:r>
    </w:p>
    <w:p>
      <w:pPr>
        <w:pStyle w:val="ListParagraph"/>
        <w:numPr>
          <w:ilvl w:val="0"/>
          <w:numId w:val="2"/>
        </w:numPr>
        <w:spacing w:after="40" w:before="40"/>
      </w:pPr>
      <w:r>
        <w:rPr>
          <w:rFonts w:ascii="Arial" w:cs="Arial" w:eastAsia="Arial" w:hAnsi="Arial"/>
          <w:color w:val="1A2A2A"/>
          <w:sz w:val="22"/>
          <w:szCs w:val="22"/>
        </w:rPr>
        <w:t xml:space="preserve">Las notas en azul indican decisiones de diseño con justificación técnica o de negocio.</w:t>
      </w:r>
    </w:p>
    <w:p>
      <w:pPr>
        <w:pStyle w:val="ListParagraph"/>
        <w:numPr>
          <w:ilvl w:val="0"/>
          <w:numId w:val="2"/>
        </w:numPr>
        <w:spacing w:after="40" w:before="40"/>
      </w:pPr>
      <w:r>
        <w:rPr>
          <w:rFonts w:ascii="Arial" w:cs="Arial" w:eastAsia="Arial" w:hAnsi="Arial"/>
          <w:color w:val="1A2A2A"/>
          <w:sz w:val="22"/>
          <w:szCs w:val="22"/>
        </w:rPr>
        <w:t xml:space="preserve">Las restricciones en amarillo indican limitaciones derivadas de la normativa NOM o reglas del negocio que no pueden modificarse.</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1.5 Documentos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Documento</w:t>
            </w:r>
          </w:p>
        </w:tc>
        <w:tc>
          <w:tcPr>
            <w:tcW w:type="dxa" w:w="2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Versión</w:t>
            </w:r>
          </w:p>
        </w:tc>
        <w:tc>
          <w:tcPr>
            <w:tcW w:type="dxa" w:w="37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Descripción</w:t>
            </w:r>
          </w:p>
        </w:tc>
      </w:tr>
      <w:tr>
        <w:tc>
          <w:tcPr>
            <w:tcW w:type="dxa" w:w="3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Especificación de Arquitectura</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v1.0 Jun 2025</w:t>
            </w:r>
          </w:p>
        </w:tc>
        <w:tc>
          <w:tcPr>
            <w:tcW w:type="dxa" w:w="3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Principios arquitectónicos, fases y módulos funcionales</w:t>
            </w:r>
          </w:p>
        </w:tc>
      </w:tr>
      <w:tr>
        <w:tc>
          <w:tcPr>
            <w:tcW w:type="dxa" w:w="3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Modelo de Datos Fase 1 MVP</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v1.0 Jun 2025</w:t>
            </w:r>
          </w:p>
        </w:tc>
        <w:tc>
          <w:tcPr>
            <w:tcW w:type="dxa" w:w="3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Esquema completo de base de datos PostgreSQL 16</w:t>
            </w:r>
          </w:p>
        </w:tc>
      </w:tr>
    </w:tbl>
    <w:p>
      <w:r>
        <w:br w:type="page"/>
      </w:r>
    </w:p>
    <w:p>
      <w:pPr>
        <w:pStyle w:val="Heading1"/>
        <w:pBdr>
          <w:bottom w:val="single" w:color="376D6D" w:sz="8" w:space="4"/>
        </w:pBdr>
        <w:spacing w:after="160" w:before="360"/>
      </w:pPr>
      <w:r>
        <w:rPr>
          <w:rFonts w:ascii="Arial" w:cs="Arial" w:eastAsia="Arial" w:hAnsi="Arial"/>
          <w:b/>
          <w:bCs/>
          <w:color w:val="274E4E"/>
          <w:sz w:val="32"/>
          <w:szCs w:val="32"/>
        </w:rPr>
        <w:t xml:space="preserve">2. Sistema de Diseño</w:t>
      </w:r>
    </w:p>
    <w:p>
      <w:pPr>
        <w:pStyle w:val="Heading2"/>
        <w:spacing w:after="120" w:before="280"/>
      </w:pPr>
      <w:r>
        <w:rPr>
          <w:rFonts w:ascii="Arial" w:cs="Arial" w:eastAsia="Arial" w:hAnsi="Arial"/>
          <w:b/>
          <w:bCs/>
          <w:color w:val="274E4E"/>
          <w:sz w:val="26"/>
          <w:szCs w:val="26"/>
        </w:rPr>
        <w:t xml:space="preserve">2.1 Principios de diseño</w:t>
      </w:r>
    </w:p>
    <w:p>
      <w:pPr>
        <w:spacing w:after="80" w:before="80"/>
      </w:pPr>
      <w:r>
        <w:rPr>
          <w:rFonts w:ascii="Arial" w:cs="Arial" w:eastAsia="Arial" w:hAnsi="Arial"/>
          <w:color w:val="1A2A2A"/>
          <w:sz w:val="22"/>
          <w:szCs w:val="22"/>
        </w:rPr>
        <w:t xml:space="preserve">El sistema de diseño está construido sobre cuatro principios que reflejan la naturaleza del producto: un sistema de uso intensivo diario con dos audiencias distintas (personal clínico y personal administrativo-contable).</w:t>
      </w:r>
    </w:p>
    <w:p>
      <w:pPr>
        <w:pStyle w:val="Heading3"/>
        <w:spacing w:after="80" w:before="200"/>
      </w:pPr>
      <w:r>
        <w:rPr>
          <w:rFonts w:ascii="Arial" w:cs="Arial" w:eastAsia="Arial" w:hAnsi="Arial"/>
          <w:b/>
          <w:bCs/>
          <w:color w:val="376D6D"/>
          <w:sz w:val="22"/>
          <w:szCs w:val="22"/>
        </w:rPr>
        <w:t xml:space="preserve">Claridad operativa</w:t>
      </w:r>
    </w:p>
    <w:p>
      <w:pPr>
        <w:spacing w:after="80" w:before="80"/>
      </w:pPr>
      <w:r>
        <w:rPr>
          <w:rFonts w:ascii="Arial" w:cs="Arial" w:eastAsia="Arial" w:hAnsi="Arial"/>
          <w:color w:val="1A2A2A"/>
          <w:sz w:val="22"/>
          <w:szCs w:val="22"/>
        </w:rPr>
        <w:t xml:space="preserve">Cada pantalla comunica el estado del sistema sin ambigüedad. El médico o la recepcionista deben poder leer el estado de una cita, un cobro o un insumo en menos de dos segundos, sin necesidad de abrir detalles. La jerarquía visual prioriza la información de acción inmediata.</w:t>
      </w:r>
    </w:p>
    <w:p>
      <w:pPr>
        <w:pStyle w:val="Heading3"/>
        <w:spacing w:after="80" w:before="200"/>
      </w:pPr>
      <w:r>
        <w:rPr>
          <w:rFonts w:ascii="Arial" w:cs="Arial" w:eastAsia="Arial" w:hAnsi="Arial"/>
          <w:b/>
          <w:bCs/>
          <w:color w:val="376D6D"/>
          <w:sz w:val="22"/>
          <w:szCs w:val="22"/>
        </w:rPr>
        <w:t xml:space="preserve">Doble audiencia, un solo sistema</w:t>
      </w:r>
    </w:p>
    <w:p>
      <w:pPr>
        <w:spacing w:after="80" w:before="80"/>
      </w:pPr>
      <w:r>
        <w:rPr>
          <w:rFonts w:ascii="Arial" w:cs="Arial" w:eastAsia="Arial" w:hAnsi="Arial"/>
          <w:color w:val="1A2A2A"/>
          <w:sz w:val="22"/>
          <w:szCs w:val="22"/>
        </w:rPr>
        <w:t xml:space="preserve">El mismo módulo financiero se presenta en lenguaje natural para el médico ("Se registró el cobro de $2,800") y en vista técnica para el contador (Póliza #0041 — Déb. 11100 / Créd. 41000). El sistema de diseño define los componentes que soportan ambas representaciones sin duplicar interfaces.</w:t>
      </w:r>
    </w:p>
    <w:p>
      <w:pPr>
        <w:pStyle w:val="Heading3"/>
        <w:spacing w:after="80" w:before="200"/>
      </w:pPr>
      <w:r>
        <w:rPr>
          <w:rFonts w:ascii="Arial" w:cs="Arial" w:eastAsia="Arial" w:hAnsi="Arial"/>
          <w:b/>
          <w:bCs/>
          <w:color w:val="376D6D"/>
          <w:sz w:val="22"/>
          <w:szCs w:val="22"/>
        </w:rPr>
        <w:t xml:space="preserve">Seriedad sin frialdad</w:t>
      </w:r>
    </w:p>
    <w:p>
      <w:pPr>
        <w:spacing w:after="80" w:before="80"/>
      </w:pPr>
      <w:r>
        <w:rPr>
          <w:rFonts w:ascii="Arial" w:cs="Arial" w:eastAsia="Arial" w:hAnsi="Arial"/>
          <w:color w:val="1A2A2A"/>
          <w:sz w:val="22"/>
          <w:szCs w:val="22"/>
        </w:rPr>
        <w:t xml:space="preserve">La paleta azul-aqua con acento verde transmite confianza y profesionalismo médico. Los bordes definidos (border-radius mínimo en elementos interactivos) refuerzan la seriedad. La tipografía Inter en pesos 400 y 500 garantiza legibilidad en tablas densas sin fatiga visual.</w:t>
      </w:r>
    </w:p>
    <w:p>
      <w:pPr>
        <w:pStyle w:val="Heading3"/>
        <w:spacing w:after="80" w:before="200"/>
      </w:pPr>
      <w:r>
        <w:rPr>
          <w:rFonts w:ascii="Arial" w:cs="Arial" w:eastAsia="Arial" w:hAnsi="Arial"/>
          <w:b/>
          <w:bCs/>
          <w:color w:val="376D6D"/>
          <w:sz w:val="22"/>
          <w:szCs w:val="22"/>
        </w:rPr>
        <w:t xml:space="preserve">Modos de uso prolongado</w:t>
      </w:r>
    </w:p>
    <w:p>
      <w:pPr>
        <w:spacing w:after="80" w:before="80"/>
      </w:pPr>
      <w:r>
        <w:rPr>
          <w:rFonts w:ascii="Arial" w:cs="Arial" w:eastAsia="Arial" w:hAnsi="Arial"/>
          <w:color w:val="1A2A2A"/>
          <w:sz w:val="22"/>
          <w:szCs w:val="22"/>
        </w:rPr>
        <w:t xml:space="preserve">El sistema ofrece modo claro y modo oscuro. El modo claro es el predeterminado para uso diurno en consultorio. El modo oscuro reduce la fatiga visual en consultorios con poca iluminación o turnos nocturnos. La preferencia del usuario persiste en su perfil.</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2.2 Paleta de colores</w:t>
      </w:r>
    </w:p>
    <w:p>
      <w:pPr>
        <w:pStyle w:val="Heading3"/>
        <w:spacing w:after="80" w:before="200"/>
      </w:pPr>
      <w:r>
        <w:rPr>
          <w:rFonts w:ascii="Arial" w:cs="Arial" w:eastAsia="Arial" w:hAnsi="Arial"/>
          <w:b/>
          <w:bCs/>
          <w:color w:val="376D6D"/>
          <w:sz w:val="22"/>
          <w:szCs w:val="22"/>
        </w:rPr>
        <w:t xml:space="preserve">2.2.1 Modo claro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3360"/>
        <w:gridCol w:w="1000"/>
      </w:tblGrid>
      <w:tr>
        <w:trPr>
          <w:tblHeader/>
        </w:trPr>
        <w:tc>
          <w:tcPr>
            <w:tcW w:type="dxa" w:w="1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Muestra</w:t>
            </w:r>
          </w:p>
        </w:tc>
        <w:tc>
          <w:tcPr>
            <w:tcW w:type="dxa" w:w="2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Token</w:t>
            </w:r>
          </w:p>
        </w:tc>
        <w:tc>
          <w:tcPr>
            <w:tcW w:type="dxa" w:w="1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Hex</w:t>
            </w:r>
          </w:p>
        </w:tc>
        <w:tc>
          <w:tcPr>
            <w:tcW w:type="dxa" w:w="33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w:t>
            </w:r>
          </w:p>
        </w:tc>
        <w:tc>
          <w:tcPr>
            <w:tcW w:type="dxa" w:w="1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Modo</w:t>
            </w:r>
          </w:p>
        </w:tc>
      </w:tr>
      <w:tr>
        <w:tc>
          <w:tcPr>
            <w:tcW w:type="dxa" w:w="1400"/>
            <w:tcBorders>
              <w:top w:val="single" w:color="D0DEDE" w:sz="1"/>
              <w:left w:val="single" w:color="D0DEDE" w:sz="1"/>
              <w:bottom w:val="single" w:color="D0DEDE" w:sz="1"/>
              <w:right w:val="single" w:color="D0DEDE" w:sz="1"/>
            </w:tcBorders>
            <w:shd w:fill="274E4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--color-sidebar</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#274E4E</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la barra lateral de navegación</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376D6D"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--color-primary</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#376D6D</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Botones primarios, links, ítem activo, acentos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B8DBD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--color-accent</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#B8DBDB</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Borde activo en nav, punto del logotipo, confirmación</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EEF3F3"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--color-surface</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#EEF3F3</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página y áreas de contenido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--color-card</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#FFFFFF</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tarjetas, tablas y paneles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D0DEDE"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--color-border</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#D0DEDE</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Bordes de inputs, tablas y separadores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1A2A2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--color-text-1</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#1A2A2A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Texto principal — títulos y datos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4A6A6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--color-text-2</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#4A6A6A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Texto secundario — etiquetas y subtítulos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829a9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--color-text-3</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#829a9a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Texto muted — metadatos, timestamps, placeholders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1A5C38"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--color-success</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#1A5C38</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Estados positivos: confirmado, pagado, activo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Ambos</w:t>
            </w:r>
          </w:p>
        </w:tc>
      </w:tr>
      <w:tr>
        <w:tc>
          <w:tcPr>
            <w:tcW w:type="dxa" w:w="1400"/>
            <w:tcBorders>
              <w:top w:val="single" w:color="D0DEDE" w:sz="1"/>
              <w:left w:val="single" w:color="D0DEDE" w:sz="1"/>
              <w:bottom w:val="single" w:color="D0DEDE" w:sz="1"/>
              <w:right w:val="single" w:color="D0DEDE" w:sz="1"/>
            </w:tcBorders>
            <w:shd w:fill="DAF2E8"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--color-success-bg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#DAF2E8</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badges y alertas de éxito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92530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--color-warning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#92530A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Estados de advertencia: pendiente, por vencer</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Ambos</w:t>
            </w:r>
          </w:p>
        </w:tc>
      </w:tr>
      <w:tr>
        <w:tc>
          <w:tcPr>
            <w:tcW w:type="dxa" w:w="1400"/>
            <w:tcBorders>
              <w:top w:val="single" w:color="D0DEDE" w:sz="1"/>
              <w:left w:val="single" w:color="D0DEDE" w:sz="1"/>
              <w:bottom w:val="single" w:color="D0DEDE" w:sz="1"/>
              <w:right w:val="single" w:color="D0DEDE" w:sz="1"/>
            </w:tcBorders>
            <w:shd w:fill="FEF3E2"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--color-warning-bg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#FEF3E2</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badges y alertas de advertencia</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r>
        <w:tc>
          <w:tcPr>
            <w:tcW w:type="dxa" w:w="1400"/>
            <w:tcBorders>
              <w:top w:val="single" w:color="D0DEDE" w:sz="1"/>
              <w:left w:val="single" w:color="D0DEDE" w:sz="1"/>
              <w:bottom w:val="single" w:color="D0DEDE" w:sz="1"/>
              <w:right w:val="single" w:color="D0DEDE" w:sz="1"/>
            </w:tcBorders>
            <w:shd w:fill="932020"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--color-error</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#932020</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Estados de error: cancelado, vencido, fallo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Ambos</w:t>
            </w:r>
          </w:p>
        </w:tc>
      </w:tr>
      <w:tr>
        <w:tc>
          <w:tcPr>
            <w:tcW w:type="dxa" w:w="1400"/>
            <w:tcBorders>
              <w:top w:val="single" w:color="D0DEDE" w:sz="1"/>
              <w:left w:val="single" w:color="D0DEDE" w:sz="1"/>
              <w:bottom w:val="single" w:color="D0DEDE" w:sz="1"/>
              <w:right w:val="single" w:color="D0DEDE" w:sz="1"/>
            </w:tcBorders>
            <w:shd w:fill="FDEAE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--color-error-bg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#FDEAEA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badges y alertas de error</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Claro</w:t>
            </w:r>
          </w:p>
        </w:tc>
      </w:tr>
    </w:tbl>
    <w:p>
      <w:pPr>
        <w:spacing w:after="0" w:before="160"/>
      </w:pPr>
      <w:r>
        <w:t xml:space="preserve"/>
      </w:r>
    </w:p>
    <w:p>
      <w:pPr>
        <w:pStyle w:val="Heading3"/>
        <w:spacing w:after="80" w:before="200"/>
      </w:pPr>
      <w:r>
        <w:rPr>
          <w:rFonts w:ascii="Arial" w:cs="Arial" w:eastAsia="Arial" w:hAnsi="Arial"/>
          <w:b/>
          <w:bCs/>
          <w:color w:val="376D6D"/>
          <w:sz w:val="22"/>
          <w:szCs w:val="22"/>
        </w:rPr>
        <w:t xml:space="preserve">2.2.2 Modo oscuro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3360"/>
        <w:gridCol w:w="1000"/>
      </w:tblGrid>
      <w:tr>
        <w:trPr>
          <w:tblHeader/>
        </w:trPr>
        <w:tc>
          <w:tcPr>
            <w:tcW w:type="dxa" w:w="1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Muestra</w:t>
            </w:r>
          </w:p>
        </w:tc>
        <w:tc>
          <w:tcPr>
            <w:tcW w:type="dxa" w:w="2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Token</w:t>
            </w:r>
          </w:p>
        </w:tc>
        <w:tc>
          <w:tcPr>
            <w:tcW w:type="dxa" w:w="1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Hex</w:t>
            </w:r>
          </w:p>
        </w:tc>
        <w:tc>
          <w:tcPr>
            <w:tcW w:type="dxa" w:w="33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w:t>
            </w:r>
          </w:p>
        </w:tc>
        <w:tc>
          <w:tcPr>
            <w:tcW w:type="dxa" w:w="1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Modo</w:t>
            </w:r>
          </w:p>
        </w:tc>
      </w:tr>
      <w:tr>
        <w:tc>
          <w:tcPr>
            <w:tcW w:type="dxa" w:w="1400"/>
            <w:tcBorders>
              <w:top w:val="single" w:color="D0DEDE" w:sz="1"/>
              <w:left w:val="single" w:color="D0DEDE" w:sz="1"/>
              <w:bottom w:val="single" w:color="D0DEDE" w:sz="1"/>
              <w:right w:val="single" w:color="D0DEDE" w:sz="1"/>
            </w:tcBorders>
            <w:shd w:fill="15272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--color-sidebar</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#152727</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la barra lateral de navegación</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5AA2A2"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--color-primary</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#5AA2A2</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Botones primarios, links, ítem activo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B8DBD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--color-accent</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#B8DBDB</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Borde activo en nav, punto del logotipo (igual)</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0B1212"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--color-surface</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#0B1212</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página</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16252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--color-card</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#162525</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tarjetas y paneles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243A3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--color-border</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#243A3A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Bordes de inputs, tablas y separadores</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E6F0F0"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--color-text-1</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#E6F0F0</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Texto principal</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A2B8B8"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--color-text-2</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#A2B8B8</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Texto secundario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4A6A6A"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--color-text-3</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#4A6A6A</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Texto muted</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123821"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--color-success-bg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#123821</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badges de éxito en modo oscuro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3B2609"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--color-warning-bg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#3B2609</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badges de advertencia en modo oscuro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r>
        <w:tc>
          <w:tcPr>
            <w:tcW w:type="dxa" w:w="1400"/>
            <w:tcBorders>
              <w:top w:val="single" w:color="D0DEDE" w:sz="1"/>
              <w:left w:val="single" w:color="D0DEDE" w:sz="1"/>
              <w:bottom w:val="single" w:color="D0DEDE" w:sz="1"/>
              <w:right w:val="single" w:color="D0DEDE" w:sz="1"/>
            </w:tcBorders>
            <w:shd w:fill="3D1414"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b/>
                <w:bCs/>
                <w:color w:val="1A2A2A"/>
                <w:sz w:val="20"/>
                <w:szCs w:val="20"/>
              </w:rPr>
              <w:t xml:space="preserve">--color-error-bg</w:t>
            </w:r>
          </w:p>
        </w:tc>
        <w:tc>
          <w:tcPr>
            <w:tcW w:type="dxa" w:w="16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#3D1414</w:t>
            </w:r>
          </w:p>
        </w:tc>
        <w:tc>
          <w:tcPr>
            <w:tcW w:type="dxa" w:w="336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1A2A2A"/>
                <w:sz w:val="19"/>
                <w:szCs w:val="19"/>
              </w:rPr>
              <w:t xml:space="preserve">Fondo de badges de error en modo oscuro</w:t>
            </w:r>
          </w:p>
        </w:tc>
        <w:tc>
          <w:tcPr>
            <w:tcW w:type="dxa" w:w="1000"/>
            <w:tcBorders>
              <w:top w:val="single" w:color="D0DEDE" w:sz="1"/>
              <w:left w:val="single" w:color="D0DEDE" w:sz="1"/>
              <w:bottom w:val="single" w:color="D0DEDE" w:sz="1"/>
              <w:right w:val="single" w:color="D0DEDE" w:sz="1"/>
            </w:tcBorders>
            <w:tcMar>
              <w:top w:type="dxa" w:w="80"/>
              <w:left w:type="dxa" w:w="120"/>
              <w:bottom w:type="dxa" w:w="80"/>
              <w:right w:type="dxa" w:w="120"/>
            </w:tcMar>
          </w:tcPr>
          <w:p>
            <w:r>
              <w:rPr>
                <w:rFonts w:ascii="Arial" w:cs="Arial" w:eastAsia="Arial" w:hAnsi="Arial"/>
                <w:color w:val="829a9a"/>
                <w:sz w:val="19"/>
                <w:szCs w:val="19"/>
              </w:rPr>
              <w:t xml:space="preserve">Oscuro</w:t>
            </w:r>
          </w:p>
        </w:tc>
      </w:tr>
    </w:tbl>
    <w:p>
      <w:pPr>
        <w:spacing w:after="0" w:before="160"/>
      </w:pPr>
      <w:r>
        <w:t xml:space="preserve"/>
      </w:r>
    </w:p>
    <w:p>
      <w:pPr>
        <w:pBdr>
          <w:left w:val="single" w:color="376D6D" w:sz="12" w:space="8"/>
        </w:pBdr>
        <w:shd w:fill="E0F0FA" w:val="clear"/>
        <w:spacing w:after="100" w:before="100"/>
        <w:ind w:left="200" w:right="200"/>
      </w:pPr>
      <w:r>
        <w:rPr>
          <w:rFonts w:ascii="Arial" w:cs="Arial" w:eastAsia="Arial" w:hAnsi="Arial"/>
          <w:b/>
          <w:bCs/>
          <w:color w:val="376D6D"/>
          <w:sz w:val="20"/>
          <w:szCs w:val="20"/>
        </w:rPr>
        <w:t xml:space="preserve">  Nota: </w:t>
      </w:r>
      <w:r>
        <w:rPr>
          <w:rFonts w:ascii="Arial" w:cs="Arial" w:eastAsia="Arial" w:hAnsi="Arial"/>
          <w:color w:val="4A6A6A"/>
          <w:sz w:val="20"/>
          <w:szCs w:val="20"/>
        </w:rPr>
        <w:t xml:space="preserve">Los colores semánticos de texto (--color-success, --color-warning, --color-error) se aclaran automáticamente en modo oscuro para mantener contraste WCAG AA mínimo 4.5:1 sobre los fondos de badge correspondientes.</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2.3 Tipografía</w:t>
      </w:r>
    </w:p>
    <w:p>
      <w:pPr>
        <w:spacing w:after="80" w:before="80"/>
      </w:pPr>
      <w:r>
        <w:rPr>
          <w:rFonts w:ascii="Arial" w:cs="Arial" w:eastAsia="Arial" w:hAnsi="Arial"/>
          <w:color w:val="1A2A2A"/>
          <w:sz w:val="22"/>
          <w:szCs w:val="22"/>
        </w:rPr>
        <w:t xml:space="preserve">La fuente del sistema es Inter, disponible vía Google Fonts. Es la elección estándar para sistemas SaaS de gestión en 2025: optimizada para pantallas de alta densidad, legible en tamaños pequeños y neutra sin verse genérica.</w:t>
      </w:r>
    </w:p>
    <w:p>
      <w:pPr>
        <w:spacing w:after="80" w:before="80"/>
      </w:pPr>
      <w:r>
        <w:rPr>
          <w:rFonts w:ascii="Arial" w:cs="Arial" w:eastAsia="Arial" w:hAnsi="Arial"/>
          <w:color w:val="1A2A2A"/>
          <w:sz w:val="22"/>
          <w:szCs w:val="22"/>
        </w:rPr>
        <w:t xml:space="preserve">La carga se realiza con font-display: swap para evitar FOIT. Se precargan únicamente los pesos 400 y 500.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600"/>
        <w:gridCol w:w="2160"/>
      </w:tblGrid>
      <w:tr>
        <w:trPr>
          <w:tblHeader/>
        </w:trPr>
        <w:tc>
          <w:tcPr>
            <w:tcW w:type="dxa" w:w="2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w:t>
            </w:r>
          </w:p>
        </w:tc>
        <w:tc>
          <w:tcPr>
            <w:tcW w:type="dxa" w:w="18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Tamaño</w:t>
            </w:r>
          </w:p>
        </w:tc>
        <w:tc>
          <w:tcPr>
            <w:tcW w:type="dxa" w:w="1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Peso</w:t>
            </w:r>
          </w:p>
        </w:tc>
        <w:tc>
          <w:tcPr>
            <w:tcW w:type="dxa" w:w="1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Color</w:t>
            </w:r>
          </w:p>
        </w:tc>
        <w:tc>
          <w:tcPr>
            <w:tcW w:type="dxa" w:w="21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Ejemplo</w:t>
            </w:r>
          </w:p>
        </w:tc>
      </w:tr>
      <w:tr>
        <w:tc>
          <w:tcPr>
            <w:tcW w:type="dxa" w:w="2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Título de página</w:t>
            </w:r>
          </w:p>
        </w:tc>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22px / 1.375rem</w:t>
            </w:r>
          </w:p>
        </w:tc>
        <w:tc>
          <w:tcPr>
            <w:tcW w:type="dxa" w:w="1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600</w:t>
            </w:r>
          </w:p>
        </w:tc>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--color-text-1</w:t>
            </w:r>
          </w:p>
        </w:tc>
        <w:tc>
          <w:tcPr>
            <w:tcW w:type="dxa" w:w="21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Agenda</w:t>
            </w:r>
          </w:p>
        </w:tc>
      </w:tr>
      <w:tr>
        <w:tc>
          <w:tcPr>
            <w:tcW w:type="dxa" w:w="2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Título de sección / H2</w:t>
            </w:r>
          </w:p>
        </w:tc>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16px / 1rem</w:t>
            </w:r>
          </w:p>
        </w:tc>
        <w:tc>
          <w:tcPr>
            <w:tcW w:type="dxa" w:w="1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600</w:t>
            </w:r>
          </w:p>
        </w:tc>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--color-text-1</w:t>
            </w:r>
          </w:p>
        </w:tc>
        <w:tc>
          <w:tcPr>
            <w:tcW w:type="dxa" w:w="21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Citas de hoy</w:t>
            </w:r>
          </w:p>
        </w:tc>
      </w:tr>
      <w:tr>
        <w:tc>
          <w:tcPr>
            <w:tcW w:type="dxa" w:w="2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Subtítulo / H3</w:t>
            </w:r>
          </w:p>
        </w:tc>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14px / 0.875rem</w:t>
            </w:r>
          </w:p>
        </w:tc>
        <w:tc>
          <w:tcPr>
            <w:tcW w:type="dxa" w:w="1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500</w:t>
            </w:r>
          </w:p>
        </w:tc>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--color-text-2</w:t>
            </w:r>
          </w:p>
        </w:tc>
        <w:tc>
          <w:tcPr>
            <w:tcW w:type="dxa" w:w="21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Lunes 12 de junio</w:t>
            </w:r>
          </w:p>
        </w:tc>
      </w:tr>
      <w:tr>
        <w:tc>
          <w:tcPr>
            <w:tcW w:type="dxa" w:w="2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Cuerpo de texto</w:t>
            </w:r>
          </w:p>
        </w:tc>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14px / 0.875rem</w:t>
            </w:r>
          </w:p>
        </w:tc>
        <w:tc>
          <w:tcPr>
            <w:tcW w:type="dxa" w:w="1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400</w:t>
            </w:r>
          </w:p>
        </w:tc>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--color-text-1</w:t>
            </w:r>
          </w:p>
        </w:tc>
        <w:tc>
          <w:tcPr>
            <w:tcW w:type="dxa" w:w="21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El paciente refiere...</w:t>
            </w:r>
          </w:p>
        </w:tc>
      </w:tr>
      <w:tr>
        <w:tc>
          <w:tcPr>
            <w:tcW w:type="dxa" w:w="2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Etiqueta de campo</w:t>
            </w:r>
          </w:p>
        </w:tc>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12px / 0.75rem</w:t>
            </w:r>
          </w:p>
        </w:tc>
        <w:tc>
          <w:tcPr>
            <w:tcW w:type="dxa" w:w="1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500</w:t>
            </w:r>
          </w:p>
        </w:tc>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--color-text-2</w:t>
            </w:r>
          </w:p>
        </w:tc>
        <w:tc>
          <w:tcPr>
            <w:tcW w:type="dxa" w:w="21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Fecha de nacimiento</w:t>
            </w:r>
          </w:p>
        </w:tc>
      </w:tr>
      <w:tr>
        <w:tc>
          <w:tcPr>
            <w:tcW w:type="dxa" w:w="2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Metadato / timestamp</w:t>
            </w:r>
          </w:p>
        </w:tc>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12px / 0.75rem</w:t>
            </w:r>
          </w:p>
        </w:tc>
        <w:tc>
          <w:tcPr>
            <w:tcW w:type="dxa" w:w="1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400</w:t>
            </w:r>
          </w:p>
        </w:tc>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--color-text-3</w:t>
            </w:r>
          </w:p>
        </w:tc>
        <w:tc>
          <w:tcPr>
            <w:tcW w:type="dxa" w:w="21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09:14 hrs</w:t>
            </w:r>
          </w:p>
        </w:tc>
      </w:tr>
      <w:tr>
        <w:tc>
          <w:tcPr>
            <w:tcW w:type="dxa" w:w="2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Encabezado de columna</w:t>
            </w:r>
          </w:p>
        </w:tc>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11px / 0.6875rem</w:t>
            </w:r>
          </w:p>
        </w:tc>
        <w:tc>
          <w:tcPr>
            <w:tcW w:type="dxa" w:w="1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600</w:t>
            </w:r>
          </w:p>
        </w:tc>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--color-text-2</w:t>
            </w:r>
          </w:p>
        </w:tc>
        <w:tc>
          <w:tcPr>
            <w:tcW w:type="dxa" w:w="21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ESTADO (uppercase)</w:t>
            </w:r>
          </w:p>
        </w:tc>
      </w:tr>
      <w:tr>
        <w:tc>
          <w:tcPr>
            <w:tcW w:type="dxa" w:w="2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Código / monoespaciado</w:t>
            </w:r>
          </w:p>
        </w:tc>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13px / 0.8125rem</w:t>
            </w:r>
          </w:p>
        </w:tc>
        <w:tc>
          <w:tcPr>
            <w:tcW w:type="dxa" w:w="1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400</w:t>
            </w:r>
          </w:p>
        </w:tc>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--color-text-2</w:t>
            </w:r>
          </w:p>
        </w:tc>
        <w:tc>
          <w:tcPr>
            <w:tcW w:type="dxa" w:w="21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#376D6D (tokens)</w:t>
            </w:r>
          </w:p>
        </w:tc>
      </w:tr>
    </w:tbl>
    <w:p>
      <w:pPr>
        <w:spacing w:after="0" w:before="120"/>
      </w:pPr>
      <w:r>
        <w:t xml:space="preserve"/>
      </w:r>
    </w:p>
    <w:p>
      <w:pPr>
        <w:pBdr>
          <w:left w:val="single" w:color="92530A" w:sz="12" w:space="8"/>
        </w:pBdr>
        <w:shd w:fill="FEF3E2" w:val="clear"/>
        <w:spacing w:after="100" w:before="100"/>
        <w:ind w:left="200" w:right="200"/>
      </w:pPr>
      <w:r>
        <w:rPr>
          <w:rFonts w:ascii="Arial" w:cs="Arial" w:eastAsia="Arial" w:hAnsi="Arial"/>
          <w:b/>
          <w:bCs/>
          <w:color w:val="92530A"/>
          <w:sz w:val="20"/>
          <w:szCs w:val="20"/>
        </w:rPr>
        <w:t xml:space="preserve">  Restricción: </w:t>
      </w:r>
      <w:r>
        <w:rPr>
          <w:rFonts w:ascii="Arial" w:cs="Arial" w:eastAsia="Arial" w:hAnsi="Arial"/>
          <w:color w:val="1A2A2A"/>
          <w:sz w:val="20"/>
          <w:szCs w:val="20"/>
        </w:rPr>
        <w:t xml:space="preserve">No usar pesos 300 (thin) ni 700 (bold) en ningún elemento de la interfaz. El sistema usa únicamente 400 (regular) y 500–600 (medium/semibold). Pesos más gruesos generan fatiga visual en uso prolongado.</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2.4 Iconografía</w:t>
      </w:r>
    </w:p>
    <w:p>
      <w:pPr>
        <w:spacing w:after="80" w:before="80"/>
      </w:pPr>
      <w:r>
        <w:rPr>
          <w:rFonts w:ascii="Arial" w:cs="Arial" w:eastAsia="Arial" w:hAnsi="Arial"/>
          <w:color w:val="1A2A2A"/>
          <w:sz w:val="22"/>
          <w:szCs w:val="22"/>
        </w:rPr>
        <w:t xml:space="preserve">El sistema usa exclusivamente Tabler Icons en su variante outline, cargado vía webfont. No se usan iconos filled ni iconos de otras librerías en la misma interfaz para mantener coherencia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Tamaño</w:t>
            </w:r>
          </w:p>
        </w:tc>
        <w:tc>
          <w:tcPr>
            <w:tcW w:type="dxa" w:w="4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w:t>
            </w:r>
          </w:p>
        </w:tc>
        <w:tc>
          <w:tcPr>
            <w:tcW w:type="dxa" w:w="35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Ejemplo de contexto</w:t>
            </w:r>
          </w:p>
        </w:tc>
      </w:tr>
      <w:tr>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16px</w:t>
            </w:r>
          </w:p>
        </w:tc>
        <w:tc>
          <w:tcPr>
            <w:tcW w:type="dxa" w:w="4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Iconos inline en texto, etiquetas y badges</w:t>
            </w:r>
          </w:p>
        </w:tc>
        <w:tc>
          <w:tcPr>
            <w:tcW w:type="dxa" w:w="3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Ícono junto a "Confirmado"</w:t>
            </w:r>
          </w:p>
        </w:tc>
      </w:tr>
      <w:tr>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18px</w:t>
            </w:r>
          </w:p>
        </w:tc>
        <w:tc>
          <w:tcPr>
            <w:tcW w:type="dxa" w:w="4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Ítems de navegación lateral</w:t>
            </w:r>
          </w:p>
        </w:tc>
        <w:tc>
          <w:tcPr>
            <w:tcW w:type="dxa" w:w="3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Agenda, Pacientes, Caja</w:t>
            </w:r>
          </w:p>
        </w:tc>
      </w:tr>
      <w:tr>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20px</w:t>
            </w:r>
          </w:p>
        </w:tc>
        <w:tc>
          <w:tcPr>
            <w:tcW w:type="dxa" w:w="4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Acciones en topbar y botones</w:t>
            </w:r>
          </w:p>
        </w:tc>
        <w:tc>
          <w:tcPr>
            <w:tcW w:type="dxa" w:w="3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Botón "+ Nueva cita"</w:t>
            </w:r>
          </w:p>
        </w:tc>
      </w:tr>
      <w:tr>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24px</w:t>
            </w:r>
          </w:p>
        </w:tc>
        <w:tc>
          <w:tcPr>
            <w:tcW w:type="dxa" w:w="4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Ilustraciones de estado vacío</w:t>
            </w:r>
          </w:p>
        </w:tc>
        <w:tc>
          <w:tcPr>
            <w:tcW w:type="dxa" w:w="3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Pantalla "Sin citas hoy"</w:t>
            </w:r>
          </w:p>
        </w:tc>
      </w:tr>
    </w:tbl>
    <w:p>
      <w:pPr>
        <w:spacing w:after="0" w:before="80"/>
      </w:pPr>
      <w:r>
        <w:t xml:space="preserve"/>
      </w:r>
    </w:p>
    <w:p>
      <w:pPr>
        <w:pBdr>
          <w:left w:val="single" w:color="376D6D" w:sz="12" w:space="8"/>
        </w:pBdr>
        <w:shd w:fill="E0F0FA" w:val="clear"/>
        <w:spacing w:after="100" w:before="100"/>
        <w:ind w:left="200" w:right="200"/>
      </w:pPr>
      <w:r>
        <w:rPr>
          <w:rFonts w:ascii="Arial" w:cs="Arial" w:eastAsia="Arial" w:hAnsi="Arial"/>
          <w:b/>
          <w:bCs/>
          <w:color w:val="376D6D"/>
          <w:sz w:val="20"/>
          <w:szCs w:val="20"/>
        </w:rPr>
        <w:t xml:space="preserve">  Nota: </w:t>
      </w:r>
      <w:r>
        <w:rPr>
          <w:rFonts w:ascii="Arial" w:cs="Arial" w:eastAsia="Arial" w:hAnsi="Arial"/>
          <w:color w:val="4A6A6A"/>
          <w:sz w:val="20"/>
          <w:szCs w:val="20"/>
        </w:rPr>
        <w:t xml:space="preserve">Los iconos decorativos llevan aria-hidden="true". Los iconos que actúan como único contenido de un botón requieren aria-label descriptivo en el elemento padre.</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2.5 Espaciado y grid</w:t>
      </w:r>
    </w:p>
    <w:p>
      <w:pPr>
        <w:spacing w:after="80" w:before="80"/>
      </w:pPr>
      <w:r>
        <w:rPr>
          <w:rFonts w:ascii="Arial" w:cs="Arial" w:eastAsia="Arial" w:hAnsi="Arial"/>
          <w:color w:val="1A2A2A"/>
          <w:sz w:val="22"/>
          <w:szCs w:val="22"/>
        </w:rPr>
        <w:t xml:space="preserve">El sistema usa una escala de espaciado base 4px. Todos los valores de padding, margin y gap son múltiplos 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Token</w:t>
            </w:r>
          </w:p>
        </w:tc>
        <w:tc>
          <w:tcPr>
            <w:tcW w:type="dxa" w:w="1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Valor</w:t>
            </w:r>
          </w:p>
        </w:tc>
        <w:tc>
          <w:tcPr>
            <w:tcW w:type="dxa" w:w="57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 típico</w:t>
            </w:r>
          </w:p>
        </w:tc>
      </w:tr>
      <w:tr>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--space-1</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4px</w:t>
            </w:r>
          </w:p>
        </w:tc>
        <w:tc>
          <w:tcPr>
            <w:tcW w:type="dxa" w:w="5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Separación mínima entre elementos inline</w:t>
            </w:r>
          </w:p>
        </w:tc>
      </w:tr>
      <w:tr>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--space-2</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8px</w:t>
            </w:r>
          </w:p>
        </w:tc>
        <w:tc>
          <w:tcPr>
            <w:tcW w:type="dxa" w:w="5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Gap interno en componentes (icon + label)</w:t>
            </w:r>
          </w:p>
        </w:tc>
      </w:tr>
      <w:tr>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--space-3</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12px</w:t>
            </w:r>
          </w:p>
        </w:tc>
        <w:tc>
          <w:tcPr>
            <w:tcW w:type="dxa" w:w="5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Padding interno de badges y chips</w:t>
            </w:r>
          </w:p>
        </w:tc>
      </w:tr>
      <w:tr>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--space-4</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16px</w:t>
            </w:r>
          </w:p>
        </w:tc>
        <w:tc>
          <w:tcPr>
            <w:tcW w:type="dxa" w:w="5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Padding de tarjetas y celdas de tabla</w:t>
            </w:r>
          </w:p>
        </w:tc>
      </w:tr>
      <w:tr>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--space-5</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20px</w:t>
            </w:r>
          </w:p>
        </w:tc>
        <w:tc>
          <w:tcPr>
            <w:tcW w:type="dxa" w:w="5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Padding de paneles y secciones de página</w:t>
            </w:r>
          </w:p>
        </w:tc>
      </w:tr>
      <w:tr>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--space-6</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24px</w:t>
            </w:r>
          </w:p>
        </w:tc>
        <w:tc>
          <w:tcPr>
            <w:tcW w:type="dxa" w:w="5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Separación entre secciones de formulario</w:t>
            </w:r>
          </w:p>
        </w:tc>
      </w:tr>
      <w:tr>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--space-8</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32px</w:t>
            </w:r>
          </w:p>
        </w:tc>
        <w:tc>
          <w:tcPr>
            <w:tcW w:type="dxa" w:w="5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Margen entre módulos en una página</w:t>
            </w:r>
          </w:p>
        </w:tc>
      </w:tr>
    </w:tbl>
    <w:p>
      <w:pPr>
        <w:spacing w:after="0" w:before="80"/>
      </w:pPr>
      <w:r>
        <w:t xml:space="preserve"/>
      </w:r>
    </w:p>
    <w:p>
      <w:pPr>
        <w:spacing w:after="80" w:before="80"/>
      </w:pPr>
      <w:r>
        <w:rPr>
          <w:rFonts w:ascii="Arial" w:cs="Arial" w:eastAsia="Arial" w:hAnsi="Arial"/>
          <w:color w:val="1A2A2A"/>
          <w:sz w:val="22"/>
          <w:szCs w:val="22"/>
        </w:rPr>
        <w:t xml:space="preserve">El layout de página usa un grid de 12 columnas con gutter de 16px. El área de contenido disponible (descontando sidebar de 52px en modo ícono o 200px expandido) es de 1028–1228px en resolución 1280px.</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2.6 Bordes, radios y elevación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Elemento</w:t>
            </w:r>
          </w:p>
        </w:tc>
        <w:tc>
          <w:tcPr>
            <w:tcW w:type="dxa" w:w="1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border-radius</w:t>
            </w:r>
          </w:p>
        </w:tc>
        <w:tc>
          <w:tcPr>
            <w:tcW w:type="dxa" w:w="2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Borde</w:t>
            </w:r>
          </w:p>
        </w:tc>
        <w:tc>
          <w:tcPr>
            <w:tcW w:type="dxa" w:w="33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Justificación</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Botones</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5px</w:t>
            </w:r>
          </w:p>
        </w:tc>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1px solid --color-border</w:t>
            </w:r>
          </w:p>
        </w:tc>
        <w:tc>
          <w:tcPr>
            <w:tcW w:type="dxa" w:w="3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Apariencia definida, sería sin ser agresivo</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Inputs y selects</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3px</w:t>
            </w:r>
          </w:p>
        </w:tc>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1px solid --color-border</w:t>
            </w:r>
          </w:p>
        </w:tc>
        <w:tc>
          <w:tcPr>
            <w:tcW w:type="dxa" w:w="3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Consistencia con botones, aspecto de formulario técnico</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Tarjetas / cards</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6px</w:t>
            </w:r>
          </w:p>
        </w:tc>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1px solid --color-border</w:t>
            </w:r>
          </w:p>
        </w:tc>
        <w:tc>
          <w:tcPr>
            <w:tcW w:type="dxa" w:w="3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Ligera suavidad para diferenciar del fondo</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Badges de estado</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20px</w:t>
            </w:r>
          </w:p>
        </w:tc>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ninguno</w:t>
            </w:r>
          </w:p>
        </w:tc>
        <w:tc>
          <w:tcPr>
            <w:tcW w:type="dxa" w:w="3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Píldora — diferencia visual respecto a botones</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Pills NOM</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3px</w:t>
            </w:r>
          </w:p>
        </w:tc>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ninguno</w:t>
            </w:r>
          </w:p>
        </w:tc>
        <w:tc>
          <w:tcPr>
            <w:tcW w:type="dxa" w:w="3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Rectangular para transmitir carácter normativo</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Modal / drawer</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8px</w:t>
            </w:r>
          </w:p>
        </w:tc>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1px solid --color-border</w:t>
            </w:r>
          </w:p>
        </w:tc>
        <w:tc>
          <w:tcPr>
            <w:tcW w:type="dxa" w:w="3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Contenedor principal de acciones complejas</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Sidebar de navegación</w:t>
            </w:r>
          </w:p>
        </w:tc>
        <w:tc>
          <w:tcPr>
            <w:tcW w:type="dxa" w:w="1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0px</w:t>
            </w:r>
          </w:p>
        </w:tc>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ninguno</w:t>
            </w:r>
          </w:p>
        </w:tc>
        <w:tc>
          <w:tcPr>
            <w:tcW w:type="dxa" w:w="3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Ocupa el borde de pantalla, sin radio</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Topbar</w:t>
            </w:r>
          </w:p>
        </w:tc>
        <w:tc>
          <w:tcPr>
            <w:tcW w:type="dxa" w:w="1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0px</w:t>
            </w:r>
          </w:p>
        </w:tc>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border-bottom solamente</w:t>
            </w:r>
          </w:p>
        </w:tc>
        <w:tc>
          <w:tcPr>
            <w:tcW w:type="dxa" w:w="3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Borde de plataforma, sin radio</w:t>
            </w:r>
          </w:p>
        </w:tc>
      </w:tr>
    </w:tbl>
    <w:p>
      <w:pPr>
        <w:spacing w:after="0" w:before="80"/>
      </w:pPr>
      <w:r>
        <w:t xml:space="preserve"/>
      </w:r>
    </w:p>
    <w:p>
      <w:pPr>
        <w:pBdr>
          <w:left w:val="single" w:color="376D6D" w:sz="12" w:space="8"/>
        </w:pBdr>
        <w:shd w:fill="E0F0FA" w:val="clear"/>
        <w:spacing w:after="100" w:before="100"/>
        <w:ind w:left="200" w:right="200"/>
      </w:pPr>
      <w:r>
        <w:rPr>
          <w:rFonts w:ascii="Arial" w:cs="Arial" w:eastAsia="Arial" w:hAnsi="Arial"/>
          <w:b/>
          <w:bCs/>
          <w:color w:val="376D6D"/>
          <w:sz w:val="20"/>
          <w:szCs w:val="20"/>
        </w:rPr>
        <w:t xml:space="preserve">  Nota: </w:t>
      </w:r>
      <w:r>
        <w:rPr>
          <w:rFonts w:ascii="Arial" w:cs="Arial" w:eastAsia="Arial" w:hAnsi="Arial"/>
          <w:color w:val="4A6A6A"/>
          <w:sz w:val="20"/>
          <w:szCs w:val="20"/>
        </w:rPr>
        <w:t xml:space="preserve">El sistema no usa box-shadow para elevación. La jerarquía visual se logra exclusivamente con color de fondo (--color-surface vs --color-card) y bordes. Esto garantiza que el sistema se vea limpio en ambos modos sin artefactos de sombra en modo oscuro.</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2.7 Componentes base</w:t>
      </w:r>
    </w:p>
    <w:p>
      <w:pPr>
        <w:pStyle w:val="Heading3"/>
        <w:spacing w:after="80" w:before="200"/>
      </w:pPr>
      <w:r>
        <w:rPr>
          <w:rFonts w:ascii="Arial" w:cs="Arial" w:eastAsia="Arial" w:hAnsi="Arial"/>
          <w:b/>
          <w:bCs/>
          <w:color w:val="376D6D"/>
          <w:sz w:val="22"/>
          <w:szCs w:val="22"/>
        </w:rPr>
        <w:t xml:space="preserve">Botones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Variante</w:t>
            </w:r>
          </w:p>
        </w:tc>
        <w:tc>
          <w:tcPr>
            <w:tcW w:type="dxa" w:w="38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w:t>
            </w:r>
          </w:p>
        </w:tc>
        <w:tc>
          <w:tcPr>
            <w:tcW w:type="dxa" w:w="37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Estilos clave</w:t>
            </w:r>
          </w:p>
        </w:tc>
      </w:tr>
      <w:tr>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Primario</w:t>
            </w:r>
          </w:p>
        </w:tc>
        <w:tc>
          <w:tcPr>
            <w:tcW w:type="dxa" w:w="3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Acción principal de la pantalla (guardar, confirmar, nueva cita)</w:t>
            </w:r>
          </w:p>
        </w:tc>
        <w:tc>
          <w:tcPr>
            <w:tcW w:type="dxa" w:w="3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bg: --color-primary / text: white / border: none</w:t>
            </w:r>
          </w:p>
        </w:tc>
      </w:tr>
      <w:tr>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Secundario</w:t>
            </w:r>
          </w:p>
        </w:tc>
        <w:tc>
          <w:tcPr>
            <w:tcW w:type="dxa" w:w="3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Acción alternativa (editar, exportar, vista previa)</w:t>
            </w:r>
          </w:p>
        </w:tc>
        <w:tc>
          <w:tcPr>
            <w:tcW w:type="dxa" w:w="3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bg: transparent / text: --color-primary / border: 1px --color-primary</w:t>
            </w:r>
          </w:p>
        </w:tc>
      </w:tr>
      <w:tr>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Ghost</w:t>
            </w:r>
          </w:p>
        </w:tc>
        <w:tc>
          <w:tcPr>
            <w:tcW w:type="dxa" w:w="3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Acción de baja prioridad (cancelar, cerrar)</w:t>
            </w:r>
          </w:p>
        </w:tc>
        <w:tc>
          <w:tcPr>
            <w:tcW w:type="dxa" w:w="3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bg: transparent / text: --color-text-2 / border: 1px --color-border</w:t>
            </w:r>
          </w:p>
        </w:tc>
      </w:tr>
      <w:tr>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Destructivo</w:t>
            </w:r>
          </w:p>
        </w:tc>
        <w:tc>
          <w:tcPr>
            <w:tcW w:type="dxa" w:w="3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Eliminar, cancelar cita, dar de baja</w:t>
            </w:r>
          </w:p>
        </w:tc>
        <w:tc>
          <w:tcPr>
            <w:tcW w:type="dxa" w:w="3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bg: transparent / text: --color-error / border: 1px --color-error</w:t>
            </w:r>
          </w:p>
        </w:tc>
      </w:tr>
      <w:tr>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Icono solamente</w:t>
            </w:r>
          </w:p>
        </w:tc>
        <w:tc>
          <w:tcPr>
            <w:tcW w:type="dxa" w:w="3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Acciones compactas en tablas y toolbars</w:t>
            </w:r>
          </w:p>
        </w:tc>
        <w:tc>
          <w:tcPr>
            <w:tcW w:type="dxa" w:w="3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width: 32px / height: 32px / border-radius: 5px</w:t>
            </w:r>
          </w:p>
        </w:tc>
      </w:tr>
    </w:tbl>
    <w:p>
      <w:pPr>
        <w:spacing w:after="0" w:before="80"/>
      </w:pPr>
      <w:r>
        <w:t xml:space="preserve"/>
      </w:r>
    </w:p>
    <w:p>
      <w:pPr>
        <w:pBdr>
          <w:left w:val="single" w:color="92530A" w:sz="12" w:space="8"/>
        </w:pBdr>
        <w:shd w:fill="FEF3E2" w:val="clear"/>
        <w:spacing w:after="100" w:before="100"/>
        <w:ind w:left="200" w:right="200"/>
      </w:pPr>
      <w:r>
        <w:rPr>
          <w:rFonts w:ascii="Arial" w:cs="Arial" w:eastAsia="Arial" w:hAnsi="Arial"/>
          <w:b/>
          <w:bCs/>
          <w:color w:val="92530A"/>
          <w:sz w:val="20"/>
          <w:szCs w:val="20"/>
        </w:rPr>
        <w:t xml:space="preserve">  Restricción: </w:t>
      </w:r>
      <w:r>
        <w:rPr>
          <w:rFonts w:ascii="Arial" w:cs="Arial" w:eastAsia="Arial" w:hAnsi="Arial"/>
          <w:color w:val="1A2A2A"/>
          <w:sz w:val="20"/>
          <w:szCs w:val="20"/>
        </w:rPr>
        <w:t xml:space="preserve">Solo puede existir un botón Primario por vista o sección. Si una pantalla requiere dos acciones primarias, una de ellas debe degradarse a Secundario.</w:t>
      </w:r>
    </w:p>
    <w:p>
      <w:pPr>
        <w:spacing w:after="0" w:before="80"/>
      </w:pPr>
      <w:r>
        <w:t xml:space="preserve"/>
      </w:r>
    </w:p>
    <w:p>
      <w:pPr>
        <w:pStyle w:val="Heading3"/>
        <w:spacing w:after="80" w:before="200"/>
      </w:pPr>
      <w:r>
        <w:rPr>
          <w:rFonts w:ascii="Arial" w:cs="Arial" w:eastAsia="Arial" w:hAnsi="Arial"/>
          <w:b/>
          <w:bCs/>
          <w:color w:val="376D6D"/>
          <w:sz w:val="22"/>
          <w:szCs w:val="22"/>
        </w:rPr>
        <w:t xml:space="preserve">Badges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Estado</w:t>
            </w:r>
          </w:p>
        </w:tc>
        <w:tc>
          <w:tcPr>
            <w:tcW w:type="dxa" w:w="2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Color texto</w:t>
            </w:r>
          </w:p>
        </w:tc>
        <w:tc>
          <w:tcPr>
            <w:tcW w:type="dxa" w:w="2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Color fondo</w:t>
            </w:r>
          </w:p>
        </w:tc>
        <w:tc>
          <w:tcPr>
            <w:tcW w:type="dxa" w:w="35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Uso en el sistema</w:t>
            </w:r>
          </w:p>
        </w:tc>
      </w:tr>
      <w:tr>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Confirmado</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--color-success</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--color-success-bg</w:t>
            </w:r>
          </w:p>
        </w:tc>
        <w:tc>
          <w:tcPr>
            <w:tcW w:type="dxa" w:w="3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Citas, pagos, expedientes activos</w:t>
            </w:r>
          </w:p>
        </w:tc>
      </w:tr>
      <w:tr>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Pendiente</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--color-warning</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--color-warning-bg</w:t>
            </w:r>
          </w:p>
        </w:tc>
        <w:tc>
          <w:tcPr>
            <w:tcW w:type="dxa" w:w="3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Citas sin confirmar, cobros parciales</w:t>
            </w:r>
          </w:p>
        </w:tc>
      </w:tr>
      <w:tr>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En progreso</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0A5F82</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E0F0FA</w:t>
            </w:r>
          </w:p>
        </w:tc>
        <w:tc>
          <w:tcPr>
            <w:tcW w:type="dxa" w:w="3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Cita en curso, documento en edición</w:t>
            </w:r>
          </w:p>
        </w:tc>
      </w:tr>
      <w:tr>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Cancelado</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--color-error</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--color-error-bg</w:t>
            </w:r>
          </w:p>
        </w:tc>
        <w:tc>
          <w:tcPr>
            <w:tcW w:type="dxa" w:w="3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Citas canceladas, documentos anulados</w:t>
            </w:r>
          </w:p>
        </w:tc>
      </w:tr>
      <w:tr>
        <w:tc>
          <w:tcPr>
            <w:tcW w:type="dxa" w:w="1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Archivado</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--color-text-3</w:t>
            </w:r>
          </w:p>
        </w:tc>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--color-surface</w:t>
            </w:r>
          </w:p>
        </w:tc>
        <w:tc>
          <w:tcPr>
            <w:tcW w:type="dxa" w:w="3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Pacientes inactivos, planes cerrados</w:t>
            </w:r>
          </w:p>
        </w:tc>
      </w:tr>
      <w:tr>
        <w:tc>
          <w:tcPr>
            <w:tcW w:type="dxa" w:w="1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NOM-004</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1A5C38</w:t>
            </w:r>
          </w:p>
        </w:tc>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DAF2E8</w:t>
            </w:r>
          </w:p>
        </w:tc>
        <w:tc>
          <w:tcPr>
            <w:tcW w:type="dxa" w:w="3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Bloques de canvas protegidos por norma</w:t>
            </w:r>
          </w:p>
        </w:tc>
      </w:tr>
    </w:tbl>
    <w:p>
      <w:pPr>
        <w:spacing w:after="0" w:before="80"/>
      </w:pPr>
      <w:r>
        <w:t xml:space="preserve"/>
      </w:r>
    </w:p>
    <w:p>
      <w:pPr>
        <w:pStyle w:val="Heading3"/>
        <w:spacing w:after="80" w:before="200"/>
      </w:pPr>
      <w:r>
        <w:rPr>
          <w:rFonts w:ascii="Arial" w:cs="Arial" w:eastAsia="Arial" w:hAnsi="Arial"/>
          <w:b/>
          <w:bCs/>
          <w:color w:val="376D6D"/>
          <w:sz w:val="22"/>
          <w:szCs w:val="22"/>
        </w:rPr>
        <w:t xml:space="preserve">Inputs y selects</w:t>
      </w:r>
    </w:p>
    <w:p>
      <w:pPr>
        <w:spacing w:after="80" w:before="80"/>
      </w:pPr>
      <w:r>
        <w:rPr>
          <w:rFonts w:ascii="Arial" w:cs="Arial" w:eastAsia="Arial" w:hAnsi="Arial"/>
          <w:color w:val="1A2A2A"/>
          <w:sz w:val="22"/>
          <w:szCs w:val="22"/>
        </w:rPr>
        <w:t xml:space="preserve">Todos los campos de formulario comparten la misma altura de 36px y el mismo estilo de borde. Los estados son:</w:t>
      </w:r>
    </w:p>
    <w:p>
      <w:pPr>
        <w:pStyle w:val="ListParagraph"/>
        <w:numPr>
          <w:ilvl w:val="0"/>
          <w:numId w:val="2"/>
        </w:numPr>
        <w:spacing w:after="40" w:before="40"/>
      </w:pPr>
      <w:r>
        <w:rPr>
          <w:rFonts w:ascii="Arial" w:cs="Arial" w:eastAsia="Arial" w:hAnsi="Arial"/>
          <w:color w:val="1A2A2A"/>
          <w:sz w:val="22"/>
          <w:szCs w:val="22"/>
        </w:rPr>
        <w:t xml:space="preserve">Default: border 1px --color-border, fondo --color-card</w:t>
      </w:r>
    </w:p>
    <w:p>
      <w:pPr>
        <w:pStyle w:val="ListParagraph"/>
        <w:numPr>
          <w:ilvl w:val="0"/>
          <w:numId w:val="2"/>
        </w:numPr>
        <w:spacing w:after="40" w:before="40"/>
      </w:pPr>
      <w:r>
        <w:rPr>
          <w:rFonts w:ascii="Arial" w:cs="Arial" w:eastAsia="Arial" w:hAnsi="Arial"/>
          <w:color w:val="1A2A2A"/>
          <w:sz w:val="22"/>
          <w:szCs w:val="22"/>
        </w:rPr>
        <w:t xml:space="preserve">Focus: border 1px --color-primary, sin box-shadow adicional</w:t>
      </w:r>
    </w:p>
    <w:p>
      <w:pPr>
        <w:pStyle w:val="ListParagraph"/>
        <w:numPr>
          <w:ilvl w:val="0"/>
          <w:numId w:val="2"/>
        </w:numPr>
        <w:spacing w:after="40" w:before="40"/>
      </w:pPr>
      <w:r>
        <w:rPr>
          <w:rFonts w:ascii="Arial" w:cs="Arial" w:eastAsia="Arial" w:hAnsi="Arial"/>
          <w:color w:val="1A2A2A"/>
          <w:sz w:val="22"/>
          <w:szCs w:val="22"/>
        </w:rPr>
        <w:t xml:space="preserve">Error: border 1px --color-error, mensaje de error debajo en 12px --color-error</w:t>
      </w:r>
    </w:p>
    <w:p>
      <w:pPr>
        <w:pStyle w:val="ListParagraph"/>
        <w:numPr>
          <w:ilvl w:val="0"/>
          <w:numId w:val="2"/>
        </w:numPr>
        <w:spacing w:after="40" w:before="40"/>
      </w:pPr>
      <w:r>
        <w:rPr>
          <w:rFonts w:ascii="Arial" w:cs="Arial" w:eastAsia="Arial" w:hAnsi="Arial"/>
          <w:color w:val="1A2A2A"/>
          <w:sz w:val="22"/>
          <w:szCs w:val="22"/>
        </w:rPr>
        <w:t xml:space="preserve">Disabled: fondo --color-surface, texto --color-text-3, cursor not-allowed</w:t>
      </w:r>
    </w:p>
    <w:p>
      <w:pPr>
        <w:pStyle w:val="ListParagraph"/>
        <w:numPr>
          <w:ilvl w:val="0"/>
          <w:numId w:val="2"/>
        </w:numPr>
        <w:spacing w:after="40" w:before="40"/>
      </w:pPr>
      <w:r>
        <w:rPr>
          <w:rFonts w:ascii="Arial" w:cs="Arial" w:eastAsia="Arial" w:hAnsi="Arial"/>
          <w:color w:val="1A2A2A"/>
          <w:sz w:val="22"/>
          <w:szCs w:val="22"/>
        </w:rPr>
        <w:t xml:space="preserve">Read-only: igual que disabled pero con fondo ligeramente distinto para indicar que el valor existe</w:t>
      </w:r>
    </w:p>
    <w:p>
      <w:pPr>
        <w:spacing w:after="0" w:before="80"/>
      </w:pPr>
      <w:r>
        <w:t xml:space="preserve"/>
      </w:r>
    </w:p>
    <w:p>
      <w:pPr>
        <w:pStyle w:val="Heading3"/>
        <w:spacing w:after="80" w:before="200"/>
      </w:pPr>
      <w:r>
        <w:rPr>
          <w:rFonts w:ascii="Arial" w:cs="Arial" w:eastAsia="Arial" w:hAnsi="Arial"/>
          <w:b/>
          <w:bCs/>
          <w:color w:val="376D6D"/>
          <w:sz w:val="22"/>
          <w:szCs w:val="22"/>
        </w:rPr>
        <w:t xml:space="preserve">Tablas de datos</w:t>
      </w:r>
    </w:p>
    <w:p>
      <w:pPr>
        <w:spacing w:after="80" w:before="80"/>
      </w:pPr>
      <w:r>
        <w:rPr>
          <w:rFonts w:ascii="Arial" w:cs="Arial" w:eastAsia="Arial" w:hAnsi="Arial"/>
          <w:color w:val="1A2A2A"/>
          <w:sz w:val="22"/>
          <w:szCs w:val="22"/>
        </w:rPr>
        <w:t xml:space="preserve">Las tablas son el componente más frecuente del sistema. Reglas invariables:</w:t>
      </w:r>
    </w:p>
    <w:p>
      <w:pPr>
        <w:pStyle w:val="ListParagraph"/>
        <w:numPr>
          <w:ilvl w:val="0"/>
          <w:numId w:val="2"/>
        </w:numPr>
        <w:spacing w:after="40" w:before="40"/>
      </w:pPr>
      <w:r>
        <w:rPr>
          <w:rFonts w:ascii="Arial" w:cs="Arial" w:eastAsia="Arial" w:hAnsi="Arial"/>
          <w:color w:val="1A2A2A"/>
          <w:sz w:val="22"/>
          <w:szCs w:val="22"/>
        </w:rPr>
        <w:t xml:space="preserve">Encabezados en 11px uppercase weight 600, fondo --color-surface</w:t>
      </w:r>
    </w:p>
    <w:p>
      <w:pPr>
        <w:pStyle w:val="ListParagraph"/>
        <w:numPr>
          <w:ilvl w:val="0"/>
          <w:numId w:val="2"/>
        </w:numPr>
        <w:spacing w:after="40" w:before="40"/>
      </w:pPr>
      <w:r>
        <w:rPr>
          <w:rFonts w:ascii="Arial" w:cs="Arial" w:eastAsia="Arial" w:hAnsi="Arial"/>
          <w:color w:val="1A2A2A"/>
          <w:sz w:val="22"/>
          <w:szCs w:val="22"/>
        </w:rPr>
        <w:t xml:space="preserve">Filas alternas: fondo --color-card y --color-surface para facilitar la lectura horizontal</w:t>
      </w:r>
    </w:p>
    <w:p>
      <w:pPr>
        <w:pStyle w:val="ListParagraph"/>
        <w:numPr>
          <w:ilvl w:val="0"/>
          <w:numId w:val="2"/>
        </w:numPr>
        <w:spacing w:after="40" w:before="40"/>
      </w:pPr>
      <w:r>
        <w:rPr>
          <w:rFonts w:ascii="Arial" w:cs="Arial" w:eastAsia="Arial" w:hAnsi="Arial"/>
          <w:color w:val="1A2A2A"/>
          <w:sz w:val="22"/>
          <w:szCs w:val="22"/>
        </w:rPr>
        <w:t xml:space="preserve">La primera columna siempre contiene el identificador principal (nombre del paciente, número de póliza, etc.)</w:t>
      </w:r>
    </w:p>
    <w:p>
      <w:pPr>
        <w:pStyle w:val="ListParagraph"/>
        <w:numPr>
          <w:ilvl w:val="0"/>
          <w:numId w:val="2"/>
        </w:numPr>
        <w:spacing w:after="40" w:before="40"/>
      </w:pPr>
      <w:r>
        <w:rPr>
          <w:rFonts w:ascii="Arial" w:cs="Arial" w:eastAsia="Arial" w:hAnsi="Arial"/>
          <w:color w:val="1A2A2A"/>
          <w:sz w:val="22"/>
          <w:szCs w:val="22"/>
        </w:rPr>
        <w:t xml:space="preserve">Acciones por fila (editar, ver, eliminar) aparecen solo en hover para reducir el ruido visual</w:t>
      </w:r>
    </w:p>
    <w:p>
      <w:pPr>
        <w:pStyle w:val="ListParagraph"/>
        <w:numPr>
          <w:ilvl w:val="0"/>
          <w:numId w:val="2"/>
        </w:numPr>
        <w:spacing w:after="40" w:before="40"/>
      </w:pPr>
      <w:r>
        <w:rPr>
          <w:rFonts w:ascii="Arial" w:cs="Arial" w:eastAsia="Arial" w:hAnsi="Arial"/>
          <w:color w:val="1A2A2A"/>
          <w:sz w:val="22"/>
          <w:szCs w:val="22"/>
        </w:rPr>
        <w:t xml:space="preserve">Las tablas con más de 6 columnas son candidatas a rediseño con vista de detalle en drawer</w:t>
      </w:r>
    </w:p>
    <w:p>
      <w:pPr>
        <w:spacing w:after="0" w:before="80"/>
      </w:pPr>
      <w:r>
        <w:t xml:space="preserve"/>
      </w:r>
    </w:p>
    <w:p>
      <w:pPr>
        <w:pStyle w:val="Heading3"/>
        <w:spacing w:after="80" w:before="200"/>
      </w:pPr>
      <w:r>
        <w:rPr>
          <w:rFonts w:ascii="Arial" w:cs="Arial" w:eastAsia="Arial" w:hAnsi="Arial"/>
          <w:b/>
          <w:bCs/>
          <w:color w:val="376D6D"/>
          <w:sz w:val="22"/>
          <w:szCs w:val="22"/>
        </w:rPr>
        <w:t xml:space="preserve">Modales y drawers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Componente</w:t>
            </w:r>
          </w:p>
        </w:tc>
        <w:tc>
          <w:tcPr>
            <w:tcW w:type="dxa" w:w="4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Cuándo usarlo</w:t>
            </w:r>
          </w:p>
        </w:tc>
        <w:tc>
          <w:tcPr>
            <w:tcW w:type="dxa" w:w="27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Ancho</w:t>
            </w:r>
          </w:p>
        </w:tc>
      </w:tr>
      <w:tr>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Modal centrado</w:t>
            </w:r>
          </w:p>
        </w:tc>
        <w:tc>
          <w:tcPr>
            <w:tcW w:type="dxa" w:w="4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Confirmaciones destructivas, alertas críticas, acciones de 1-2 pasos</w:t>
            </w:r>
          </w:p>
        </w:tc>
        <w:tc>
          <w:tcPr>
            <w:tcW w:type="dxa" w:w="2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480px máximo</w:t>
            </w:r>
          </w:p>
        </w:tc>
      </w:tr>
      <w:tr>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Drawer lateral</w:t>
            </w:r>
          </w:p>
        </w:tc>
        <w:tc>
          <w:tcPr>
            <w:tcW w:type="dxa" w:w="4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Formularios complejos, detalle de registro, creación de cita o pago</w:t>
            </w:r>
          </w:p>
        </w:tc>
        <w:tc>
          <w:tcPr>
            <w:tcW w:type="dxa" w:w="27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480–560px</w:t>
            </w:r>
          </w:p>
        </w:tc>
      </w:tr>
      <w:tr>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Panel expandido</w:t>
            </w:r>
          </w:p>
        </w:tc>
        <w:tc>
          <w:tcPr>
            <w:tcW w:type="dxa" w:w="4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Expediente clínico, canvas de documentos — requiere toda la pantalla</w:t>
            </w:r>
          </w:p>
        </w:tc>
        <w:tc>
          <w:tcPr>
            <w:tcW w:type="dxa" w:w="27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100% del área de contenido</w:t>
            </w:r>
          </w:p>
        </w:tc>
      </w:tr>
    </w:tbl>
    <w:p>
      <w:pPr>
        <w:spacing w:after="0" w:before="80"/>
      </w:pPr>
      <w:r>
        <w:t xml:space="preserve"/>
      </w:r>
    </w:p>
    <w:p>
      <w:pPr>
        <w:pBdr>
          <w:left w:val="single" w:color="376D6D" w:sz="12" w:space="8"/>
        </w:pBdr>
        <w:shd w:fill="E0F0FA" w:val="clear"/>
        <w:spacing w:after="100" w:before="100"/>
        <w:ind w:left="200" w:right="200"/>
      </w:pPr>
      <w:r>
        <w:rPr>
          <w:rFonts w:ascii="Arial" w:cs="Arial" w:eastAsia="Arial" w:hAnsi="Arial"/>
          <w:b/>
          <w:bCs/>
          <w:color w:val="376D6D"/>
          <w:sz w:val="20"/>
          <w:szCs w:val="20"/>
        </w:rPr>
        <w:t xml:space="preserve">  Nota: </w:t>
      </w:r>
      <w:r>
        <w:rPr>
          <w:rFonts w:ascii="Arial" w:cs="Arial" w:eastAsia="Arial" w:hAnsi="Arial"/>
          <w:color w:val="4A6A6A"/>
          <w:sz w:val="20"/>
          <w:szCs w:val="20"/>
        </w:rPr>
        <w:t xml:space="preserve">Los drawers se abren desde la derecha. El fondo detrás del drawer recibe un overlay rgba(0,0,0,0.32). Hacer clic fuera del drawer cierra sin guardar, excepto cuando hay cambios no guardados — en ese caso aparece un modal de confirmación.</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2.8 Breakpoints y comportamiento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Breakpoint</w:t>
            </w:r>
          </w:p>
        </w:tc>
        <w:tc>
          <w:tcPr>
            <w:tcW w:type="dxa" w:w="2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Ancho</w:t>
            </w:r>
          </w:p>
        </w:tc>
        <w:tc>
          <w:tcPr>
            <w:tcW w:type="dxa" w:w="32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Comportamiento del sidebar</w:t>
            </w:r>
          </w:p>
        </w:tc>
        <w:tc>
          <w:tcPr>
            <w:tcW w:type="dxa" w:w="23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Módulos disponibles</w:t>
            </w:r>
          </w:p>
        </w:tc>
      </w:tr>
      <w:tr>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Desktop</w:t>
            </w:r>
          </w:p>
        </w:tc>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1280px+</w:t>
            </w:r>
          </w:p>
        </w:tc>
        <w:tc>
          <w:tcPr>
            <w:tcW w:type="dxa" w:w="3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Expandido (200px) o colapsado a íconos (52px) — toggle por usuario</w:t>
            </w:r>
          </w:p>
        </w:tc>
        <w:tc>
          <w:tcPr>
            <w:tcW w:type="dxa" w:w="2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Todos</w:t>
            </w:r>
          </w:p>
        </w:tc>
      </w:tr>
      <w:tr>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Laptop</w:t>
            </w:r>
          </w:p>
        </w:tc>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1024–1279px</w:t>
            </w:r>
          </w:p>
        </w:tc>
        <w:tc>
          <w:tcPr>
            <w:tcW w:type="dxa" w:w="3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Colapsado a íconos (52px) por defecto</w:t>
            </w:r>
          </w:p>
        </w:tc>
        <w:tc>
          <w:tcPr>
            <w:tcW w:type="dxa" w:w="2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Todos</w:t>
            </w:r>
          </w:p>
        </w:tc>
      </w:tr>
      <w:tr>
        <w:tc>
          <w:tcPr>
            <w:tcW w:type="dxa" w:w="1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Tablet</w:t>
            </w:r>
          </w:p>
        </w:tc>
        <w:tc>
          <w:tcPr>
            <w:tcW w:type="dxa" w:w="2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768–1023px</w:t>
            </w:r>
          </w:p>
        </w:tc>
        <w:tc>
          <w:tcPr>
            <w:tcW w:type="dxa" w:w="32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Sidebar como drawer — hamburger en topbar</w:t>
            </w:r>
          </w:p>
        </w:tc>
        <w:tc>
          <w:tcPr>
            <w:tcW w:type="dxa" w:w="2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Todos en modo simplificado</w:t>
            </w:r>
          </w:p>
        </w:tc>
      </w:tr>
      <w:tr>
        <w:tc>
          <w:tcPr>
            <w:tcW w:type="dxa" w:w="1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Móvil</w:t>
            </w:r>
          </w:p>
        </w:tc>
        <w:tc>
          <w:tcPr>
            <w:tcW w:type="dxa" w:w="2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&lt; 768px</w:t>
            </w:r>
          </w:p>
        </w:tc>
        <w:tc>
          <w:tcPr>
            <w:tcW w:type="dxa" w:w="32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Sidebar oculto — solo accesible via menú</w:t>
            </w:r>
          </w:p>
        </w:tc>
        <w:tc>
          <w:tcPr>
            <w:tcW w:type="dxa" w:w="2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Solo lectura de expediente y firma digital</w:t>
            </w:r>
          </w:p>
        </w:tc>
      </w:tr>
    </w:tbl>
    <w:p>
      <w:pPr>
        <w:spacing w:after="0" w:before="80"/>
      </w:pPr>
      <w:r>
        <w:t xml:space="preserve"/>
      </w:r>
    </w:p>
    <w:p>
      <w:pPr>
        <w:pBdr>
          <w:left w:val="single" w:color="92530A" w:sz="12" w:space="8"/>
        </w:pBdr>
        <w:shd w:fill="FEF3E2" w:val="clear"/>
        <w:spacing w:after="100" w:before="100"/>
        <w:ind w:left="200" w:right="200"/>
      </w:pPr>
      <w:r>
        <w:rPr>
          <w:rFonts w:ascii="Arial" w:cs="Arial" w:eastAsia="Arial" w:hAnsi="Arial"/>
          <w:b/>
          <w:bCs/>
          <w:color w:val="92530A"/>
          <w:sz w:val="20"/>
          <w:szCs w:val="20"/>
        </w:rPr>
        <w:t xml:space="preserve">  Restricción: </w:t>
      </w:r>
      <w:r>
        <w:rPr>
          <w:rFonts w:ascii="Arial" w:cs="Arial" w:eastAsia="Arial" w:hAnsi="Arial"/>
          <w:color w:val="1A2A2A"/>
          <w:sz w:val="20"/>
          <w:szCs w:val="20"/>
        </w:rPr>
        <w:t xml:space="preserve">En resoluciones móviles menores a 768px, los módulos de Caja, Agenda (edición), Canvas y Libro Mayor muestran un mensaje: "Esta función está optimizada para pantallas más grandes. Por favor, usa una tablet o computadora." El módulo de lectura de expediente y firma digital sí están disponibles en móvil.</w:t>
      </w:r>
    </w:p>
    <w:p>
      <w:r>
        <w:br w:type="page"/>
      </w:r>
    </w:p>
    <w:p>
      <w:pPr>
        <w:pStyle w:val="Heading1"/>
        <w:pBdr>
          <w:bottom w:val="single" w:color="376D6D" w:sz="8" w:space="4"/>
        </w:pBdr>
        <w:spacing w:after="160" w:before="360"/>
      </w:pPr>
      <w:r>
        <w:rPr>
          <w:rFonts w:ascii="Arial" w:cs="Arial" w:eastAsia="Arial" w:hAnsi="Arial"/>
          <w:b/>
          <w:bCs/>
          <w:color w:val="274E4E"/>
          <w:sz w:val="32"/>
          <w:szCs w:val="32"/>
        </w:rPr>
        <w:t xml:space="preserve">3. Shell de la Aplicación</w:t>
      </w:r>
    </w:p>
    <w:p>
      <w:pPr>
        <w:spacing w:after="80" w:before="80"/>
      </w:pPr>
      <w:r>
        <w:rPr>
          <w:rFonts w:ascii="Arial" w:cs="Arial" w:eastAsia="Arial" w:hAnsi="Arial"/>
          <w:color w:val="1A2A2A"/>
          <w:sz w:val="22"/>
          <w:szCs w:val="22"/>
        </w:rPr>
        <w:t xml:space="preserve">El shell es la estructura visual persistente que rodea todos los módulos. Está compuesto por tres elementos invariables: sidebar de navegación, topbar contextual y área de contenido. El shell nunca se recarga entre navegaciones — la aplicación es un SPA (Single Page Application).</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3.1 Layout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560"/>
      </w:tblGrid>
      <w:tr>
        <w:trPr>
          <w:tblHeader/>
        </w:trPr>
        <w:tc>
          <w:tcPr>
            <w:tcW w:type="dxa" w:w="26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Zona</w:t>
            </w:r>
          </w:p>
        </w:tc>
        <w:tc>
          <w:tcPr>
            <w:tcW w:type="dxa" w:w="28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Dimensiones</w:t>
            </w:r>
          </w:p>
        </w:tc>
        <w:tc>
          <w:tcPr>
            <w:tcW w:type="dxa" w:w="2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Posición</w:t>
            </w:r>
          </w:p>
        </w:tc>
        <w:tc>
          <w:tcPr>
            <w:tcW w:type="dxa" w:w="15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Descripción</w:t>
            </w:r>
          </w:p>
        </w:tc>
      </w:tr>
      <w:tr>
        <w:tc>
          <w:tcPr>
            <w:tcW w:type="dxa" w:w="2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Sidebar de navegación</w:t>
            </w:r>
          </w:p>
        </w:tc>
        <w:tc>
          <w:tcPr>
            <w:tcW w:type="dxa" w:w="2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52px colapsado / 200px expandido</w:t>
            </w:r>
          </w:p>
        </w:tc>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Fija, lado izquierdo, altura completa</w:t>
            </w:r>
          </w:p>
        </w:tc>
        <w:tc>
          <w:tcPr>
            <w:tcW w:type="dxa" w:w="1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Navegación principal entre módulos y perfil de usuario</w:t>
            </w:r>
          </w:p>
        </w:tc>
      </w:tr>
      <w:tr>
        <w:tc>
          <w:tcPr>
            <w:tcW w:type="dxa" w:w="26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Topbar contextual</w:t>
            </w:r>
          </w:p>
        </w:tc>
        <w:tc>
          <w:tcPr>
            <w:tcW w:type="dxa" w:w="2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Altura 52px, ancho = 100% - sidebar</w:t>
            </w:r>
          </w:p>
        </w:tc>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Fija, parte superior del área de contenido</w:t>
            </w:r>
          </w:p>
        </w:tc>
        <w:tc>
          <w:tcPr>
            <w:tcW w:type="dxa" w:w="1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Título del módulo activo, subtítulo y acciones principales</w:t>
            </w:r>
          </w:p>
        </w:tc>
      </w:tr>
      <w:tr>
        <w:tc>
          <w:tcPr>
            <w:tcW w:type="dxa" w:w="26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Área de contenido</w:t>
            </w:r>
          </w:p>
        </w:tc>
        <w:tc>
          <w:tcPr>
            <w:tcW w:type="dxa" w:w="2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Resto del viewport</w:t>
            </w:r>
          </w:p>
        </w:tc>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Scrolleable verticalmente</w:t>
            </w:r>
          </w:p>
        </w:tc>
        <w:tc>
          <w:tcPr>
            <w:tcW w:type="dxa" w:w="1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Contenido del módulo activo — varía por pantalla</w:t>
            </w:r>
          </w:p>
        </w:tc>
      </w:tr>
    </w:tbl>
    <w:p>
      <w:pPr>
        <w:spacing w:after="0" w:before="80"/>
      </w:pPr>
      <w:r>
        <w:t xml:space="preserve"/>
      </w:r>
    </w:p>
    <w:p>
      <w:pPr>
        <w:pBdr>
          <w:left w:val="single" w:color="376D6D" w:sz="12" w:space="8"/>
        </w:pBdr>
        <w:shd w:fill="E0F0FA" w:val="clear"/>
        <w:spacing w:after="100" w:before="100"/>
        <w:ind w:left="200" w:right="200"/>
      </w:pPr>
      <w:r>
        <w:rPr>
          <w:rFonts w:ascii="Arial" w:cs="Arial" w:eastAsia="Arial" w:hAnsi="Arial"/>
          <w:b/>
          <w:bCs/>
          <w:color w:val="376D6D"/>
          <w:sz w:val="20"/>
          <w:szCs w:val="20"/>
        </w:rPr>
        <w:t xml:space="preserve">  Nota: </w:t>
      </w:r>
      <w:r>
        <w:rPr>
          <w:rFonts w:ascii="Arial" w:cs="Arial" w:eastAsia="Arial" w:hAnsi="Arial"/>
          <w:color w:val="4A6A6A"/>
          <w:sz w:val="20"/>
          <w:szCs w:val="20"/>
        </w:rPr>
        <w:t xml:space="preserve">El área de contenido tiene padding interno de 20px en todos sus lados. Las tablas y el canvas expanden hasta el 100% del área disponible descontando este padding.</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3.2 Sidebar de navegación</w:t>
      </w:r>
    </w:p>
    <w:p>
      <w:pPr>
        <w:pStyle w:val="Heading3"/>
        <w:spacing w:after="80" w:before="200"/>
      </w:pPr>
      <w:r>
        <w:rPr>
          <w:rFonts w:ascii="Arial" w:cs="Arial" w:eastAsia="Arial" w:hAnsi="Arial"/>
          <w:b/>
          <w:bCs/>
          <w:color w:val="376D6D"/>
          <w:sz w:val="22"/>
          <w:szCs w:val="22"/>
        </w:rPr>
        <w:t xml:space="preserve">Estructura</w:t>
      </w:r>
    </w:p>
    <w:p>
      <w:pPr>
        <w:pStyle w:val="ListParagraph"/>
        <w:numPr>
          <w:ilvl w:val="0"/>
          <w:numId w:val="2"/>
        </w:numPr>
        <w:spacing w:after="40" w:before="40"/>
      </w:pPr>
      <w:r>
        <w:rPr>
          <w:rFonts w:ascii="Arial" w:cs="Arial" w:eastAsia="Arial" w:hAnsi="Arial"/>
          <w:color w:val="1A2A2A"/>
          <w:sz w:val="22"/>
          <w:szCs w:val="22"/>
        </w:rPr>
        <w:t xml:space="preserve">Logo / marca: punto verde (#B8DBDB) + wordmark "MediCloud" — al colapsar solo queda el punto</w:t>
      </w:r>
    </w:p>
    <w:p>
      <w:pPr>
        <w:pStyle w:val="ListParagraph"/>
        <w:numPr>
          <w:ilvl w:val="0"/>
          <w:numId w:val="2"/>
        </w:numPr>
        <w:spacing w:after="40" w:before="40"/>
      </w:pPr>
      <w:r>
        <w:rPr>
          <w:rFonts w:ascii="Arial" w:cs="Arial" w:eastAsia="Arial" w:hAnsi="Arial"/>
          <w:color w:val="1A2A2A"/>
          <w:sz w:val="22"/>
          <w:szCs w:val="22"/>
        </w:rPr>
        <w:t xml:space="preserve">Sección "Clínica": Agenda, Pacientes, Expediente</w:t>
      </w:r>
    </w:p>
    <w:p>
      <w:pPr>
        <w:pStyle w:val="ListParagraph"/>
        <w:numPr>
          <w:ilvl w:val="0"/>
          <w:numId w:val="2"/>
        </w:numPr>
        <w:spacing w:after="40" w:before="40"/>
      </w:pPr>
      <w:r>
        <w:rPr>
          <w:rFonts w:ascii="Arial" w:cs="Arial" w:eastAsia="Arial" w:hAnsi="Arial"/>
          <w:color w:val="1A2A2A"/>
          <w:sz w:val="22"/>
          <w:szCs w:val="22"/>
        </w:rPr>
        <w:t xml:space="preserve">Sección "Administración": Caja, Inventario, Contabilidad, Personal</w:t>
      </w:r>
    </w:p>
    <w:p>
      <w:pPr>
        <w:pStyle w:val="ListParagraph"/>
        <w:numPr>
          <w:ilvl w:val="0"/>
          <w:numId w:val="2"/>
        </w:numPr>
        <w:spacing w:after="40" w:before="40"/>
      </w:pPr>
      <w:r>
        <w:rPr>
          <w:rFonts w:ascii="Arial" w:cs="Arial" w:eastAsia="Arial" w:hAnsi="Arial"/>
          <w:color w:val="1A2A2A"/>
          <w:sz w:val="22"/>
          <w:szCs w:val="22"/>
        </w:rPr>
        <w:t xml:space="preserve">Zona inferior: Configuración (ícono engrane) + Avatar del usuario con iniciales</w:t>
      </w:r>
    </w:p>
    <w:p>
      <w:pPr>
        <w:spacing w:after="0" w:before="80"/>
      </w:pPr>
      <w:r>
        <w:t xml:space="preserve"/>
      </w:r>
    </w:p>
    <w:p>
      <w:pPr>
        <w:pStyle w:val="Heading3"/>
        <w:spacing w:after="80" w:before="200"/>
      </w:pPr>
      <w:r>
        <w:rPr>
          <w:rFonts w:ascii="Arial" w:cs="Arial" w:eastAsia="Arial" w:hAnsi="Arial"/>
          <w:b/>
          <w:bCs/>
          <w:color w:val="376D6D"/>
          <w:sz w:val="22"/>
          <w:szCs w:val="22"/>
        </w:rPr>
        <w:t xml:space="preserve">Estados de ítem de navegación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Estado</w:t>
            </w:r>
          </w:p>
        </w:tc>
        <w:tc>
          <w:tcPr>
            <w:tcW w:type="dxa" w:w="73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Apariencia</w:t>
            </w:r>
          </w:p>
        </w:tc>
      </w:tr>
      <w:tr>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Default</w:t>
            </w:r>
          </w:p>
        </w:tc>
        <w:tc>
          <w:tcPr>
            <w:tcW w:type="dxa" w:w="7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 rgba(255,255,255,0.38) — ícono y texto en gris tenue</w:t>
            </w:r>
          </w:p>
        </w:tc>
      </w:tr>
      <w:tr>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Hover</w:t>
            </w:r>
          </w:p>
        </w:tc>
        <w:tc>
          <w:tcPr>
            <w:tcW w:type="dxa" w:w="7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Color: rgba(255,255,255,0.70) — fondo rgba(255,255,255,0.06)</w:t>
            </w:r>
          </w:p>
        </w:tc>
      </w:tr>
      <w:tr>
        <w:tc>
          <w:tcPr>
            <w:tcW w:type="dxa" w:w="2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Activo</w:t>
            </w:r>
          </w:p>
        </w:tc>
        <w:tc>
          <w:tcPr>
            <w:tcW w:type="dxa" w:w="73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Color: blanco — fondo rgba(255,255,255,0.08) — border-left 2px #B8DBDB</w:t>
            </w:r>
          </w:p>
        </w:tc>
      </w:tr>
      <w:tr>
        <w:tc>
          <w:tcPr>
            <w:tcW w:type="dxa" w:w="2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Colapsado</w:t>
            </w:r>
          </w:p>
        </w:tc>
        <w:tc>
          <w:tcPr>
            <w:tcW w:type="dxa" w:w="73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Solo ícono visible — tooltip con nombre del módulo al hacer hover</w:t>
            </w:r>
          </w:p>
        </w:tc>
      </w:tr>
    </w:tbl>
    <w:p>
      <w:pPr>
        <w:spacing w:after="0" w:before="80"/>
      </w:pPr>
      <w:r>
        <w:t xml:space="preserve"/>
      </w:r>
    </w:p>
    <w:p>
      <w:pPr>
        <w:pStyle w:val="Heading3"/>
        <w:spacing w:after="80" w:before="200"/>
      </w:pPr>
      <w:r>
        <w:rPr>
          <w:rFonts w:ascii="Arial" w:cs="Arial" w:eastAsia="Arial" w:hAnsi="Arial"/>
          <w:b/>
          <w:bCs/>
          <w:color w:val="376D6D"/>
          <w:sz w:val="22"/>
          <w:szCs w:val="22"/>
        </w:rPr>
        <w:t xml:space="preserve">Toggle de colapso</w:t>
      </w:r>
    </w:p>
    <w:p>
      <w:pPr>
        <w:spacing w:after="80" w:before="80"/>
      </w:pPr>
      <w:r>
        <w:rPr>
          <w:rFonts w:ascii="Arial" w:cs="Arial" w:eastAsia="Arial" w:hAnsi="Arial"/>
          <w:color w:val="1A2A2A"/>
          <w:sz w:val="22"/>
          <w:szCs w:val="22"/>
        </w:rPr>
        <w:t xml:space="preserve">Un botón de flecha al borde inferior del sidebar (encima de la sección de usuario) permite al usuario expandir o colapsar el sidebar. El estado persiste en localStorage. En tablet el sidebar arranca colapsado. La transición de expansión/colapso es de 200ms con ease-out.</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3.3 Topbar contextual</w:t>
      </w:r>
    </w:p>
    <w:p>
      <w:pPr>
        <w:spacing w:after="80" w:before="80"/>
      </w:pPr>
      <w:r>
        <w:rPr>
          <w:rFonts w:ascii="Arial" w:cs="Arial" w:eastAsia="Arial" w:hAnsi="Arial"/>
          <w:color w:val="1A2A2A"/>
          <w:sz w:val="22"/>
          <w:szCs w:val="22"/>
        </w:rPr>
        <w:t xml:space="preserve">El topbar muestra el título del módulo activo y las acciones primarias de esa pantalla. Su contenido cambia completamente al navegar entre módulos.</w:t>
      </w:r>
    </w:p>
    <w:p>
      <w:pPr>
        <w:pStyle w:val="Heading3"/>
        <w:spacing w:after="80" w:before="200"/>
      </w:pPr>
      <w:r>
        <w:rPr>
          <w:rFonts w:ascii="Arial" w:cs="Arial" w:eastAsia="Arial" w:hAnsi="Arial"/>
          <w:b/>
          <w:bCs/>
          <w:color w:val="376D6D"/>
          <w:sz w:val="22"/>
          <w:szCs w:val="22"/>
        </w:rPr>
        <w:t xml:space="preserve">Composición</w:t>
      </w:r>
    </w:p>
    <w:p>
      <w:pPr>
        <w:pStyle w:val="ListParagraph"/>
        <w:numPr>
          <w:ilvl w:val="0"/>
          <w:numId w:val="2"/>
        </w:numPr>
        <w:spacing w:after="40" w:before="40"/>
      </w:pPr>
      <w:r>
        <w:rPr>
          <w:rFonts w:ascii="Arial" w:cs="Arial" w:eastAsia="Arial" w:hAnsi="Arial"/>
          <w:color w:val="1A2A2A"/>
          <w:sz w:val="22"/>
          <w:szCs w:val="22"/>
        </w:rPr>
        <w:t xml:space="preserve">Izquierda: Título del módulo (22px / 600) + subtítulo contextual (12px / 400, --color-text-3). Ejemplo: "Agenda" / "Lunes 12 de junio, 2026"</w:t>
      </w:r>
    </w:p>
    <w:p>
      <w:pPr>
        <w:pStyle w:val="ListParagraph"/>
        <w:numPr>
          <w:ilvl w:val="0"/>
          <w:numId w:val="2"/>
        </w:numPr>
        <w:spacing w:after="40" w:before="40"/>
      </w:pPr>
      <w:r>
        <w:rPr>
          <w:rFonts w:ascii="Arial" w:cs="Arial" w:eastAsia="Arial" w:hAnsi="Arial"/>
          <w:color w:val="1A2A2A"/>
          <w:sz w:val="22"/>
          <w:szCs w:val="22"/>
        </w:rPr>
        <w:t xml:space="preserve">Centro: Vacío en la mayoría de módulos. En Agenda puede contener los controles de vista (Día / Semana / Mes)</w:t>
      </w:r>
    </w:p>
    <w:p>
      <w:pPr>
        <w:pStyle w:val="ListParagraph"/>
        <w:numPr>
          <w:ilvl w:val="0"/>
          <w:numId w:val="2"/>
        </w:numPr>
        <w:spacing w:after="40" w:before="40"/>
      </w:pPr>
      <w:r>
        <w:rPr>
          <w:rFonts w:ascii="Arial" w:cs="Arial" w:eastAsia="Arial" w:hAnsi="Arial"/>
          <w:color w:val="1A2A2A"/>
          <w:sz w:val="22"/>
          <w:szCs w:val="22"/>
        </w:rPr>
        <w:t xml:space="preserve">Derecha: Hasta 2 botones de acción (máximo 1 Primario + 1 Secundario o Ghost). En pantallas de detalle puede incluir un breadcrumb de navegación</w:t>
      </w:r>
    </w:p>
    <w:p>
      <w:pPr>
        <w:spacing w:after="0" w:before="80"/>
      </w:pPr>
      <w:r>
        <w:t xml:space="preserve"/>
      </w:r>
    </w:p>
    <w:p>
      <w:pPr>
        <w:pStyle w:val="Heading3"/>
        <w:spacing w:after="80" w:before="200"/>
      </w:pPr>
      <w:r>
        <w:rPr>
          <w:rFonts w:ascii="Arial" w:cs="Arial" w:eastAsia="Arial" w:hAnsi="Arial"/>
          <w:b/>
          <w:bCs/>
          <w:color w:val="376D6D"/>
          <w:sz w:val="22"/>
          <w:szCs w:val="22"/>
        </w:rPr>
        <w:t xml:space="preserve">Acciones por módulo —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Módulo</w:t>
            </w:r>
          </w:p>
        </w:tc>
        <w:tc>
          <w:tcPr>
            <w:tcW w:type="dxa" w:w="30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Acción primaria</w:t>
            </w:r>
          </w:p>
        </w:tc>
        <w:tc>
          <w:tcPr>
            <w:tcW w:type="dxa" w:w="39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Acción secundaria</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Agenda</w:t>
            </w:r>
          </w:p>
        </w:tc>
        <w:tc>
          <w:tcPr>
            <w:tcW w:type="dxa" w:w="3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 Nueva cita</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Vista semana / mes</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Pacientes</w:t>
            </w:r>
          </w:p>
        </w:tc>
        <w:tc>
          <w:tcPr>
            <w:tcW w:type="dxa" w:w="3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 Nuevo paciente</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Exportar listado</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Expediente</w:t>
            </w:r>
          </w:p>
        </w:tc>
        <w:tc>
          <w:tcPr>
            <w:tcW w:type="dxa" w:w="3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 Nuevo documento</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Vista previa / imprimir</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Tratamientos</w:t>
            </w:r>
          </w:p>
        </w:tc>
        <w:tc>
          <w:tcPr>
            <w:tcW w:type="dxa" w:w="3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 Nuevo plan</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Caja</w:t>
            </w:r>
          </w:p>
        </w:tc>
        <w:tc>
          <w:tcPr>
            <w:tcW w:type="dxa" w:w="3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Registrar cobro</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Abrir / cerrar sesión</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Inventario</w:t>
            </w:r>
          </w:p>
        </w:tc>
        <w:tc>
          <w:tcPr>
            <w:tcW w:type="dxa" w:w="3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 Agregar producto</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Ajuste de inventario</w:t>
            </w:r>
          </w:p>
        </w:tc>
      </w:tr>
      <w:tr>
        <w:tc>
          <w:tcPr>
            <w:tcW w:type="dxa" w:w="24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Contabilidad</w:t>
            </w:r>
          </w:p>
        </w:tc>
        <w:tc>
          <w:tcPr>
            <w:tcW w:type="dxa" w:w="30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w:t>
            </w:r>
          </w:p>
        </w:tc>
        <w:tc>
          <w:tcPr>
            <w:tcW w:type="dxa" w:w="39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Exportar periodo</w:t>
            </w:r>
          </w:p>
        </w:tc>
      </w:tr>
      <w:tr>
        <w:tc>
          <w:tcPr>
            <w:tcW w:type="dxa" w:w="24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Personal</w:t>
            </w:r>
          </w:p>
        </w:tc>
        <w:tc>
          <w:tcPr>
            <w:tcW w:type="dxa" w:w="30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 Agregar empleado</w:t>
            </w:r>
          </w:p>
        </w:tc>
        <w:tc>
          <w:tcPr>
            <w:tcW w:type="dxa" w:w="39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w:t>
            </w:r>
          </w:p>
        </w:tc>
      </w:tr>
    </w:tbl>
    <w:p>
      <w:pPr>
        <w:spacing w:after="0" w:before="120"/>
      </w:pPr>
      <w:r>
        <w:t xml:space="preserve"/>
      </w:r>
    </w:p>
    <w:p>
      <w:pPr>
        <w:pStyle w:val="Heading2"/>
        <w:spacing w:after="120" w:before="280"/>
      </w:pPr>
      <w:r>
        <w:rPr>
          <w:rFonts w:ascii="Arial" w:cs="Arial" w:eastAsia="Arial" w:hAnsi="Arial"/>
          <w:b/>
          <w:bCs/>
          <w:color w:val="274E4E"/>
          <w:sz w:val="26"/>
          <w:szCs w:val="26"/>
        </w:rPr>
        <w:t xml:space="preserve">3.4 Cambio de clínica (multi-tenant)</w:t>
      </w:r>
    </w:p>
    <w:p>
      <w:pPr>
        <w:spacing w:after="80" w:before="80"/>
      </w:pPr>
      <w:r>
        <w:rPr>
          <w:rFonts w:ascii="Arial" w:cs="Arial" w:eastAsia="Arial" w:hAnsi="Arial"/>
          <w:color w:val="1A2A2A"/>
          <w:sz w:val="22"/>
          <w:szCs w:val="22"/>
        </w:rPr>
        <w:t xml:space="preserve">Los usuarios con acceso a más de una clínica ven un selector de clínica en la parte superior del sidebar, encima de las secciones de navegación. El selector muestra el nombre de la clínica activa con un ícono de chevron. Al hacer clic despliega un dropdown con las clínicas disponibles.</w:t>
      </w:r>
    </w:p>
    <w:p>
      <w:pPr>
        <w:pStyle w:val="ListParagraph"/>
        <w:numPr>
          <w:ilvl w:val="0"/>
          <w:numId w:val="2"/>
        </w:numPr>
        <w:spacing w:after="40" w:before="40"/>
      </w:pPr>
      <w:r>
        <w:rPr>
          <w:rFonts w:ascii="Arial" w:cs="Arial" w:eastAsia="Arial" w:hAnsi="Arial"/>
          <w:color w:val="1A2A2A"/>
          <w:sz w:val="22"/>
          <w:szCs w:val="22"/>
        </w:rPr>
        <w:t xml:space="preserve">Al cambiar de clínica: la aplicación recarga el área de contenido con los datos de la nueva clínica</w:t>
      </w:r>
    </w:p>
    <w:p>
      <w:pPr>
        <w:pStyle w:val="ListParagraph"/>
        <w:numPr>
          <w:ilvl w:val="0"/>
          <w:numId w:val="2"/>
        </w:numPr>
        <w:spacing w:after="40" w:before="40"/>
      </w:pPr>
      <w:r>
        <w:rPr>
          <w:rFonts w:ascii="Arial" w:cs="Arial" w:eastAsia="Arial" w:hAnsi="Arial"/>
          <w:color w:val="1A2A2A"/>
          <w:sz w:val="22"/>
          <w:szCs w:val="22"/>
        </w:rPr>
        <w:t xml:space="preserve">El sidebar y el topbar muestran el nombre de la clínica activa en todo momento</w:t>
      </w:r>
    </w:p>
    <w:p>
      <w:pPr>
        <w:pStyle w:val="ListParagraph"/>
        <w:numPr>
          <w:ilvl w:val="0"/>
          <w:numId w:val="2"/>
        </w:numPr>
        <w:spacing w:after="40" w:before="40"/>
      </w:pPr>
      <w:r>
        <w:rPr>
          <w:rFonts w:ascii="Arial" w:cs="Arial" w:eastAsia="Arial" w:hAnsi="Arial"/>
          <w:color w:val="1A2A2A"/>
          <w:sz w:val="22"/>
          <w:szCs w:val="22"/>
        </w:rPr>
        <w:t xml:space="preserve">Los datos nunca se mezclan entre clínicas — el RLS de PostgreSQL lo garantiza a nivel de base de datos</w:t>
      </w:r>
    </w:p>
    <w:p>
      <w:pPr>
        <w:pBdr>
          <w:left w:val="single" w:color="376D6D" w:sz="12" w:space="8"/>
        </w:pBdr>
        <w:shd w:fill="E0F0FA" w:val="clear"/>
        <w:spacing w:after="100" w:before="100"/>
        <w:ind w:left="200" w:right="200"/>
      </w:pPr>
      <w:r>
        <w:rPr>
          <w:rFonts w:ascii="Arial" w:cs="Arial" w:eastAsia="Arial" w:hAnsi="Arial"/>
          <w:b/>
          <w:bCs/>
          <w:color w:val="376D6D"/>
          <w:sz w:val="20"/>
          <w:szCs w:val="20"/>
        </w:rPr>
        <w:t xml:space="preserve">  Nota: </w:t>
      </w:r>
      <w:r>
        <w:rPr>
          <w:rFonts w:ascii="Arial" w:cs="Arial" w:eastAsia="Arial" w:hAnsi="Arial"/>
          <w:color w:val="4A6A6A"/>
          <w:sz w:val="20"/>
          <w:szCs w:val="20"/>
        </w:rPr>
        <w:t xml:space="preserve">El selector de clínica solo es visible para usuarios con rol Admin o clinic_admin asignados en más de una clínica. El médico o la recepcionista que trabajan en una sola clínica no ven este elemento.</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3.5 Perfil de usuario y sesión</w:t>
      </w:r>
    </w:p>
    <w:p>
      <w:pPr>
        <w:spacing w:after="80" w:before="80"/>
      </w:pPr>
      <w:r>
        <w:rPr>
          <w:rFonts w:ascii="Arial" w:cs="Arial" w:eastAsia="Arial" w:hAnsi="Arial"/>
          <w:color w:val="1A2A2A"/>
          <w:sz w:val="22"/>
          <w:szCs w:val="22"/>
        </w:rPr>
        <w:t xml:space="preserve">El avatar en la parte inferior del sidebar (círculo con las iniciales del usuario, fondo --color-primary) abre un dropdown con:</w:t>
      </w:r>
    </w:p>
    <w:p>
      <w:pPr>
        <w:pStyle w:val="ListParagraph"/>
        <w:numPr>
          <w:ilvl w:val="0"/>
          <w:numId w:val="2"/>
        </w:numPr>
        <w:spacing w:after="40" w:before="40"/>
      </w:pPr>
      <w:r>
        <w:rPr>
          <w:rFonts w:ascii="Arial" w:cs="Arial" w:eastAsia="Arial" w:hAnsi="Arial"/>
          <w:color w:val="1A2A2A"/>
          <w:sz w:val="22"/>
          <w:szCs w:val="22"/>
        </w:rPr>
        <w:t xml:space="preserve">Nombre completo y rol del usuario</w:t>
      </w:r>
    </w:p>
    <w:p>
      <w:pPr>
        <w:pStyle w:val="ListParagraph"/>
        <w:numPr>
          <w:ilvl w:val="0"/>
          <w:numId w:val="2"/>
        </w:numPr>
        <w:spacing w:after="40" w:before="40"/>
      </w:pPr>
      <w:r>
        <w:rPr>
          <w:rFonts w:ascii="Arial" w:cs="Arial" w:eastAsia="Arial" w:hAnsi="Arial"/>
          <w:color w:val="1A2A2A"/>
          <w:sz w:val="22"/>
          <w:szCs w:val="22"/>
        </w:rPr>
        <w:t xml:space="preserve">Clínica activa</w:t>
      </w:r>
    </w:p>
    <w:p>
      <w:pPr>
        <w:pStyle w:val="ListParagraph"/>
        <w:numPr>
          <w:ilvl w:val="0"/>
          <w:numId w:val="2"/>
        </w:numPr>
        <w:spacing w:after="40" w:before="40"/>
      </w:pPr>
      <w:r>
        <w:rPr>
          <w:rFonts w:ascii="Arial" w:cs="Arial" w:eastAsia="Arial" w:hAnsi="Arial"/>
          <w:color w:val="1A2A2A"/>
          <w:sz w:val="22"/>
          <w:szCs w:val="22"/>
        </w:rPr>
        <w:t xml:space="preserve">Enlace a preferencias de cuenta</w:t>
      </w:r>
    </w:p>
    <w:p>
      <w:pPr>
        <w:pStyle w:val="ListParagraph"/>
        <w:numPr>
          <w:ilvl w:val="0"/>
          <w:numId w:val="2"/>
        </w:numPr>
        <w:spacing w:after="40" w:before="40"/>
      </w:pPr>
      <w:r>
        <w:rPr>
          <w:rFonts w:ascii="Arial" w:cs="Arial" w:eastAsia="Arial" w:hAnsi="Arial"/>
          <w:color w:val="1A2A2A"/>
          <w:sz w:val="22"/>
          <w:szCs w:val="22"/>
        </w:rPr>
        <w:t xml:space="preserve">Toggle modo claro / modo oscuro</w:t>
      </w:r>
    </w:p>
    <w:p>
      <w:pPr>
        <w:pStyle w:val="ListParagraph"/>
        <w:numPr>
          <w:ilvl w:val="0"/>
          <w:numId w:val="2"/>
        </w:numPr>
        <w:spacing w:after="40" w:before="40"/>
      </w:pPr>
      <w:r>
        <w:rPr>
          <w:rFonts w:ascii="Arial" w:cs="Arial" w:eastAsia="Arial" w:hAnsi="Arial"/>
          <w:color w:val="1A2A2A"/>
          <w:sz w:val="22"/>
          <w:szCs w:val="22"/>
        </w:rPr>
        <w:t xml:space="preserve">Cerrar sesión</w:t>
      </w:r>
    </w:p>
    <w:p>
      <w:pPr>
        <w:spacing w:after="0" w:before="120"/>
      </w:pPr>
      <w:r>
        <w:t xml:space="preserve"/>
      </w:r>
    </w:p>
    <w:p>
      <w:pPr>
        <w:pStyle w:val="Heading2"/>
        <w:spacing w:after="120" w:before="280"/>
      </w:pPr>
      <w:r>
        <w:rPr>
          <w:rFonts w:ascii="Arial" w:cs="Arial" w:eastAsia="Arial" w:hAnsi="Arial"/>
          <w:b/>
          <w:bCs/>
          <w:color w:val="274E4E"/>
          <w:sz w:val="26"/>
          <w:szCs w:val="26"/>
        </w:rPr>
        <w:t xml:space="preserve">3.6 Modo claro / modo oscuro</w:t>
      </w:r>
    </w:p>
    <w:p>
      <w:pPr>
        <w:spacing w:after="80" w:before="80"/>
      </w:pPr>
      <w:r>
        <w:rPr>
          <w:rFonts w:ascii="Arial" w:cs="Arial" w:eastAsia="Arial" w:hAnsi="Arial"/>
          <w:color w:val="1A2A2A"/>
          <w:sz w:val="22"/>
          <w:szCs w:val="22"/>
        </w:rPr>
        <w:t xml:space="preserve">El toggle de modo se encuentra en el dropdown de perfil de usuario. Al activarlo, el cambio de tema aplica instantáneamente vía CSS custom properties sin recargar la página. La preferencia se guarda en el perfil del usuario en base de datos (no solo en localStorage) para que persista entre dispositivos y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Aspecto</w:t>
            </w:r>
          </w:p>
        </w:tc>
        <w:tc>
          <w:tcPr>
            <w:tcW w:type="dxa" w:w="6560"/>
            <w:tcBorders>
              <w:top w:val="single" w:color="D0DEDE" w:sz="1"/>
              <w:left w:val="single" w:color="D0DEDE" w:sz="1"/>
              <w:bottom w:val="single" w:color="D0DEDE" w:sz="1"/>
              <w:right w:val="single" w:color="D0DEDE" w:sz="1"/>
            </w:tcBorders>
            <w:shd w:fill="D5E8F0" w:val="clear"/>
            <w:tcMar>
              <w:top w:type="dxa" w:w="80"/>
              <w:left w:type="dxa" w:w="120"/>
              <w:bottom w:type="dxa" w:w="80"/>
              <w:right w:type="dxa" w:w="120"/>
            </w:tcMar>
          </w:tcPr>
          <w:p>
            <w:r>
              <w:rPr>
                <w:rFonts w:ascii="Arial" w:cs="Arial" w:eastAsia="Arial" w:hAnsi="Arial"/>
                <w:b/>
                <w:bCs/>
                <w:color w:val="274E4E"/>
                <w:sz w:val="18"/>
                <w:szCs w:val="18"/>
              </w:rPr>
              <w:t xml:space="preserve">Comportamiento</w:t>
            </w:r>
          </w:p>
        </w:tc>
      </w:tr>
      <w:tr>
        <w:tc>
          <w:tcPr>
            <w:tcW w:type="dxa" w:w="2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Valor predeterminado</w:t>
            </w:r>
          </w:p>
        </w:tc>
        <w:tc>
          <w:tcPr>
            <w:tcW w:type="dxa" w:w="6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Modo claro para todos los usuarios nuevos</w:t>
            </w:r>
          </w:p>
        </w:tc>
      </w:tr>
      <w:tr>
        <w:tc>
          <w:tcPr>
            <w:tcW w:type="dxa" w:w="2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Persistencia</w:t>
            </w:r>
          </w:p>
        </w:tc>
        <w:tc>
          <w:tcPr>
            <w:tcW w:type="dxa" w:w="6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Base de datos + localStorage como caché local</w:t>
            </w:r>
          </w:p>
        </w:tc>
      </w:tr>
      <w:tr>
        <w:tc>
          <w:tcPr>
            <w:tcW w:type="dxa" w:w="2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Transición</w:t>
            </w:r>
          </w:p>
        </w:tc>
        <w:tc>
          <w:tcPr>
            <w:tcW w:type="dxa" w:w="6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CSS transition de 150ms en background-color y color para todos los elementos</w:t>
            </w:r>
          </w:p>
        </w:tc>
      </w:tr>
      <w:tr>
        <w:tc>
          <w:tcPr>
            <w:tcW w:type="dxa" w:w="280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Imágenes y logos</w:t>
            </w:r>
          </w:p>
        </w:tc>
        <w:tc>
          <w:tcPr>
            <w:tcW w:type="dxa" w:w="6560"/>
            <w:tcBorders>
              <w:top w:val="single" w:color="D0DEDE" w:sz="1"/>
              <w:left w:val="single" w:color="D0DEDE" w:sz="1"/>
              <w:bottom w:val="single" w:color="D0DEDE" w:sz="1"/>
              <w:right w:val="single" w:color="D0DEDE" w:sz="1"/>
            </w:tcBorders>
            <w:shd w:fill="F5FBFF" w:val="clear"/>
            <w:tcMar>
              <w:top w:type="dxa" w:w="80"/>
              <w:left w:type="dxa" w:w="120"/>
              <w:bottom w:type="dxa" w:w="80"/>
              <w:right w:type="dxa" w:w="120"/>
            </w:tcMar>
          </w:tcPr>
          <w:p>
            <w:r>
              <w:rPr>
                <w:rFonts w:ascii="Arial" w:cs="Arial" w:eastAsia="Arial" w:hAnsi="Arial"/>
                <w:color w:val="1A2A2A"/>
                <w:sz w:val="20"/>
                <w:szCs w:val="20"/>
              </w:rPr>
              <w:t xml:space="preserve">Las fotografías clínicas y logos de clínica no se alteran por el modo</w:t>
            </w:r>
          </w:p>
        </w:tc>
      </w:tr>
      <w:tr>
        <w:tc>
          <w:tcPr>
            <w:tcW w:type="dxa" w:w="280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Gráficas y charts</w:t>
            </w:r>
          </w:p>
        </w:tc>
        <w:tc>
          <w:tcPr>
            <w:tcW w:type="dxa" w:w="6560"/>
            <w:tcBorders>
              <w:top w:val="single" w:color="D0DEDE" w:sz="1"/>
              <w:left w:val="single" w:color="D0DEDE" w:sz="1"/>
              <w:bottom w:val="single" w:color="D0DEDE" w:sz="1"/>
              <w:right w:val="single" w:color="D0DEDE" w:sz="1"/>
            </w:tcBorders>
            <w:shd w:fill="FFFFFF" w:val="clear"/>
            <w:tcMar>
              <w:top w:type="dxa" w:w="80"/>
              <w:left w:type="dxa" w:w="120"/>
              <w:bottom w:type="dxa" w:w="80"/>
              <w:right w:type="dxa" w:w="120"/>
            </w:tcMar>
          </w:tcPr>
          <w:p>
            <w:r>
              <w:rPr>
                <w:rFonts w:ascii="Arial" w:cs="Arial" w:eastAsia="Arial" w:hAnsi="Arial"/>
                <w:color w:val="1A2A2A"/>
                <w:sz w:val="20"/>
                <w:szCs w:val="20"/>
              </w:rPr>
              <w:t xml:space="preserve">Usan paleta adaptada definida en §10 (Contabilidad)</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EDE" w:sz="4" w:space="4"/>
      </w:pBdr>
      <w:tabs>
        <w:tab w:val="right" w:pos="9026"/>
      </w:tabs>
    </w:pPr>
    <w:r>
      <w:rPr>
        <w:rFonts w:ascii="Arial" w:cs="Arial" w:eastAsia="Arial" w:hAnsi="Arial"/>
        <w:color w:val="829a9a"/>
        <w:sz w:val="16"/>
        <w:szCs w:val="16"/>
      </w:rPr>
      <w:t xml:space="preserve">Versión 1.0 · Junio 2025</w:t>
    </w:r>
    <w:r>
      <w:rPr>
        <w:rFonts w:ascii="Arial" w:cs="Arial" w:eastAsia="Arial" w:hAnsi="Arial"/>
        <w:sz w:val="16"/>
        <w:szCs w:val="16"/>
      </w:rPr>
      <w:t xml:space="preserve">	</w:t>
    </w:r>
    <w:fldSimple w:instr="PAGE">
      <w:r>
        <w:rPr>
          <w:rFonts w:ascii="Arial" w:cs="Arial" w:eastAsia="Arial" w:hAnsi="Arial"/>
          <w:color w:val="829a9a"/>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EDE" w:sz="4" w:space="4"/>
      </w:pBdr>
      <w:tabs>
        <w:tab w:val="right" w:pos="9026"/>
      </w:tabs>
    </w:pPr>
    <w:r>
      <w:rPr>
        <w:rFonts w:ascii="Arial" w:cs="Arial" w:eastAsia="Arial" w:hAnsi="Arial"/>
        <w:color w:val="829a9a"/>
        <w:sz w:val="16"/>
        <w:szCs w:val="16"/>
      </w:rPr>
      <w:t xml:space="preserve">Especificación UI/UX — Sistema de Gestión de Consultorios Médicos</w:t>
    </w:r>
    <w:r>
      <w:rPr>
        <w:rFonts w:ascii="Arial" w:cs="Arial" w:eastAsia="Arial" w:hAnsi="Arial"/>
        <w:sz w:val="16"/>
        <w:szCs w:val="16"/>
      </w:rPr>
      <w:t xml:space="preserve">	</w:t>
    </w:r>
    <w:r>
      <w:rPr>
        <w:rFonts w:ascii="Arial" w:cs="Arial" w:eastAsia="Arial" w:hAnsi="Arial"/>
        <w:color w:val="829a9a"/>
        <w:sz w:val="16"/>
        <w:szCs w:val="16"/>
      </w:rPr>
      <w:t xml:space="preserve">Confidencial · Fase 1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74E4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74E4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6D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2026-06-12T21:18:44.097Z</dcterms:created>
  <dcterms:modified xsi:type="dcterms:W3CDTF">2026-06-12T21:18:44.097Z</dcterms:modified>
</cp:coreProperties>
</file>

<file path=docProps/custom.xml><?xml version="1.0" encoding="utf-8"?>
<Properties xmlns="http://schemas.openxmlformats.org/officeDocument/2006/custom-properties" xmlns:vt="http://schemas.openxmlformats.org/officeDocument/2006/docPropsVTypes"/>
</file>