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822feaed4f496dfea8882c0da3780afe58aebf4"/>
    <w:p>
      <w:pPr>
        <w:pStyle w:val="Heading1"/>
      </w:pPr>
      <w:r>
        <w:t xml:space="preserve">A config-driven R workflow for long-read shotgun metagenomics analysis</w:t>
      </w:r>
    </w:p>
    <w:p>
      <w:pPr>
        <w:pStyle w:val="FirstParagraph"/>
      </w:pPr>
      <w:r>
        <w:rPr>
          <w:b/>
          <w:bCs/>
        </w:rPr>
        <w:t xml:space="preserve">Authors / Affiliations</w:t>
      </w:r>
    </w:p>
    <w:p>
      <w:pPr>
        <w:pStyle w:val="BodyText"/>
      </w:pPr>
      <w:r>
        <w:t xml:space="preserve">Julio C. Ortega Cambara</w:t>
      </w:r>
      <w:r>
        <w:t xml:space="preserve">1*</w:t>
      </w:r>
      <w:r>
        <w:t xml:space="preserve">, Hermine Mkrtchyan</w:t>
      </w:r>
      <w:r>
        <w:t xml:space="preserve">1</w:t>
      </w:r>
      <w:r>
        <w:t xml:space="preserve">, Raju Misra</w:t>
      </w:r>
      <w:r>
        <w:t xml:space="preserve">2</w:t>
      </w:r>
      <w:r>
        <w:t xml:space="preserve">, Timothy D. McHugh</w:t>
      </w:r>
      <w:r>
        <w:t xml:space="preserve">3</w:t>
      </w:r>
      <w:r>
        <w:t xml:space="preserve">, Sylvia Rofael</w:t>
      </w:r>
      <w:r>
        <w:t xml:space="preserve">3</w:t>
      </w:r>
      <w:r>
        <w:t xml:space="preserve">, David Lowe</w:t>
      </w:r>
      <w:r>
        <w:t xml:space="preserve">3</w:t>
      </w:r>
      <w:r>
        <w:t xml:space="preserve">, Piotr Cuber</w:t>
      </w:r>
      <w:r>
        <w:t xml:space="preserve">4</w:t>
      </w:r>
      <w:r>
        <w:t xml:space="preserve">, Pedro Humberto Lebre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School of Biomedical Science, University of West London, London, United Kingdom</w:t>
      </w:r>
      <w:r>
        <w:t xml:space="preserve"> </w:t>
      </w:r>
      <w:r>
        <w:t xml:space="preserve">2</w:t>
      </w:r>
      <w:r>
        <w:t xml:space="preserve">UK Health Security Agency, London, United Kingdom</w:t>
      </w:r>
      <w:r>
        <w:t xml:space="preserve"> </w:t>
      </w:r>
      <w:r>
        <w:t xml:space="preserve">3</w:t>
      </w:r>
      <w:r>
        <w:t xml:space="preserve">Centre for Clinical Microbiology, University College London, London, United Kingdom</w:t>
      </w:r>
      <w:r>
        <w:t xml:space="preserve"> </w:t>
      </w:r>
      <w:r>
        <w:t xml:space="preserve">4</w:t>
      </w:r>
      <w:r>
        <w:t xml:space="preserve">Natural History Museum, London, United Kingdom</w:t>
      </w:r>
    </w:p>
    <w:p>
      <w:pPr>
        <w:pStyle w:val="BodyText"/>
      </w:pPr>
      <w:r>
        <w:t xml:space="preserve">*</w:t>
      </w:r>
      <w:r>
        <w:t xml:space="preserve">Correspondence: Hermine Mkrtchyan —</w:t>
      </w:r>
      <w:r>
        <w:t xml:space="preserve"> </w:t>
      </w:r>
      <w:hyperlink r:id="rId20">
        <w:r>
          <w:rPr>
            <w:rStyle w:val="Hyperlink"/>
          </w:rPr>
          <w:t xml:space="preserve">Hermine.Mkrtchyan@uwl.ac.uk</w:t>
        </w:r>
      </w:hyperlink>
    </w:p>
    <w:p>
      <w:pPr>
        <w:pStyle w:val="BodyText"/>
      </w:pPr>
      <w:r>
        <w:t xml:space="preserve">{{TODO: ORCIDs for all authors}}</w:t>
      </w:r>
    </w:p>
    <w:p>
      <w:r>
        <w:pict>
          <v:rect style="width:0;height:1.5pt" o:hralign="center" o:hrstd="t" o:hr="t"/>
        </w:pict>
      </w:r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Motivation.</w:t>
      </w:r>
      <w:r>
        <w:t xml:space="preserve"> </w:t>
      </w:r>
      <w:r>
        <w:t xml:space="preserve">Long-read shotgun metagenomics studies are typically analysed by hand-editing dozens of R scripts per project — pasting sample identifiers, patching taxonomy strings and copying chunks between studies. Existing R workflows largely target short-read amplicon data or a single analysis (e.g. resistome risk scoring), leaving long-read shotgun studies without an integrated, configuration-driven option.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 Metagenomics Pipeline Automation, an alpha-stage modular R workflow that consumes Kraken2, Bracken, ABRicate and Re-centrifuge outputs and produces a single Quarto HTML dashboard together with a set of publication-ready composite figures (PNG and TIFF) and a supplementary tables workbook. The workflow covers decontamination, TPM normalisation, taxonomy, alpha/beta diversity with PERMANOVA, two-level ALDEx2 differential abundance, and resistome/virulome/mobilome profiling joined by a tripartite sample × taxon × gene network with companion chord and Sankey diagrams. A study is parameterised by one YAML file; module code is not edited per-project, and every run emits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artefact catalogue tagging every figure and table by kind for downstream tooling.</w:t>
      </w:r>
    </w:p>
    <w:p>
      <w:pPr>
        <w:pStyle w:val="BodyText"/>
      </w:pPr>
      <w:r>
        <w:rPr>
          <w:b/>
          <w:bCs/>
        </w:rPr>
        <w:t xml:space="preserve">Availability and Implementation.</w:t>
      </w:r>
      <w:r>
        <w:t xml:space="preserve"> </w:t>
      </w:r>
      <w:r>
        <w:t xml:space="preserve">Source at</w:t>
      </w:r>
      <w:r>
        <w:t xml:space="preserve"> </w:t>
      </w:r>
      <w:hyperlink r:id="rId21">
        <w:r>
          <w:rPr>
            <w:rStyle w:val="Hyperlink"/>
          </w:rPr>
          <w:t xml:space="preserve">https://github.com/Julio92-C/Metagenomics_pipeline_automation</w:t>
        </w:r>
      </w:hyperlink>
      <w:r>
        <w:t xml:space="preserve"> </w:t>
      </w:r>
      <w:r>
        <w:t xml:space="preserve">(MIT). Run with</w:t>
      </w:r>
      <w:r>
        <w:t xml:space="preserve"> </w:t>
      </w:r>
      <w:r>
        <w:rPr>
          <w:rStyle w:val="VerbatimChar"/>
        </w:rPr>
        <w:t xml:space="preserve">git clone &lt;repo&gt; &amp;&amp; Rscript run_pipeline.R config.yaml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hyperlink r:id="rId20">
        <w:r>
          <w:rPr>
            <w:rStyle w:val="Hyperlink"/>
          </w:rPr>
          <w:t xml:space="preserve">Hermine.Mkrtchyan@uwl.ac.uk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Xe3d0fc0bea9a42ce7605565d0964033d7f6ee47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By simultaneously profiling microbial communities and their functional genetic elements across environmental, clinical, and veterinary or livestock matrices, long-read shotgun metagenomics (Oxford Nanopore, PacBio) serves as a powerful One Health tool for tracking health threats that intersect humans, animals, and ecosystems [1]. The downstream analysis stack is well established — Kraken2 [2] and Bracken [3] for taxonomic assignment and abundance estimation, ABRicate [4] against CARD [5], VFDB [6] and PlasmidFinder [7] for antimicrobial resistance genes (ARGs), virulence factors, and mobile genetic elements (MGEs) gene screening, Re-centrifuge [8] for contamination filtering, and R packages such as vegan [9] and ALDEx2 [10] for ecological and differential analyses — but the integration between them is not.</w:t>
      </w:r>
    </w:p>
    <w:p>
      <w:pPr>
        <w:pStyle w:val="BodyText"/>
      </w:pPr>
      <w:r>
        <w:t xml:space="preserve">In practice, each new study is analysed by adapting a set of bespoke R scripts: hard-coded input paths, sample-identifier filters embedded as literal strings, per-study negative-control renames, and taxonomy fixes patched by row index. The resulting per-study script copies drift apart, no shared interface emits a machine-readable record of which outputs each run produced, and cross-study comparisons require reconciling code as well as data. The reference cohort for the present work (</w:t>
      </w:r>
      <w:r>
        <w:rPr>
          <w:rStyle w:val="VerbatimChar"/>
        </w:rPr>
        <w:t xml:space="preserve">chicken_batch1</w:t>
      </w:r>
      <w:r>
        <w:t xml:space="preserve">; ~46 hand-edited scripts) typifies this pattern. The L-ARRAP pipeline [11] addresses one slice of this problem for long-read resistome risk assessment, and the rANOMALY workflow [12] demonstrates the value of a config-driven R workflow with auto-generated reports for amplicon data. To our knowledge, no comparable workflow exists for end-to-end long-read shotgun metagenomics covering taxonomy, diversity, differential abundance, and the full resistome–virulome–mobilome profiling in one configurable run.</w:t>
      </w:r>
    </w:p>
    <w:p>
      <w:pPr>
        <w:pStyle w:val="BodyText"/>
      </w:pPr>
      <w:r>
        <w:t xml:space="preserve">We present an early-stage R workflow that fills this gap. The tool is in active development; this note describes its design, current scope, and the real-data validation strategy we are using to harden each stage.</w:t>
      </w:r>
    </w:p>
    <w:bookmarkEnd w:id="23"/>
    <w:bookmarkStart w:id="27" w:name="Xfab522e0c411179c01dd3c9a2a01395ade9eb38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The workflow is a stand-alone R project, not an installable package. A single entry point (</w:t>
      </w:r>
      <w:r>
        <w:rPr>
          <w:rStyle w:val="VerbatimChar"/>
        </w:rPr>
        <w:t xml:space="preserve">run_pipeline.R</w:t>
      </w:r>
      <w:r>
        <w:t xml:space="preserve">) consumes one YAML configuration file per study and dispatches to fifteen ordered modules (</w:t>
      </w:r>
      <w:r>
        <w:rPr>
          <w:rStyle w:val="VerbatimChar"/>
        </w:rPr>
        <w:t xml:space="preserve">R/00_setup.R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R/14_panels.R</w:t>
      </w:r>
      <w:r>
        <w:t xml:space="preserve">); a Quarto dashboard template (</w:t>
      </w:r>
      <w:r>
        <w:rPr>
          <w:rStyle w:val="VerbatimChar"/>
        </w:rPr>
        <w:t xml:space="preserve">templates/report.qmd</w:t>
      </w:r>
      <w:r>
        <w:t xml:space="preserve">) renders all outputs into a single multi-page HTML deliverable, a publication-panels stage assembles main and supplementary composite figures plus a supplementary tables workbook, and a final manifest stage emits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describing every artefact produced (Figure 1).</w:t>
      </w:r>
    </w:p>
    <w:p>
      <w:pPr>
        <w:pStyle w:val="BodyText"/>
      </w:pPr>
      <w:r>
        <w:drawing>
          <wp:inline>
            <wp:extent cx="5302908" cy="5620960"/>
            <wp:effectExtent b="0" l="0" r="0" t="0"/>
            <wp:docPr descr="Figure 1. Metagenomics Pipeline Automation workflow. A single config.yaml 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templates/report.qmd, HTML with per-domain panels) and a publication-panels stage (R/14, composite figures plus supplementary_tables.xlsx), whose PNG/TIFF panels and tables workbook are the publication-ready outputs. R/13 finally writes manifest.json (contract v1.2; kind-tagged figure and table catalogue), cataloguing the dashboard, the R/14 panels and every intermediate artefact. Source: generate_figure1.py." title="" id="25" name="Picture"/>
            <a:graphic>
              <a:graphicData uri="http://schemas.openxmlformats.org/drawingml/2006/picture">
                <pic:pic>
                  <pic:nvPicPr>
                    <pic:cNvPr descr="figure1_pipeline_schemati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562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Configuration-driven.</w:t>
      </w:r>
      <w:r>
        <w:t xml:space="preserve"> </w:t>
      </w:r>
      <w:r>
        <w:t xml:space="preserve">Everything that varies between studies — metadata file path, grouping columns, negative-control identifiers, abundance thresholds, sample selection — is declared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 R/00 (setup) and R/01 (input loading) always run; every subsequent stage can be toggled via</w:t>
      </w:r>
      <w:r>
        <w:t xml:space="preserve"> </w:t>
      </w:r>
      <w:r>
        <w:rPr>
          <w:rStyle w:val="VerbatimChar"/>
        </w:rPr>
        <w:t xml:space="preserve">cfg$stages$*</w:t>
      </w:r>
      <w:r>
        <w:t xml:space="preserve"> </w:t>
      </w:r>
      <w:r>
        <w:t xml:space="preserve">flags so a user can, for example, re-run only the resistome modules after revising thresholds. TPM normalisation (R/03) and all gene-element stages (R/09–R/11) require ABRicate outputs and are skipped otherwise. Per-study NCBI taxonomy fixes, when needed, are declared in a structured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rather than as row-index edits. A single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by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 routes every multiple-testing correction across the pipeline.</w:t>
      </w:r>
    </w:p>
    <w:p>
      <w:pPr>
        <w:pStyle w:val="BodyText"/>
      </w:pPr>
      <w:r>
        <w:rPr>
          <w:b/>
          <w:bCs/>
        </w:rPr>
        <w:t xml:space="preserve">Stages.</w:t>
      </w:r>
      <w:r>
        <w:t xml:space="preserve"> </w:t>
      </w:r>
      <w:r>
        <w:t xml:space="preserve">The pipeline organises its work into five conceptual blocks.</w:t>
      </w:r>
    </w:p>
    <w:p>
      <w:pPr>
        <w:pStyle w:val="BodyText"/>
      </w:pPr>
      <w:r>
        <w:t xml:space="preserve">(1)</w:t>
      </w:r>
      <w:r>
        <w:t xml:space="preserve"> </w:t>
      </w:r>
      <w:r>
        <w:rPr>
          <w:i/>
          <w:iCs/>
        </w:rPr>
        <w:t xml:space="preserve">Ingest and cleaning</w:t>
      </w:r>
      <w:r>
        <w:t xml:space="preserve"> </w:t>
      </w:r>
      <w:r>
        <w:t xml:space="preserve">(R/00–R/02) load upstream tables — Kraken2/Bracken, ABRicate, Re-centrifuge contamination tags, study metadata — accommodating per-project input shapes rather than assuming a fixed column layout, apply optional negative-control subtraction, merge Bracken counts with the metadata covariates declared in</w:t>
      </w:r>
      <w:r>
        <w:t xml:space="preserve"> </w:t>
      </w:r>
      <w:r>
        <w:rPr>
          <w:rStyle w:val="VerbatimChar"/>
        </w:rPr>
        <w:t xml:space="preserve">cfg$metadata$fixed_effects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random_effect</w:t>
      </w:r>
      <w:r>
        <w:t xml:space="preserve">, and link ABRicate calls to taxonomic assignments. Per-study taxonomy patches are applied from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when supplied.</w:t>
      </w:r>
    </w:p>
    <w:p>
      <w:pPr>
        <w:pStyle w:val="BodyText"/>
      </w:pPr>
      <w:r>
        <w:t xml:space="preserve">(2)</w:t>
      </w:r>
      <w:r>
        <w:t xml:space="preserve"> </w:t>
      </w:r>
      <w:r>
        <w:rPr>
          <w:i/>
          <w:iCs/>
        </w:rPr>
        <w:t xml:space="preserve">Gene-element normalisation</w:t>
      </w:r>
      <w:r>
        <w:t xml:space="preserve"> </w:t>
      </w:r>
      <w:r>
        <w:t xml:space="preserve">(R/03) computes per-(sample, GENE) TPM from ABRicate hits and gene lengths.</w:t>
      </w:r>
    </w:p>
    <w:p>
      <w:pPr>
        <w:pStyle w:val="BodyText"/>
      </w:pPr>
      <w:r>
        <w:t xml:space="preserve">(3)</w:t>
      </w:r>
      <w:r>
        <w:t xml:space="preserve"> </w:t>
      </w:r>
      <w:r>
        <w:rPr>
          <w:i/>
          <w:iCs/>
        </w:rPr>
        <w:t xml:space="preserve">Community analyses</w:t>
      </w:r>
      <w:r>
        <w:t xml:space="preserve"> </w:t>
      </w:r>
      <w:r>
        <w:t xml:space="preserve">(R/04–R/08) cover the standard taxonomic toolkit: Venn diagrams and annotated heatmaps after a shared taxa-name cleanup; top-N stacked-bar relative-abundance plots (static PNG and interactive plotly HTML) with paired total-count and sample-prevalence panels; alpha diversity reporting Shannon, Simpson, richness, Pielou and Fisher metrics with Kruskal-Wallis tests and violin/bar plots, preferring a pre-computed indices CSV (e.g. Oxford Nanopore wf-metagenomics output) and falling back to vegan; PCoA on Hellinger-transformed Bray-Curtis distances with PERMANOVA (</w:t>
      </w:r>
      <w:r>
        <w:rPr>
          <w:rStyle w:val="VerbatimChar"/>
        </w:rPr>
        <w:t xml:space="preserve">adonis2</w:t>
      </w:r>
      <w:r>
        <w:t xml:space="preserve">, 9999 permutations) and PERMDISP (</w:t>
      </w:r>
      <w:r>
        <w:rPr>
          <w:rStyle w:val="VerbatimChar"/>
        </w:rPr>
        <w:t xml:space="preserve">betadisper</w:t>
      </w:r>
      <w:r>
        <w:t xml:space="preserve">) overlaid on the ordination; and ALDEx2 differential abundance at two levels — taxa (Bracken counts) and genes (ABRicate contig hits per (sample, GENE)) — combining an omnibus Kruskal-Wallis with pairwise Welch's t tests, with an optional</w:t>
      </w:r>
      <w:r>
        <w:t xml:space="preserve"> </w:t>
      </w:r>
      <w:r>
        <w:rPr>
          <w:rStyle w:val="VerbatimChar"/>
        </w:rPr>
        <w:t xml:space="preserve">aldex.glm</w:t>
      </w:r>
      <w:r>
        <w:t xml:space="preserve"> </w:t>
      </w:r>
      <w:r>
        <w:t xml:space="preserve">design path for covariate-adjusted models.</w:t>
      </w:r>
    </w:p>
    <w:p>
      <w:pPr>
        <w:pStyle w:val="BodyText"/>
      </w:pPr>
      <w:r>
        <w:t xml:space="preserve">(4)</w:t>
      </w:r>
      <w:r>
        <w:t xml:space="preserve"> </w:t>
      </w:r>
      <w:r>
        <w:rPr>
          <w:i/>
          <w:iCs/>
        </w:rPr>
        <w:t xml:space="preserve">Functional profiling</w:t>
      </w:r>
      <w:r>
        <w:t xml:space="preserve"> </w:t>
      </w:r>
      <w:r>
        <w:t xml:space="preserve">(R/09–R/11) runs a shared analysis engine three times against domain-specific databases: the resistome (ABRicate/CARD, with drug-class classification and a macrolide-lincosamide-streptogramin rollup), the virulome (VFDB, with functional categories extracted from the ABRicate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field) and the mobilome (PlasmidFinder, with configurable replicon-family classification — Col-like, IncF, IncX, other Inc). Each domain emits its own alpha diversity, Venn diagram, gene- and category-level heatmaps, relative-abundance and total-count panels, and a PCoA + PERMANOVA + PERMDISP suite.</w:t>
      </w:r>
    </w:p>
    <w:p>
      <w:pPr>
        <w:pStyle w:val="BodyText"/>
      </w:pPr>
      <w:r>
        <w:t xml:space="preserve">(5)</w:t>
      </w:r>
      <w:r>
        <w:t xml:space="preserve"> </w:t>
      </w:r>
      <w:r>
        <w:rPr>
          <w:i/>
          <w:iCs/>
        </w:rPr>
        <w:t xml:space="preserve">Integration, reporting and manifest</w:t>
      </w:r>
      <w:r>
        <w:t xml:space="preserve"> </w:t>
      </w:r>
      <w:r>
        <w:t xml:space="preserve">(R/12–R/14). R/12 assembles a tripartite ggraph network of sample × taxon × gene plus chord diagrams (overall and per group) and four-tier networkD3 Sankey diagrams, exports Gephi-compatible node/edge tables, and reports igraph topology metrics (degree, betweenness, Louvain modularity) and Bray-Curtis sample clusters. R/14 assembles publication-ready main and supplementary composite figures (PNG and TIFF outputs are independently toggleable) driven by a Frontiers slot YAML, alongside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v1.2), a kind-tagged catalogue of every figure, table and intermediate artefact the run produced, providing a stable JSON contract that decouples the pipeline from downstream report consumers and manuscript-drafting tools.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The Quarto template renders all outputs as a multi-page HTML dashboard with per-domain panels (taxonomy, diversity, differential abundance, resistome, virulome, mobilome, network) and embedded download links. Dependencies are pinned via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and the project requires R ≥ 4.5; external command-line tools (Kraken2, Bracken, ABRicate, Re-centrifuge) are assumed to have been run upstream.</w:t>
      </w:r>
    </w:p>
    <w:bookmarkEnd w:id="27"/>
    <w:bookmarkStart w:id="28" w:name="Xe535e7deb3457bf6891dfc100ac742aa591bc31"/>
    <w:p>
      <w:pPr>
        <w:pStyle w:val="Heading2"/>
      </w:pPr>
      <w:r>
        <w:t xml:space="preserve">3 Application and Validation</w:t>
      </w:r>
    </w:p>
    <w:p>
      <w:pPr>
        <w:pStyle w:val="FirstParagraph"/>
      </w:pPr>
      <w:r>
        <w:t xml:space="preserve">We are validating the pipeline against two real long-read chicken caecum metagenomics studies.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(PC_JC_2024-11-29; 18 samples; 3 dietary groups — Dulce, Reference diet, Soyabean meal) is the reference cohort: approximately 46 hand-edited R scripts and known-good figures and tables already exist for it, so each stage can be compared output-for-output against the corresponding ground-truth artefact.</w:t>
      </w:r>
      <w:r>
        <w:t xml:space="preserve"> </w:t>
      </w:r>
      <w:r>
        <w:rPr>
          <w:rStyle w:val="VerbatimChar"/>
        </w:rPr>
        <w:t xml:space="preserve">chicken_batch2</w:t>
      </w:r>
      <w:r>
        <w:t xml:space="preserve"> </w:t>
      </w:r>
      <w:r>
        <w:t xml:space="preserve">(JC_FL_2025-05-20; 32 samples; 4-level composite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 — Control_W4, Control_W5, Dulse_W4, Dulse_W5) is a scaling and feature-coverage cohort: it exercises a random effect (</w:t>
      </w:r>
      <w:r>
        <w:rPr>
          <w:rStyle w:val="VerbatimChar"/>
        </w:rPr>
        <w:t xml:space="preserve">block</w:t>
      </w:r>
      <w:r>
        <w:t xml:space="preserve">, pens 1–8), two declared negative controls (CTRL1, CTRL2) subtracted in R/02, and a larger per-stage feature load. Two purpose-built validation scripts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) provide numerical-diff and regression checks on the most error-prone intermediates, and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auto-instruments per-stage wall time and prints a slowest-first breakdown to the run log, mechanically populating the runtime columns of Table 1.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Per-stage wall time and primary output for both validation cohorts on the same workstation (Windows 11, R 4.5, single thread); identical pipeline commit and identical statistical settings (PERMANOVA 9999 permutations;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128).</w:t>
      </w:r>
      <w:r>
        <w:t xml:space="preserve"> </w:t>
      </w:r>
      <w:r>
        <w:rPr>
          <w:b/>
          <w:bCs/>
        </w:rPr>
        <w:t xml:space="preserve">B1</w:t>
      </w:r>
      <w:r>
        <w:t xml:space="preserve"> </w:t>
      </w:r>
      <w:r>
        <w:t xml:space="preserve">= chicken_batch1 (PC_JC_2024-11-29; n=18; 3 dietary groups).</w:t>
      </w:r>
      <w:r>
        <w:t xml:space="preserve"> </w:t>
      </w:r>
      <w:r>
        <w:rPr>
          <w:b/>
          <w:bCs/>
        </w:rPr>
        <w:t xml:space="preserve">B2</w:t>
      </w:r>
      <w:r>
        <w:t xml:space="preserve"> </w:t>
      </w:r>
      <w:r>
        <w:t xml:space="preserve">= chicken_batch2 (JC_FL_2025-05-20; n=32; 4-level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random effect, two declared negative controls). Sample sizes shown in some output cells refer to samples with non-zero hits at that stage. Runtimes are from the 2026-05-31 pipeline.log and pre-date the R/14 panels stage; a fresh end-to-end re-run is queued before submission (see Drafting notes).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primary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primary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upstream tables parsed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upstream tables parsed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taxid_fixes.csv</w:t>
            </w:r>
            <w:r>
              <w:t xml:space="preserve"> </w:t>
            </w:r>
            <w:r>
              <w:t xml:space="preserve">applied; no controls 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taxid_fixes.csv</w:t>
            </w:r>
            <w:r>
              <w:t xml:space="preserve">; 2 controls (CTRL1, CTRL2) subtracted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gene-element TPM table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gene-element TPM table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2,971 / 11,196 (taxon, sample) rows kept (count ≥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5,570 / 6,549 (taxon, sample) rows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relative_abundance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1,700 / 72,152 rows kept (count &gt; 17); top-50 +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7,557 / 18,073 rows kept; top-50 +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alpha_diversity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metrics × 18 samples; KW per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metrics × 32 samples; KW per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beta_diversity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PERMANOVA R² = 0.145, p = 0.22; PERMDISP p = 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PERMANOVA R² = 0.121, p = 0.15; PERMDISP p = 0.056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54s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taxa + 157 gene features; 3 pairwise contrasts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3m 27s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taxa + 221 gene features; 6 pairwise contrasts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resistome (CARD)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 rows / 85 genes / 18 drug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648 rows / 99 genes / 20 drug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virulome (VFDB)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 rows / 140 genes / 6 VF functions (17 / 18 samples)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rows / 156 genes / 8 VF functions (26 / 32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mobilome (PlasmidFinder)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rows / 10 replicons / 3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 rows / 25 replicons / 5 families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 edges, 100 nodes (18 + 42 + 40); modularity = 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7s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edges, 210 nodes (32 + 77 + 101); modularity = 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panels (R/14)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{{TODO: re-run}}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{{TODO: re-run}}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47 kB)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57 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dashboard HTML (~14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dashboard HTML (~18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(15 stages)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{{TODO: re-run}}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{{TODO: re-run}}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Differential abundance dominates wall time on both cohorts (≈50 % of the pre-R/14 total), driven by the ALDEx2 Monte-Carlo loop scaling with feature count, sample count and pairwise-contrast count; the network stage is next-most expensive because Sankey assembly iterates over every gene–category mapping. Across the recorded stages, doubling the sample count and pairwise-contrast count (B1 → B2) raised end-to-end runtime by ~73 %, suggesting near-linear scaling on the dominant ALDEx2 path. Tabulated PERMANOVA and PERMDISP statistics for the per-domain stages (resistome, virulome, mobilome), per-metric KW p-values for alpha diversity, and all DAA per-pair feature tables are surfaced in the Quarto dashboard rather than reproduced here. Peak memory is not yet auto-instrumented and is therefore omitted from Table 1; a separate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-based profiling pass is planned before submission.</w:t>
      </w:r>
    </w:p>
    <w:p>
      <w:pPr>
        <w:pStyle w:val="BodyText"/>
      </w:pPr>
      <w:r>
        <w:t xml:space="preserve">One expected and deliberate divergence concerns the resistome stage: the ground-truth</w:t>
      </w:r>
      <w:r>
        <w:t xml:space="preserve"> </w:t>
      </w:r>
      <w:r>
        <w:rPr>
          <w:rStyle w:val="VerbatimChar"/>
        </w:rPr>
        <w:t xml:space="preserve">cleanData.R</w:t>
      </w:r>
      <w:r>
        <w:t xml:space="preserve"> </w:t>
      </w:r>
      <w:r>
        <w:t xml:space="preserve">mis-parses taxids carrying variant suffixes, dropping the corresponding ABRicate rows. R/02 fixes this parsing bug, so the pipeline retains approximately {{TODO: confirm exact count from a fresh validation run}} additional (sample, GENE) rows relative to the hand-edited output. We treat this as a correctness improvement rather than a failure to reproduce, and the validation log flags it accordingly. The Re-centrifuge column-slicing heuristic in R/02 is acknowledged as still coarse and is queued for rework; Table 1 will be re-derived once that change lands.</w:t>
      </w:r>
    </w:p>
    <w:bookmarkEnd w:id="28"/>
    <w:bookmarkStart w:id="29" w:name="X50c7748aa6d421f569a5daf2425c9e7043a6cad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Metagenomics Pipeline Automation is an alpha-stage workflow that consolidates a long-read shotgun metagenomics analysis — taxonomy, diversity, differential abundance, resistome, virulome, mobilome, and an integrated network view — into one configuration-driven R project with a single Quarto dashboard, a publication-panels stage and a downstream-readable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contract. It is in active development and validation against real reference data is ongoing; we release it now to invite feedback from groups running comparable analyses and to encourage convergence on a shared, scriptable layout for long-read metagenomics studies.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{{TODO: acknowledgements — collaborators, reviewers, compute providers}}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study was funded by a Vice-Chancellor scholarship provided by the University of West London.</w:t>
      </w:r>
    </w:p>
    <w:p>
      <w:pPr>
        <w:pStyle w:val="BodyText"/>
      </w:pPr>
      <w:r>
        <w:rPr>
          <w:b/>
          <w:bCs/>
        </w:rPr>
        <w:t xml:space="preserve">Conflict of Interest.</w:t>
      </w:r>
      <w:r>
        <w:t xml:space="preserve"> </w:t>
      </w:r>
      <w:r>
        <w:t xml:space="preserve">The authors declare that they have no competing interests.</w:t>
      </w:r>
    </w:p>
    <w:p>
      <w:r>
        <w:pict>
          <v:rect style="width:0;height:1.5pt" o:hralign="center" o:hrstd="t" o:hr="t"/>
        </w:pict>
      </w:r>
    </w:p>
    <w:bookmarkEnd w:id="29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Al-Khalaifah H, Rahman MH, Al-Surrayai T, Al-Dhumair A, Al-Hasan M. A One-Health Perspective of Antimicrobial Resistance (AMR): Human, Animals and Environmental Health.</w:t>
      </w:r>
      <w:r>
        <w:t xml:space="preserve"> </w:t>
      </w:r>
      <w:r>
        <w:rPr>
          <w:i/>
          <w:iCs/>
        </w:rPr>
        <w:t xml:space="preserve">Life (Basel)</w:t>
      </w:r>
      <w:r>
        <w:t xml:space="preserve"> </w:t>
      </w:r>
      <w:r>
        <w:t xml:space="preserve">2025;15(10):1598. doi:10.3390/life15101598.</w:t>
      </w:r>
    </w:p>
    <w:p>
      <w:pPr>
        <w:pStyle w:val="Compact"/>
        <w:numPr>
          <w:ilvl w:val="0"/>
          <w:numId w:val="1001"/>
        </w:numPr>
      </w:pPr>
      <w:r>
        <w:t xml:space="preserve">Wood DE, Salzberg SL. Kraken: ultrafast metagenomic sequence classification using exact alignments.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2014;15:R46. doi:10.1186/gb-2014-15-3-r46. Kraken2: Wood DE, Lu J, Langmead B. Improved metagenomic analysis with Kraken 2.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2019;20:257. doi:10.1186/s13059-019-1891-0.</w:t>
      </w:r>
    </w:p>
    <w:p>
      <w:pPr>
        <w:pStyle w:val="Compact"/>
        <w:numPr>
          <w:ilvl w:val="0"/>
          <w:numId w:val="1001"/>
        </w:numPr>
      </w:pPr>
      <w:r>
        <w:t xml:space="preserve">Lu J, Breitwieser FP, Thielen P, Salzberg SL. Bracken: estimating species abundance in metagenomics data.</w:t>
      </w:r>
      <w:r>
        <w:t xml:space="preserve"> </w:t>
      </w:r>
      <w:r>
        <w:rPr>
          <w:i/>
          <w:iCs/>
        </w:rPr>
        <w:t xml:space="preserve">PeerJ Comput Sci</w:t>
      </w:r>
      <w:r>
        <w:t xml:space="preserve"> </w:t>
      </w:r>
      <w:r>
        <w:t xml:space="preserve">2017;3:e104. doi:10.7717/peerj-cs.104.</w:t>
      </w:r>
    </w:p>
    <w:p>
      <w:pPr>
        <w:pStyle w:val="Compact"/>
        <w:numPr>
          <w:ilvl w:val="0"/>
          <w:numId w:val="1001"/>
        </w:numPr>
      </w:pPr>
      <w:r>
        <w:t xml:space="preserve">Seemann T. ABRicate: mass screening of contigs for antimicrobial and virulence genes.</w:t>
      </w:r>
      <w:r>
        <w:t xml:space="preserve"> </w:t>
      </w:r>
      <w:hyperlink r:id="rId30">
        <w:r>
          <w:rPr>
            <w:rStyle w:val="Hyperlink"/>
          </w:rPr>
          <w:t xml:space="preserve">https://github.com/tseemann/abricate</w:t>
        </w:r>
      </w:hyperlink>
      <w:r>
        <w:t xml:space="preserve">. {{TODO: verify ref — software, no DOI}}</w:t>
      </w:r>
    </w:p>
    <w:p>
      <w:pPr>
        <w:pStyle w:val="Compact"/>
        <w:numPr>
          <w:ilvl w:val="0"/>
          <w:numId w:val="1001"/>
        </w:numPr>
      </w:pPr>
      <w:r>
        <w:t xml:space="preserve">Alcock BP, et al. CARD 2023: expanded curation, support for machine learning, and resistome prediction at the Comprehensive Antibiotic Resistance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2023;51:D690–D699. doi:10.1093/nar/gkac920.</w:t>
      </w:r>
    </w:p>
    <w:p>
      <w:pPr>
        <w:pStyle w:val="Compact"/>
        <w:numPr>
          <w:ilvl w:val="0"/>
          <w:numId w:val="1001"/>
        </w:numPr>
      </w:pPr>
      <w:r>
        <w:t xml:space="preserve">Liu B, Zheng D, Zhou S, Chen L, Yang J. VFDB 2022: a general classification scheme for bacterial virulence factors.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2022;50:D912–D917. doi:10.1093/nar/gkab1107.</w:t>
      </w:r>
    </w:p>
    <w:p>
      <w:pPr>
        <w:pStyle w:val="Compact"/>
        <w:numPr>
          <w:ilvl w:val="0"/>
          <w:numId w:val="1001"/>
        </w:numPr>
      </w:pPr>
      <w:r>
        <w:t xml:space="preserve">Carattoli A, Zankari E, García-Fernández A, et al. In silico detection and typing of plasmids using PlasmidFinder and plasmid multilocus sequence typing.</w:t>
      </w:r>
      <w:r>
        <w:t xml:space="preserve"> </w:t>
      </w:r>
      <w:r>
        <w:rPr>
          <w:i/>
          <w:iCs/>
        </w:rPr>
        <w:t xml:space="preserve">Antimicrob Agents Chemother</w:t>
      </w:r>
      <w:r>
        <w:t xml:space="preserve"> </w:t>
      </w:r>
      <w:r>
        <w:t xml:space="preserve">2014;58:3895–3903. doi:10.1128/AAC.02412-14.</w:t>
      </w:r>
    </w:p>
    <w:p>
      <w:pPr>
        <w:pStyle w:val="Compact"/>
        <w:numPr>
          <w:ilvl w:val="0"/>
          <w:numId w:val="1001"/>
        </w:numPr>
      </w:pPr>
      <w:r>
        <w:t xml:space="preserve">Martí JM. Recentrifuge: robust comparative analysis and contamination removal for metagenomics.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2019;15:e1006967. doi:10.1371/journal.pcbi.1006967.</w:t>
      </w:r>
    </w:p>
    <w:p>
      <w:pPr>
        <w:pStyle w:val="Compact"/>
        <w:numPr>
          <w:ilvl w:val="0"/>
          <w:numId w:val="1001"/>
        </w:numPr>
      </w:pPr>
      <w:r>
        <w:t xml:space="preserve">Oksanen J, et al. vegan: Community Ecology Package. R package. {{TODO: verify ref — pin version cited}}</w:t>
      </w:r>
    </w:p>
    <w:p>
      <w:pPr>
        <w:pStyle w:val="Compact"/>
        <w:numPr>
          <w:ilvl w:val="0"/>
          <w:numId w:val="1001"/>
        </w:numPr>
      </w:pPr>
      <w:r>
        <w:t xml:space="preserve">Fernandes AD, Reid JN, Macklaim JM, McMurrough TA, Edgell DR, Gloor GB. Unifying the analysis of high-throughput sequencing datasets: characterizing RNA-seq, 16S rRNA gene sequencing and selective growth experiments by compositional data analysis.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2014;2:15. doi:10.1186/2049-2618-2-15.</w:t>
      </w:r>
    </w:p>
    <w:p>
      <w:pPr>
        <w:pStyle w:val="Compact"/>
        <w:numPr>
          <w:ilvl w:val="0"/>
          <w:numId w:val="1001"/>
        </w:numPr>
      </w:pPr>
      <w:r>
        <w:t xml:space="preserve">Li Y, Gao Y, Liu X, Mao Y, Wang M, Qin Y, Zhang C, Chen Q, Ning K, Wang Z, Han M. Quantifying antibiotic resistome risks across environmental niches: the L-ARRAP for long-read metagenomic profiling.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2025;26(5):bbaf535. doi:10.1093/bib/bbaf535.</w:t>
      </w:r>
    </w:p>
    <w:p>
      <w:pPr>
        <w:pStyle w:val="Compact"/>
        <w:numPr>
          <w:ilvl w:val="0"/>
          <w:numId w:val="1001"/>
        </w:numPr>
      </w:pPr>
      <w:r>
        <w:t xml:space="preserve">Theil S, Rifa E. rANOMALY: AmplicoN wOrkflow for Microbial community AnaLYsis.</w:t>
      </w:r>
      <w:r>
        <w:t xml:space="preserve"> </w:t>
      </w:r>
      <w:r>
        <w:rPr>
          <w:i/>
          <w:iCs/>
        </w:rPr>
        <w:t xml:space="preserve">F1000Res</w:t>
      </w:r>
      <w:r>
        <w:t xml:space="preserve"> </w:t>
      </w:r>
      <w:r>
        <w:t xml:space="preserve">2021;10:7. doi:10.12688/f1000research.27268.1.</w:t>
      </w:r>
    </w:p>
    <w:p>
      <w:pPr>
        <w:pStyle w:val="Compact"/>
        <w:numPr>
          <w:ilvl w:val="0"/>
          <w:numId w:val="1001"/>
        </w:numPr>
      </w:pPr>
      <w:r>
        <w:t xml:space="preserve">Allaire JJ, et al. Quarto.</w:t>
      </w:r>
      <w:r>
        <w:t xml:space="preserve"> </w:t>
      </w:r>
      <w:hyperlink r:id="rId31">
        <w:r>
          <w:rPr>
            <w:rStyle w:val="Hyperlink"/>
          </w:rPr>
          <w:t xml:space="preserve">https://quarto.org</w:t>
        </w:r>
      </w:hyperlink>
      <w:r>
        <w:t xml:space="preserve">. {{TODO: verify ref — software, no DOI}}</w:t>
      </w:r>
    </w:p>
    <w:p>
      <w:pPr>
        <w:pStyle w:val="Compact"/>
        <w:numPr>
          <w:ilvl w:val="0"/>
          <w:numId w:val="1001"/>
        </w:numPr>
      </w:pPr>
      <w:r>
        <w:t xml:space="preserve">R Core Team. R: A Language and Environment for Statistical Computing. R Foundation for Statistical Computing, Vienna.</w:t>
      </w:r>
      <w:r>
        <w:t xml:space="preserve"> </w:t>
      </w:r>
      <w:hyperlink r:id="rId32">
        <w:r>
          <w:rPr>
            <w:rStyle w:val="Hyperlink"/>
          </w:rPr>
          <w:t xml:space="preserve">https://www.R-project.org/</w:t>
        </w:r>
      </w:hyperlink>
      <w:r>
        <w:t xml:space="preserve">. {{TODO: verify ref — pin version cited (≥4.5)}}</w:t>
      </w:r>
    </w:p>
    <w:p>
      <w:pPr>
        <w:pStyle w:val="Compact"/>
        <w:numPr>
          <w:ilvl w:val="0"/>
          <w:numId w:val="1001"/>
        </w:numPr>
      </w:pPr>
      <w:r>
        <w:t xml:space="preserve">Pedersen TL. ggraph: An Implementation of Grammar of Graphics for Graphs and Networks. R package. {{TODO: verify ref — pin version via</w:t>
      </w:r>
      <w:r>
        <w:t xml:space="preserve"> </w:t>
      </w:r>
      <w:r>
        <w:rPr>
          <w:rStyle w:val="VerbatimChar"/>
        </w:rPr>
        <w:t xml:space="preserve">citation("ggraph")</w:t>
      </w:r>
      <w:r>
        <w:t xml:space="preserve">}}</w:t>
      </w:r>
    </w:p>
    <w:p>
      <w:pPr>
        <w:pStyle w:val="Compact"/>
        <w:numPr>
          <w:ilvl w:val="0"/>
          <w:numId w:val="1001"/>
        </w:numPr>
      </w:pPr>
      <w:r>
        <w:t xml:space="preserve">Csárdi G, Nepusz T. The igraph software package for complex network research.</w:t>
      </w:r>
      <w:r>
        <w:t xml:space="preserve"> </w:t>
      </w:r>
      <w:r>
        <w:rPr>
          <w:i/>
          <w:iCs/>
        </w:rPr>
        <w:t xml:space="preserve">InterJournal</w:t>
      </w:r>
      <w:r>
        <w:t xml:space="preserve"> </w:t>
      </w:r>
      <w:r>
        <w:t xml:space="preserve">2006; Complex Systems:1695.</w:t>
      </w:r>
      <w:r>
        <w:t xml:space="preserve"> </w:t>
      </w:r>
      <w:hyperlink r:id="rId33">
        <w:r>
          <w:rPr>
            <w:rStyle w:val="Hyperlink"/>
          </w:rPr>
          <w:t xml:space="preserve">https://igraph.org</w:t>
        </w:r>
      </w:hyperlink>
      <w:r>
        <w:t xml:space="preserve">. {{TODO: verify ref — confirm citation format from</w:t>
      </w:r>
      <w:r>
        <w:t xml:space="preserve"> </w:t>
      </w:r>
      <w:r>
        <w:rPr>
          <w:rStyle w:val="VerbatimChar"/>
        </w:rPr>
        <w:t xml:space="preserve">citation("igraph")</w:t>
      </w:r>
      <w:r>
        <w:t xml:space="preserve">}}</w:t>
      </w:r>
    </w:p>
    <w:p>
      <w:pPr>
        <w:pStyle w:val="Compact"/>
        <w:numPr>
          <w:ilvl w:val="0"/>
          <w:numId w:val="1001"/>
        </w:numPr>
      </w:pPr>
      <w:r>
        <w:t xml:space="preserve">Allaire JJ, Gandrud C, Russell K, Yetman CJ. networkD3: D3 JavaScript Network Graphs from R. R package. {{TODO: verify ref — pin version via</w:t>
      </w:r>
      <w:r>
        <w:t xml:space="preserve"> </w:t>
      </w:r>
      <w:r>
        <w:rPr>
          <w:rStyle w:val="VerbatimChar"/>
        </w:rPr>
        <w:t xml:space="preserve">citation("networkD3")</w:t>
      </w:r>
      <w:r>
        <w:t xml:space="preserve">}}</w:t>
      </w:r>
    </w:p>
    <w:p>
      <w:r>
        <w:pict>
          <v:rect style="width:0;height:1.5pt" o:hralign="center" o:hrstd="t" o:hr="t"/>
        </w:pict>
      </w:r>
    </w:p>
    <w:bookmarkEnd w:id="34"/>
    <w:bookmarkStart w:id="35" w:name="drafting-notes"/>
    <w:p>
      <w:pPr>
        <w:pStyle w:val="Heading2"/>
      </w:pPr>
      <w:r>
        <w:t xml:space="preserve">Drafting notes</w:t>
      </w:r>
    </w:p>
    <w:p>
      <w:pPr>
        <w:pStyle w:val="FirstParagraph"/>
      </w:pPr>
      <w:r>
        <w:t xml:space="preserve">Placeholders inserted, and the data needed to fill each one:</w:t>
      </w:r>
    </w:p>
    <w:p>
      <w:pPr>
        <w:pStyle w:val="BodyText"/>
      </w:pPr>
      <w:r>
        <w:t xml:space="preserve">Resolved since first draft:</w:t>
      </w:r>
    </w:p>
    <w:p>
      <w:pPr>
        <w:pStyle w:val="Compact"/>
        <w:numPr>
          <w:ilvl w:val="0"/>
          <w:numId w:val="1002"/>
        </w:numPr>
      </w:pPr>
      <w:r>
        <w:t xml:space="preserve">Author block, affiliations, corresponding author and email — filled.</w:t>
      </w:r>
    </w:p>
    <w:p>
      <w:pPr>
        <w:pStyle w:val="Compact"/>
        <w:numPr>
          <w:ilvl w:val="0"/>
          <w:numId w:val="1002"/>
        </w:numPr>
      </w:pPr>
      <w:r>
        <w:t xml:space="preserve">GitHub URL — filled (</w:t>
      </w:r>
      <w:hyperlink r:id="rId21">
        <w:r>
          <w:rPr>
            <w:rStyle w:val="Hyperlink"/>
          </w:rPr>
          <w:t xml:space="preserve">https://github.com/Julio92-C/Metagenomics_pipeline_automation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Figure 1 — canonical source is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 </w:t>
      </w:r>
      <w:r>
        <w:t xml:space="preserve">(matplotlib, 300 DPI, custom colour-coded layout), added in the "polish Figure 1" pass to replace the original Mermaid render. Regenerate via</w:t>
      </w:r>
      <w:r>
        <w:t xml:space="preserve"> </w:t>
      </w:r>
      <w:r>
        <w:rPr>
          <w:rStyle w:val="VerbatimChar"/>
        </w:rPr>
        <w:t xml:space="preserve">&amp; "C:\Users\julio\AppData\Local\Programs\Python\Python313\python.exe" generate_figure1.py</w:t>
      </w:r>
      <w:r>
        <w:t xml:space="preserve"> </w:t>
      </w:r>
      <w:r>
        <w:t xml:space="preserve">(plain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resolves to Inkscape's interpreter and lacks matplotlib) — writes both</w:t>
      </w:r>
      <w:r>
        <w:t xml:space="preserve"> </w:t>
      </w:r>
      <w:r>
        <w:rPr>
          <w:rStyle w:val="VerbatimChar"/>
        </w:rPr>
        <w:t xml:space="preserve">figure1_pipeline_schematic.png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figure1_pipeline_schematic.mmd</w:t>
      </w:r>
      <w:r>
        <w:t xml:space="preserve"> </w:t>
      </w:r>
      <w:r>
        <w:t xml:space="preserve">is legacy/orphaned: do not re-render it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, that overwrites the polished figure with the plain Mermaid style. Layout refreshed on 2026-06-19: R/12 now fans out to a two-column output row (Quarto dashboard + R/13 manifest on the left, R/14 panels + Publication outputs on the right), with a dotted cross-feed from R/14 panels into R/13 manifest. Caption updated in lockstep.</w:t>
      </w:r>
    </w:p>
    <w:p>
      <w:pPr>
        <w:pStyle w:val="Compact"/>
        <w:numPr>
          <w:ilvl w:val="0"/>
          <w:numId w:val="1002"/>
        </w:numPr>
      </w:pPr>
      <w:r>
        <w:t xml:space="preserve">R/11 mobilome database — confirmed as PlasmidFinder (reference 7).</w:t>
      </w:r>
    </w:p>
    <w:p>
      <w:pPr>
        <w:pStyle w:val="Compact"/>
        <w:numPr>
          <w:ilvl w:val="0"/>
          <w:numId w:val="1002"/>
        </w:numPr>
      </w:pPr>
      <w:r>
        <w:t xml:space="preserve">Module count refreshed to fifteen (R/00–R/14); R/13 manifest stage + new R/14 publication-panels stage +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added across Abstract, §1, §2, Figure 1.</w:t>
      </w:r>
    </w:p>
    <w:p>
      <w:pPr>
        <w:pStyle w:val="Compact"/>
        <w:numPr>
          <w:ilvl w:val="0"/>
          <w:numId w:val="1002"/>
        </w:numPr>
      </w:pPr>
      <w:r>
        <w:t xml:space="preserve">§1 ¶1 rewritten with One Health framing; new ref [1] Al-Khalaifah et al. 2025 inserted; refs 2–17 renumbered accordingly.</w:t>
      </w:r>
    </w:p>
    <w:p>
      <w:pPr>
        <w:pStyle w:val="Compact"/>
        <w:numPr>
          <w:ilvl w:val="0"/>
          <w:numId w:val="1002"/>
        </w:numPr>
      </w:pPr>
      <w:r>
        <w:t xml:space="preserve">§1 ¶2 limitations made concrete (comment #33 / #34 from 2026-06-15 DOCX review): removed the vague "30–50 scripts" anchor, named the symptoms (drift across script copies; no machine-readable artefact catalogue; cross-study comparisons reconcile code as well as data), and anchored the script-count claim on the concrete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~46-script baseline.</w:t>
      </w:r>
    </w:p>
    <w:p>
      <w:pPr>
        <w:pStyle w:val="Compact"/>
        <w:numPr>
          <w:ilvl w:val="0"/>
          <w:numId w:val="1002"/>
        </w:numPr>
      </w:pPr>
      <w:r>
        <w:t xml:space="preserve">§2 "Module code is never edited" softened (comment #38) → "Module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references."</w:t>
      </w:r>
    </w:p>
    <w:p>
      <w:pPr>
        <w:pStyle w:val="Compact"/>
        <w:numPr>
          <w:ilvl w:val="0"/>
          <w:numId w:val="1002"/>
        </w:numPr>
      </w:pPr>
      <w:r>
        <w:t xml:space="preserve">§2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description reframed (comment #41) → optional capability ("when needed") rather than a core stage feature.</w:t>
      </w:r>
    </w:p>
    <w:p>
      <w:pPr>
        <w:pStyle w:val="Compact"/>
        <w:numPr>
          <w:ilvl w:val="0"/>
          <w:numId w:val="1002"/>
        </w:numPr>
      </w:pPr>
      <w:r>
        <w:t xml:space="preserve">§2 Stages paragraph rewritten (comment #42) into five conceptual blocks — ingest &amp; cleaning / gene-element normalisation / community analyses / functional profiling / integration, reporting and manifest — with module IDs in parentheses rather than as the spine.</w:t>
      </w:r>
    </w:p>
    <w:p>
      <w:pPr>
        <w:pStyle w:val="Compact"/>
        <w:numPr>
          <w:ilvl w:val="0"/>
          <w:numId w:val="1002"/>
        </w:numPr>
      </w:pPr>
      <w:r>
        <w:t xml:space="preserve">§2 dependency line corrected: TPM normalisation (R/03) and gene-element stages (R/09–R/11) now stated as requiring</w:t>
      </w:r>
      <w:r>
        <w:t xml:space="preserve"> </w:t>
      </w:r>
      <w:r>
        <w:rPr>
          <w:b/>
          <w:bCs/>
        </w:rPr>
        <w:t xml:space="preserve">ABRicate</w:t>
      </w:r>
      <w:r>
        <w:t xml:space="preserve"> </w:t>
      </w:r>
      <w:r>
        <w:t xml:space="preserve">outputs (not Bracken). R/03 operates on per-(sample, GENE) ABRicate hits with</w:t>
      </w:r>
      <w:r>
        <w:t xml:space="preserve"> </w:t>
      </w:r>
      <w:r>
        <w:rPr>
          <w:rStyle w:val="VerbatimChar"/>
        </w:rPr>
        <w:t xml:space="preserve">GENE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columns; Bracken contributes via the R/02 merge but is not the carrier for the TPM math.</w:t>
      </w:r>
    </w:p>
    <w:p>
      <w:pPr>
        <w:pStyle w:val="Compact"/>
        <w:numPr>
          <w:ilvl w:val="0"/>
          <w:numId w:val="1002"/>
        </w:numPr>
      </w:pPr>
      <w:r>
        <w:t xml:space="preserve">§2 "resistome–virulome–mobilome triad" → "profiling".</w:t>
      </w:r>
    </w:p>
    <w:p>
      <w:pPr>
        <w:pStyle w:val="Compact"/>
        <w:numPr>
          <w:ilvl w:val="0"/>
          <w:numId w:val="1002"/>
        </w:numPr>
      </w:pPr>
      <w:r>
        <w:t xml:space="preserve">§2 utilities sentence deleted; "Shared utilities and Reporting" → "Reporting".</w:t>
      </w:r>
    </w:p>
    <w:p>
      <w:pPr>
        <w:pStyle w:val="Compact"/>
        <w:numPr>
          <w:ilvl w:val="0"/>
          <w:numId w:val="1002"/>
        </w:numPr>
      </w:pPr>
      <w:r>
        <w:t xml:space="preserve">§2 new sentence on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Quarto deliverable corrected from "HTML report" to "dashboard with per-domain panels".</w:t>
      </w:r>
    </w:p>
    <w:p>
      <w:pPr>
        <w:pStyle w:val="Compact"/>
        <w:numPr>
          <w:ilvl w:val="0"/>
          <w:numId w:val="1002"/>
        </w:numPr>
      </w:pPr>
      <w:r>
        <w:t xml:space="preserve">§3 validation: auto-instrumented per-stage runtime +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 </w:t>
      </w:r>
      <w:r>
        <w:t xml:space="preserve">now cited; Re-centrifuge column-slicing caveat noted.</w:t>
      </w:r>
    </w:p>
    <w:p>
      <w:pPr>
        <w:pStyle w:val="Compact"/>
        <w:numPr>
          <w:ilvl w:val="0"/>
          <w:numId w:val="1002"/>
        </w:numPr>
      </w:pPr>
      <w:r>
        <w:t xml:space="preserve">§3 Table 1 populated from the 2026-05-31 pipeline.log on both validation cohorts (chicken_batch1 PC_JC_2024-11-29 = 3m 46s; chicken_batch2 JC_FL_2025-05-20 = 6m 32s). Two-batch scaling table chosen over ground-truth-agreement table; agreement column deferred. Memory column intentionally omitted — instrumentation pending.</w:t>
      </w:r>
    </w:p>
    <w:p>
      <w:pPr>
        <w:pStyle w:val="Compact"/>
        <w:numPr>
          <w:ilvl w:val="0"/>
          <w:numId w:val="1002"/>
        </w:numPr>
      </w:pPr>
      <w:r>
        <w:t xml:space="preserve">§3 Table 1 R/14 panels row added as</w:t>
      </w:r>
      <w:r>
        <w:t xml:space="preserve"> </w:t>
      </w:r>
      <w:r>
        <w:rPr>
          <w:rStyle w:val="VerbatimChar"/>
        </w:rPr>
        <w:t xml:space="preserve">{{TODO: re-run}}</w:t>
      </w:r>
      <w:r>
        <w:t xml:space="preserve">; pre-R/14 caveat added to caption.</w:t>
      </w:r>
    </w:p>
    <w:p>
      <w:pPr>
        <w:pStyle w:val="Compact"/>
        <w:numPr>
          <w:ilvl w:val="0"/>
          <w:numId w:val="1002"/>
        </w:numPr>
      </w:pPr>
      <w:r>
        <w:t xml:space="preserve">Funding (Vice-Chancellor scholarship, University of West London) and Conflict of Interest (none declared) filled.</w:t>
      </w:r>
    </w:p>
    <w:p>
      <w:pPr>
        <w:pStyle w:val="FirstParagraph"/>
      </w:pPr>
      <w:r>
        <w:t xml:space="preserve">Still open: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ORCIDs for all authors}}</w:t>
      </w:r>
      <w:r>
        <w:t xml:space="preserve"> </w:t>
      </w:r>
      <w:r>
        <w:t xml:space="preserve">— eight ORCIDs to collect.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Table 1 (B1 + B2)</w:t>
      </w:r>
      <w:r>
        <w:t xml:space="preserve"> </w:t>
      </w:r>
      <w:r>
        <w:t xml:space="preserve">on the post-rebuild commit so panels (R/14) runtime + the updated 15-stage totals replace the</w:t>
      </w:r>
      <w:r>
        <w:t xml:space="preserve"> </w:t>
      </w:r>
      <w:r>
        <w:rPr>
          <w:rStyle w:val="VerbatimChar"/>
        </w:rPr>
        <w:t xml:space="preserve">{{TODO: re-run}}</w:t>
      </w:r>
      <w:r>
        <w:t xml:space="preserve"> </w:t>
      </w:r>
      <w:r>
        <w:t xml:space="preserve">placeholders. Other rows should also be refreshed — drift since 2026-05-31 (palette resolver, kraken2 ancestry surface, Sankey filter, etc.) may have shifted earlier stages.</w:t>
      </w:r>
    </w:p>
    <w:p>
      <w:pPr>
        <w:pStyle w:val="Compact"/>
        <w:numPr>
          <w:ilvl w:val="0"/>
          <w:numId w:val="1003"/>
        </w:numPr>
      </w:pPr>
      <w:r>
        <w:t xml:space="preserve">Ground-truth agreement column for chicken_batch1 — Table 1 currently reports per-batch runtime + primary output but does not yet quantify per-stage agreement (row overlap, abundance correlation, figure-by-figure identity) against the ~46 hand-edited scripts. Needs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(and per-stage equivalents) run against the hand-edited baseline before submission.</w:t>
      </w:r>
    </w:p>
    <w:p>
      <w:pPr>
        <w:pStyle w:val="Compact"/>
        <w:numPr>
          <w:ilvl w:val="0"/>
          <w:numId w:val="1003"/>
        </w:numPr>
      </w:pPr>
      <w:r>
        <w:t xml:space="preserve">Peak memory column —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does not currently auto-instrument memory; needs a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-based pass on both cohorts before submission.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confirm exact count}}</w:t>
      </w:r>
      <w:r>
        <w:t xml:space="preserve"> </w:t>
      </w:r>
      <w:r>
        <w:t xml:space="preserve">(resistome row delta) — memory says "~+110 (sample, GENE) rows". Confirm the precise number from the validation run before publication.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acknowledgements}}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{{TODO: verify ref}}</w:t>
      </w:r>
      <w:r>
        <w:t xml:space="preserve"> </w:t>
      </w:r>
      <w:r>
        <w:t xml:space="preserve">— remaining open items after PubMed verification on 2026-05-29:</w:t>
      </w:r>
    </w:p>
    <w:p>
      <w:pPr>
        <w:pStyle w:val="Compact"/>
        <w:numPr>
          <w:ilvl w:val="1"/>
          <w:numId w:val="1004"/>
        </w:numPr>
      </w:pPr>
      <w:r>
        <w:t xml:space="preserve">Ref 4 (ABRicate): no PubMed entry — software-only. Current GitHub URL citation is correct; consider adding</w:t>
      </w:r>
      <w:r>
        <w:t xml:space="preserve"> </w:t>
      </w:r>
      <w:r>
        <w:rPr>
          <w:rStyle w:val="VerbatimChar"/>
        </w:rPr>
        <w:t xml:space="preserve">(accessed YYYY-MM-DD)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Ref 6 (VFDB):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cites Liu et al. 2022 (NAR 50:D912–D917, doi:10.1093/nar/gkab1107), the latest VFDB update (PMID 34850947). If the 2005 foundational citation is also desired, add it as 6b.</w:t>
      </w:r>
    </w:p>
    <w:p>
      <w:pPr>
        <w:pStyle w:val="Compact"/>
        <w:numPr>
          <w:ilvl w:val="1"/>
          <w:numId w:val="1004"/>
        </w:numPr>
      </w:pPr>
      <w:r>
        <w:t xml:space="preserve">Ref 9 (vegan): no PubMed entry — R package. Use the canonical</w:t>
      </w:r>
      <w:r>
        <w:t xml:space="preserve"> </w:t>
      </w:r>
      <w:r>
        <w:rPr>
          <w:rStyle w:val="VerbatimChar"/>
        </w:rPr>
        <w:t xml:space="preserve">citation("vegan")</w:t>
      </w:r>
      <w:r>
        <w:t xml:space="preserve"> </w:t>
      </w:r>
      <w:r>
        <w:t xml:space="preserve">output and pin the version actually used (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records this).</w:t>
      </w:r>
    </w:p>
    <w:p>
      <w:pPr>
        <w:pStyle w:val="Compact"/>
        <w:numPr>
          <w:ilvl w:val="1"/>
          <w:numId w:val="1004"/>
        </w:numPr>
      </w:pPr>
      <w:r>
        <w:t xml:space="preserve">Ref 10 (ALDEx2):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Fernandes et al. 2014,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2:15 (doi:10.1186/2049-2618-2-15, PMID 24910773) confirmed as the canonical ALDEx2 citation by PubMed.</w:t>
      </w:r>
    </w:p>
    <w:p>
      <w:pPr>
        <w:pStyle w:val="Compact"/>
        <w:numPr>
          <w:ilvl w:val="1"/>
          <w:numId w:val="1004"/>
        </w:numPr>
      </w:pPr>
      <w:r>
        <w:t xml:space="preserve">Ref 11 (L-ARRAP):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— author list and full title corrected from PubMed (PMID 41066697).</w:t>
      </w:r>
    </w:p>
    <w:p>
      <w:pPr>
        <w:pStyle w:val="Compact"/>
        <w:numPr>
          <w:ilvl w:val="1"/>
          <w:numId w:val="1004"/>
        </w:numPr>
      </w:pPr>
      <w:r>
        <w:t xml:space="preserve">Ref 13 (Quarto): software-only — use</w:t>
      </w:r>
      <w:r>
        <w:t xml:space="preserve"> </w:t>
      </w:r>
      <w:r>
        <w:rPr>
          <w:rStyle w:val="VerbatimChar"/>
        </w:rPr>
        <w:t xml:space="preserve">citation("quarto")</w:t>
      </w:r>
      <w:r>
        <w:t xml:space="preserve"> </w:t>
      </w:r>
      <w:r>
        <w:t xml:space="preserve">from R, or cite the website with access date.</w:t>
      </w:r>
    </w:p>
    <w:p>
      <w:pPr>
        <w:pStyle w:val="Compact"/>
        <w:numPr>
          <w:ilvl w:val="1"/>
          <w:numId w:val="1004"/>
        </w:numPr>
      </w:pPr>
      <w:r>
        <w:t xml:space="preserve">Ref 14 (R Core Team): use the output of</w:t>
      </w:r>
      <w:r>
        <w:t xml:space="preserve"> </w:t>
      </w:r>
      <w:r>
        <w:rPr>
          <w:rStyle w:val="VerbatimChar"/>
        </w:rPr>
        <w:t xml:space="preserve">citation()</w:t>
      </w:r>
      <w:r>
        <w:t xml:space="preserve"> </w:t>
      </w:r>
      <w:r>
        <w:t xml:space="preserve">in R; pin to the version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Refs 15–17 (ggraph / igraph / networkD3): added so the network/Sankey/topology vocabulary in §2 has citations. Pin versions via</w:t>
      </w:r>
      <w:r>
        <w:t xml:space="preserve"> </w:t>
      </w:r>
      <w:r>
        <w:rPr>
          <w:rStyle w:val="VerbatimChar"/>
        </w:rPr>
        <w:t xml:space="preserve">citation("ggraph")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citation("igraph")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citation("networkD3")</w:t>
      </w:r>
      <w:r>
        <w:t xml:space="preserve"> </w:t>
      </w:r>
      <w:r>
        <w:t xml:space="preserve">and confirm formatting before submission.</w:t>
      </w:r>
    </w:p>
    <w:p>
      <w:pPr>
        <w:pStyle w:val="FirstParagraph"/>
      </w:pPr>
      <w:r>
        <w:t xml:space="preserve">Factual claims I was not fully certain about:</w:t>
      </w:r>
    </w:p>
    <w:p>
      <w:pPr>
        <w:pStyle w:val="Compact"/>
        <w:numPr>
          <w:ilvl w:val="0"/>
          <w:numId w:val="1005"/>
        </w:numPr>
      </w:pPr>
      <w:r>
        <w:t xml:space="preserve">The exact upstream tool list cited above (Kraken2 + Bracken + ABRicate + Re-centrifuge + ALDEx2 + vegan + Quarto + R) matches the brief verbatim; CARD, VFDB and PlasmidFinder are pulled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and cited because they are the databases the ABRicate stage targets.</w:t>
      </w:r>
    </w:p>
    <w:p>
      <w:pPr>
        <w:pStyle w:val="Compact"/>
        <w:numPr>
          <w:ilvl w:val="0"/>
          <w:numId w:val="1005"/>
        </w:numPr>
      </w:pPr>
      <w:r>
        <w:t xml:space="preserve">The pipeline description states "fifteen ordered modules (R/00 through R/14)" — verified against</w:t>
      </w:r>
      <w:r>
        <w:t xml:space="preserve"> </w:t>
      </w:r>
      <w:r>
        <w:rPr>
          <w:rStyle w:val="VerbatimChar"/>
        </w:rPr>
        <w:t xml:space="preserve">R/</w:t>
      </w:r>
      <w:r>
        <w:t xml:space="preserve"> </w:t>
      </w:r>
      <w:r>
        <w:t xml:space="preserve">listing (00–14 inclusive plus six</w:t>
      </w:r>
      <w:r>
        <w:t xml:space="preserve"> </w:t>
      </w:r>
      <w:r>
        <w:rPr>
          <w:rStyle w:val="VerbatimChar"/>
        </w:rPr>
        <w:t xml:space="preserve">utils_*</w:t>
      </w:r>
      <w:r>
        <w:t xml:space="preserve"> </w:t>
      </w:r>
      <w:r>
        <w:t xml:space="preserve">helpers).</w:t>
      </w:r>
    </w:p>
    <w:p>
      <w:pPr>
        <w:pStyle w:val="Compact"/>
        <w:numPr>
          <w:ilvl w:val="0"/>
          <w:numId w:val="1005"/>
        </w:numPr>
      </w:pPr>
      <w:r>
        <w:t xml:space="preserve">R/11 mobilome stage uses</w:t>
      </w:r>
      <w:r>
        <w:t xml:space="preserve"> </w:t>
      </w:r>
      <w:r>
        <w:rPr>
          <w:b/>
          <w:bCs/>
        </w:rPr>
        <w:t xml:space="preserve">PlasmidFinder</w:t>
      </w:r>
      <w:r>
        <w:t xml:space="preserve"> </w:t>
      </w:r>
      <w:r>
        <w:t xml:space="preserve">(confirmed by author). Cited as reference 7 (Carattoli et al. 2014, AAC).</w:t>
      </w:r>
    </w:p>
    <w:p>
      <w:pPr>
        <w:pStyle w:val="Compact"/>
        <w:numPr>
          <w:ilvl w:val="0"/>
          <w:numId w:val="1005"/>
        </w:numPr>
      </w:pPr>
      <w:r>
        <w:t xml:space="preserve">Runtime / memory characteristics for R/14 panels and the post-2026-05-31 drift are not yet measured; runtimes are routed through the benchmark-table placeholder ({{TODO: re-run}}).</w:t>
      </w:r>
    </w:p>
    <w:p>
      <w:pPr>
        <w:pStyle w:val="Compact"/>
        <w:numPr>
          <w:ilvl w:val="0"/>
          <w:numId w:val="1005"/>
        </w:numPr>
      </w:pPr>
      <w:r>
        <w:t xml:space="preserve">The TPM-normalisation choice is taken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Stage 03 and confirmed against</w:t>
      </w:r>
      <w:r>
        <w:t xml:space="preserve"> </w:t>
      </w:r>
      <w:r>
        <w:rPr>
          <w:rStyle w:val="VerbatimChar"/>
        </w:rPr>
        <w:t xml:space="preserve">R/03_normalisation.R</w:t>
      </w:r>
      <w:r>
        <w:t xml:space="preserve">: TPM is computed per (sample, GENE) over ABRicate hits, so the dependency is ABRicate (not Bracken as the first draft asserted).</w:t>
      </w:r>
    </w:p>
    <w:p>
      <w:pPr>
        <w:pStyle w:val="Compact"/>
        <w:numPr>
          <w:ilvl w:val="0"/>
          <w:numId w:val="1005"/>
        </w:numPr>
      </w:pPr>
      <w:r>
        <w:t xml:space="preserve">The phrase "approximately 46 hand-edited R scripts" follows the memory snapshot ("~46"); confirm the exact figure before submission.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s://github.com/Julio92-C/Metagenomics_pipeline_automation" TargetMode="External" /><Relationship Type="http://schemas.openxmlformats.org/officeDocument/2006/relationships/hyperlink" Id="rId30" Target="https://github.com/tseemann/abricate" TargetMode="External" /><Relationship Type="http://schemas.openxmlformats.org/officeDocument/2006/relationships/hyperlink" Id="rId33" Target="https://igraph.org" TargetMode="External" /><Relationship Type="http://schemas.openxmlformats.org/officeDocument/2006/relationships/hyperlink" Id="rId31" Target="https://quarto.org" TargetMode="External" /><Relationship Type="http://schemas.openxmlformats.org/officeDocument/2006/relationships/hyperlink" Id="rId32" Target="https://www.R-project.org/" TargetMode="External" /><Relationship Type="http://schemas.openxmlformats.org/officeDocument/2006/relationships/hyperlink" Id="rId20" Target="mailto:Hermine.Mkrtchyan@uwl.ac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Julio92-C/Metagenomics_pipeline_automation" TargetMode="External" /><Relationship Type="http://schemas.openxmlformats.org/officeDocument/2006/relationships/hyperlink" Id="rId30" Target="https://github.com/tseemann/abricate" TargetMode="External" /><Relationship Type="http://schemas.openxmlformats.org/officeDocument/2006/relationships/hyperlink" Id="rId33" Target="https://igraph.org" TargetMode="External" /><Relationship Type="http://schemas.openxmlformats.org/officeDocument/2006/relationships/hyperlink" Id="rId31" Target="https://quarto.org" TargetMode="External" /><Relationship Type="http://schemas.openxmlformats.org/officeDocument/2006/relationships/hyperlink" Id="rId32" Target="https://www.R-project.org/" TargetMode="External" /><Relationship Type="http://schemas.openxmlformats.org/officeDocument/2006/relationships/hyperlink" Id="rId20" Target="mailto:Hermine.Mkrtchyan@uwl.ac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2026-06-19T21:23:44Z</dcterms:created>
  <dcterms:modified xsi:type="dcterms:W3CDTF">2026-06-19T21:23:44Z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