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4d9e160d30b1cd211371155645e81ef50bd748"/>
    <w:p>
      <w:pPr>
        <w:pStyle w:val="Heading1"/>
      </w:pPr>
      <w:r>
        <w:t xml:space="preserve">MERIDIAN: a config-driven R workflow for long-read shotgun metagenomics analysis</w:t>
      </w:r>
    </w:p>
    <w:p>
      <w:pPr>
        <w:pStyle w:val="FirstParagraph"/>
      </w:pPr>
      <w:r>
        <w:rPr>
          <w:b/>
          <w:bCs/>
        </w:rPr>
        <w:t xml:space="preserve">Authors / Affiliations</w:t>
      </w:r>
    </w:p>
    <w:p>
      <w:pPr>
        <w:pStyle w:val="BodyText"/>
      </w:pPr>
      <w:r>
        <w:t xml:space="preserve">Julio C. Ortega Cambara</w:t>
      </w:r>
      <w:r>
        <w:t xml:space="preserve">1*</w:t>
      </w:r>
      <w:r>
        <w:t xml:space="preserve">, Hermine Mkrtchyan</w:t>
      </w:r>
      <w:r>
        <w:t xml:space="preserve">1</w:t>
      </w:r>
      <w:r>
        <w:t xml:space="preserve">, Raju Misra</w:t>
      </w:r>
      <w:r>
        <w:t xml:space="preserve">2</w:t>
      </w:r>
      <w:r>
        <w:t xml:space="preserve">, Timothy D. McHugh</w:t>
      </w:r>
      <w:r>
        <w:t xml:space="preserve">3</w:t>
      </w:r>
      <w:r>
        <w:t xml:space="preserve">, Sylvia Rofael</w:t>
      </w:r>
      <w:r>
        <w:t xml:space="preserve">3</w:t>
      </w:r>
      <w:r>
        <w:t xml:space="preserve">, David Lowe</w:t>
      </w:r>
      <w:r>
        <w:t xml:space="preserve">3</w:t>
      </w:r>
      <w:r>
        <w:t xml:space="preserve">, Piotr Cuber</w:t>
      </w:r>
      <w:r>
        <w:t xml:space="preserve">4</w:t>
      </w:r>
      <w:r>
        <w:t xml:space="preserve">, Pedro Humberto Lebre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School of Biomedical Science, University of West London, London, United Kingdom</w:t>
      </w:r>
      <w:r>
        <w:t xml:space="preserve"> </w:t>
      </w:r>
      <w:r>
        <w:t xml:space="preserve">2</w:t>
      </w:r>
      <w:r>
        <w:t xml:space="preserve">UK Health Security Agency, London, United Kingdom</w:t>
      </w:r>
      <w:r>
        <w:t xml:space="preserve"> </w:t>
      </w:r>
      <w:r>
        <w:t xml:space="preserve">3</w:t>
      </w:r>
      <w:r>
        <w:t xml:space="preserve">Centre for Clinical Microbiology, University College London, London, United Kingdom</w:t>
      </w:r>
      <w:r>
        <w:t xml:space="preserve"> </w:t>
      </w:r>
      <w:r>
        <w:t xml:space="preserve">4</w:t>
      </w:r>
      <w:r>
        <w:t xml:space="preserve">Natural History Museum, London, United Kingdom</w:t>
      </w:r>
    </w:p>
    <w:p>
      <w:pPr>
        <w:pStyle w:val="BodyText"/>
      </w:pPr>
      <w:r>
        <w:t xml:space="preserve">*</w:t>
      </w:r>
      <w:r>
        <w:t xml:space="preserve">Correspondence: Hermine Mkrtchyan — Hermine.Mkrtchyan@uwl.ac.uk</w:t>
      </w:r>
    </w:p>
    <w:p>
      <w:pPr>
        <w:pStyle w:val="BodyText"/>
      </w:pPr>
      <w:r>
        <w:t xml:space="preserve">{{TODO: ORCIDs for all authors}}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Motivation.</w:t>
      </w:r>
      <w:r>
        <w:t xml:space="preserve"> </w:t>
      </w:r>
      <w:r>
        <w:t xml:space="preserve">Long-read shotgun metagenomics studies are typically analysed by hand-editing dozens of R scripts per project — pasting sample identifiers, patching taxonomy strings and copying chunks between studies. Existing R workflows largely target short-read amplicon data or a single analysis (e.g. resistome risk scoring), leaving long-read shotgun studies without an integrated, configuration-driven option.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present</w:t>
      </w:r>
      <w:r>
        <w:t xml:space="preserve"> </w:t>
      </w:r>
      <w:r>
        <w:rPr>
          <w:b/>
          <w:bCs/>
        </w:rPr>
        <w:t xml:space="preserve">MERIDIAN</w:t>
      </w:r>
      <w:r>
        <w:t xml:space="preserve"> </w:t>
      </w:r>
      <w:r>
        <w:t xml:space="preserve">(</w:t>
      </w:r>
      <w:r>
        <w:rPr>
          <w:i/>
          <w:iCs/>
        </w:rPr>
        <w:t xml:space="preserve">Metagenomic Evaluation of Resistance, Identity &amp; Diversity through Integrated Analysis of Nanopore sequencing</w:t>
      </w:r>
      <w:r>
        <w:t xml:space="preserve">), an alpha-stage modular R workflow that consumes Kraken2, Bracken, ABRicate and Re-centrifuge outputs and produces a single Quarto HTML dashboard together with a set of publication-ready composite figures (PNG and TIFF) and a supplementary tables workbook. The workflow covers decontamination, TPM normalisation, taxonomy, alpha/beta diversity with PERMANOVA, two-level ALDEx2 differential abundance, and resistome/virulome/mobilome profiling joined by a tripartite sample × taxon × gene network with companion chord and Sankey diagrams. A study is parameterised by one YAML file; module code is not edited per-project, and every run emits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 artefact catalogue tagging every figure and table by kind for downstream tooling.</w:t>
      </w:r>
    </w:p>
    <w:p>
      <w:pPr>
        <w:pStyle w:val="BodyText"/>
      </w:pPr>
      <w:r>
        <w:rPr>
          <w:b/>
          <w:bCs/>
        </w:rPr>
        <w:t xml:space="preserve">Availability and Implementation.</w:t>
      </w:r>
      <w:r>
        <w:t xml:space="preserve"> </w:t>
      </w:r>
      <w:r>
        <w:t xml:space="preserve">Source at https://github.com/Julio92-C/Metagenomics_pipeline_automation (MIT). Run with</w:t>
      </w:r>
      <w:r>
        <w:t xml:space="preserve"> </w:t>
      </w:r>
      <w:r>
        <w:rPr>
          <w:rStyle w:val="VerbatimChar"/>
        </w:rPr>
        <w:t xml:space="preserve">git clone &lt;repo&gt; &amp;&amp; Rscript run_pipeline.R config.yaml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r>
        <w:t xml:space="preserve">Hermine.Mkrtchyan@uwl.ac.uk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By simultaneously profiling microbial communities and their functional genetic elements across environmental, clinical, and veterinary or livestock matrices, long-read shotgun metagenomics (Oxford Nanopore, PacBio) serves as a powerful One Health tool for tracking health threats that intersect humans, animals, and ecosystems [1]. The downstream analysis stack is well established — Kraken2 [2] and Bracken [3] for taxonomic assignment and abundance estimation, ABRicate [4] against CARD [5], VFDB [6] and PlasmidFinder [7] for antimicrobial resistance genes (ARGs), virulence factors, and mobile genetic elements (MGEs) gene screening, Re-centrifuge [8] for contamination filtering, and R packages such as vegan [9] and ALDEx2 [10] for ecological and differential analyses — but the integration between them is not.</w:t>
      </w:r>
    </w:p>
    <w:p>
      <w:pPr>
        <w:pStyle w:val="BodyText"/>
      </w:pPr>
      <w:r>
        <w:t xml:space="preserve">In practice, each new study is analysed by adapting a set of bespoke R scripts: hard-coded input paths, sample-identifier filters embedded as literal strings, per-study negative-control renames, and taxonomy fixes patched by row index. The resulting per-study script copies drift apart, no shared interface emits a machine-readable record of which outputs each run produced, and cross-study comparisons require reconciling code as well as data. The reference cohort for the present work (</w:t>
      </w:r>
      <w:r>
        <w:rPr>
          <w:rStyle w:val="VerbatimChar"/>
        </w:rPr>
        <w:t xml:space="preserve">chicken_batch1</w:t>
      </w:r>
      <w:r>
        <w:t xml:space="preserve">; ~46 hand-edited scripts) typifies this pattern. The L-ARRAP pipeline [11] addresses one slice of this problem for long-read resistome risk assessment, and the rANOMALY workflow [12] demonstrates the value of a config-driven R workflow with auto-generated reports for amplicon data. To our knowledge, no comparable workflow exists for end-to-end long-read shotgun metagenomics covering taxonomy, diversity, differential abundance, and the full resistome–virulome–mobilome profiling in one configurable run.</w:t>
      </w:r>
    </w:p>
    <w:p>
      <w:pPr>
        <w:pStyle w:val="BodyText"/>
      </w:pPr>
      <w:r>
        <w:t xml:space="preserve">We present an early-stage R workflow that fills this gap. The tool is in active development; this note describes its design, current scope, and the real-data validation strategy we are using to harden each stage.</w:t>
      </w:r>
    </w:p>
    <w:bookmarkEnd w:id="10"/>
    <w:bookmarkStart w:id="14" w:name="implementation"/>
    <w:p>
      <w:pPr>
        <w:pStyle w:val="Heading2"/>
      </w:pPr>
      <w:r>
        <w:t xml:space="preserve">2 Implementation</w:t>
      </w:r>
    </w:p>
    <w:p>
      <w:pPr>
        <w:pStyle w:val="FirstParagraph"/>
      </w:pPr>
      <w:r>
        <w:t xml:space="preserve">The workflow is a stand-alone R project, not an installable package. A single entry point (</w:t>
      </w:r>
      <w:r>
        <w:rPr>
          <w:rStyle w:val="VerbatimChar"/>
        </w:rPr>
        <w:t xml:space="preserve">run_pipeline.R</w:t>
      </w:r>
      <w:r>
        <w:t xml:space="preserve">) consumes one YAML configuration file per study and dispatches to fifteen ordered modules (</w:t>
      </w:r>
      <w:r>
        <w:rPr>
          <w:rStyle w:val="VerbatimChar"/>
        </w:rPr>
        <w:t xml:space="preserve">R/00_setup.R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R/14_panels.R</w:t>
      </w:r>
      <w:r>
        <w:t xml:space="preserve">); a Quarto dashboard template (</w:t>
      </w:r>
      <w:r>
        <w:rPr>
          <w:rStyle w:val="VerbatimChar"/>
        </w:rPr>
        <w:t xml:space="preserve">templates/report.qmd</w:t>
      </w:r>
      <w:r>
        <w:t xml:space="preserve">) renders all outputs into a single multi-page HTML deliverable, a publication-panels stage assembles main and supplementary composite figures plus a supplementary tables workbook, and a final manifest stage emits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describing every artefact produced (Figure 1).</w:t>
      </w:r>
    </w:p>
    <w:p>
      <w:pPr>
        <w:pStyle w:val="CaptionedFigure"/>
      </w:pPr>
      <w:r>
        <w:drawing>
          <wp:inline>
            <wp:extent cx="5302908" cy="5620960"/>
            <wp:effectExtent b="0" l="0" r="0" t="0"/>
            <wp:docPr descr="Figure 1. MERIDIAN workflow. A single config.yaml parameterises a study and drives fifteen ordered R modules (R/00–R/14) consuming upstream outputs (Kraken2/Bracken, ABRicate, Re-centrifuge) plus sample metadata. After setup, input loading and decontamination (R/00–R/02), community analyses (R/04–R/08) and functional profiling against CARD, VFDB and PlasmidFinder (TPM normalisation in R/03 and per-domain analyses in R/09–R/11; alpha/beta diversity and ALDEx2 DAA shared between the two columns) feed a tripartite sample × taxon × gene network with companion chord and Sankey diagrams (R/12). R/12 then fans out to two output columns: a Quarto dashboard (templates/report.qmd, HTML with per-domain panels) and a publication-panels stage (R/14, composite figures plus supplementary_tables.xlsx), whose PNG/TIFF panels and tables workbook are the publication-ready outputs. R/13 finally writes manifest.json (contract v1.2; kind-tagged figure and table catalogue), cataloguing the dashboard, the R/14 panels and every intermediate artefact. Source: generate_figure1.py." title="" id="12" name="Picture"/>
            <a:graphic>
              <a:graphicData uri="http://schemas.openxmlformats.org/drawingml/2006/picture">
                <pic:pic>
                  <pic:nvPicPr>
                    <pic:cNvPr descr="figure1_pipeline_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908" cy="562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MERIDIAN workflow.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parameterises a study and drives fifteen ordered R modules (R/00–R/14) consuming upstream outputs (Kraken2/Bracken, ABRicate, Re-centrifuge) plus sample metadata. After setup, input loading and decontamination (R/00–R/02), community analyses (R/04–R/08) and functional profiling against CARD, VFDB and PlasmidFinder (TPM normalisation in R/03 and per-domain analyses in R/09–R/11; alpha/beta diversity and ALDEx2 DAA shared between the two columns) feed a tripartite sample × taxon × gene network with companion chord and Sankey diagrams (R/12). R/12 then fans out to two output columns: a Quarto dashboard (</w:t>
      </w:r>
      <w:r>
        <w:rPr>
          <w:rStyle w:val="VerbatimChar"/>
        </w:rPr>
        <w:t xml:space="preserve">templates/report.qmd</w:t>
      </w:r>
      <w:r>
        <w:t xml:space="preserve">, HTML with per-domain panels) and a publication-panels stage (R/14, composite figures plus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), whose PNG/TIFF panels and tables workbook are the publication-ready outputs. R/13 finally writes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v1.2; kind-tagged figure and table catalogue), cataloguing the dashboard, the R/14 panels and every intermediate artefact. Source:</w:t>
      </w:r>
      <w:r>
        <w:t xml:space="preserve"> </w:t>
      </w:r>
      <w:r>
        <w:rPr>
          <w:rStyle w:val="VerbatimChar"/>
        </w:rPr>
        <w:t xml:space="preserve">generate_figure1.py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Configuration-driven.</w:t>
      </w:r>
      <w:r>
        <w:t xml:space="preserve"> </w:t>
      </w:r>
      <w:r>
        <w:t xml:space="preserve">Everything that varies between studies — metadata file path, grouping columns, negative-control identifiers, abundance thresholds, sample selection — is declared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 Module code is not edited per-project; dataset-specific adjustments live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or in the structured fix tables it references. R/00 (setup) and R/01 (input loading) always run; every subsequent stage can be toggled via</w:t>
      </w:r>
      <w:r>
        <w:t xml:space="preserve"> </w:t>
      </w:r>
      <w:r>
        <w:rPr>
          <w:rStyle w:val="VerbatimChar"/>
        </w:rPr>
        <w:t xml:space="preserve">cfg$stages$*</w:t>
      </w:r>
      <w:r>
        <w:t xml:space="preserve"> </w:t>
      </w:r>
      <w:r>
        <w:t xml:space="preserve">flags so a user can, for example, re-run only the resistome modules after revising thresholds. TPM normalisation (R/03) and all gene-element stages (R/09–R/11) require ABRicate outputs and are skipped otherwise. Per-study NCBI taxonomy fixes, when needed, are declared in a structured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rather than as row-index edits. A single</w:t>
      </w:r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r>
        <w:t xml:space="preserve">knob (Benjamini-Hochberg by default; full list in</w:t>
      </w:r>
      <w:r>
        <w:t xml:space="preserve"> </w:t>
      </w:r>
      <w:r>
        <w:rPr>
          <w:rStyle w:val="VerbatimChar"/>
        </w:rPr>
        <w:t xml:space="preserve">docs/STATISTICS.md</w:t>
      </w:r>
      <w:r>
        <w:t xml:space="preserve">) routes every multiple-testing correction across the pipeline.</w:t>
      </w:r>
    </w:p>
    <w:p>
      <w:pPr>
        <w:pStyle w:val="BodyText"/>
      </w:pPr>
      <w:r>
        <w:rPr>
          <w:b/>
          <w:bCs/>
        </w:rPr>
        <w:t xml:space="preserve">Stages.</w:t>
      </w:r>
      <w:r>
        <w:t xml:space="preserve"> </w:t>
      </w:r>
      <w:r>
        <w:t xml:space="preserve">The pipeline organises its work into five conceptual blocks.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Ingest and cleaning</w:t>
      </w:r>
      <w:r>
        <w:t xml:space="preserve"> </w:t>
      </w:r>
      <w:r>
        <w:t xml:space="preserve">(R/00–R/02) load upstream tables — Kraken2/Bracken, ABRicate, Re-centrifuge contamination tags, study metadata — accommodating per-project input shapes rather than assuming a fixed column layout, apply optional negative-control subtraction, merge Bracken counts with the metadata covariates declared in</w:t>
      </w:r>
      <w:r>
        <w:t xml:space="preserve"> </w:t>
      </w:r>
      <w:r>
        <w:rPr>
          <w:rStyle w:val="VerbatimChar"/>
        </w:rPr>
        <w:t xml:space="preserve">cfg$metadata$fixed_effects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random_effect</w:t>
      </w:r>
      <w:r>
        <w:t xml:space="preserve">, and link ABRicate calls to taxonomic assignments. Per-study taxonomy patches are applied from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when supplied.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Gene-element normalisation</w:t>
      </w:r>
      <w:r>
        <w:t xml:space="preserve"> </w:t>
      </w:r>
      <w:r>
        <w:t xml:space="preserve">(R/03) computes per-(sample, GENE) TPM from ABRicate hits and gene lengths.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Community analyses</w:t>
      </w:r>
      <w:r>
        <w:t xml:space="preserve"> </w:t>
      </w:r>
      <w:r>
        <w:t xml:space="preserve">(R/04–R/08) cover the standard taxonomic toolkit: Venn diagrams and annotated heatmaps after a shared taxa-name cleanup; top-N stacked-bar relative-abundance plots (static PNG and interactive plotly HTML) with paired total-count and sample-prevalence panels; alpha diversity reporting Shannon, Simpson, richness, Pielou and Fisher metrics with Kruskal-Wallis tests and violin/bar plots, preferring a pre-computed indices CSV (e.g. Oxford Nanopore wf-metagenomics output) and falling back to vegan; PCoA on Hellinger-transformed Bray-Curtis distances with PERMANOVA (</w:t>
      </w:r>
      <w:r>
        <w:rPr>
          <w:rStyle w:val="VerbatimChar"/>
        </w:rPr>
        <w:t xml:space="preserve">adonis2</w:t>
      </w:r>
      <w:r>
        <w:t xml:space="preserve">, 9999 permutations) and PERMDISP (</w:t>
      </w:r>
      <w:r>
        <w:rPr>
          <w:rStyle w:val="VerbatimChar"/>
        </w:rPr>
        <w:t xml:space="preserve">betadisper</w:t>
      </w:r>
      <w:r>
        <w:t xml:space="preserve">) overlaid on the ordination; and ALDEx2 differential abundance at two levels — taxa (Bracken counts) and genes (ABRicate contig hits per (sample, GENE)) — combining an omnibus Kruskal-Wallis with pairwise Welch’s t tests, with an optional</w:t>
      </w:r>
      <w:r>
        <w:t xml:space="preserve"> </w:t>
      </w:r>
      <w:r>
        <w:rPr>
          <w:rStyle w:val="VerbatimChar"/>
        </w:rPr>
        <w:t xml:space="preserve">aldex.glm</w:t>
      </w:r>
      <w:r>
        <w:t xml:space="preserve"> </w:t>
      </w:r>
      <w:r>
        <w:t xml:space="preserve">design path for covariate-adjusted models.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Functional profiling</w:t>
      </w:r>
      <w:r>
        <w:t xml:space="preserve"> </w:t>
      </w:r>
      <w:r>
        <w:t xml:space="preserve">(R/09–R/11) runs a shared analysis engine three times against domain-specific databases: the resistome (ABRicate/CARD, with drug-class classification and a macrolide-lincosamide-streptogramin rollup), the virulome (VFDB, with functional categories extracted from the ABRicate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field) and the mobilome (PlasmidFinder, with configurable replicon-family classification — Col-like, IncF, IncX, other Inc). Each domain emits its own alpha diversity, Venn diagram, gene- and category-level heatmaps, relative-abundance and total-count panels, and a PCoA + PERMANOVA + PERMDISP suite.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Integration, reporting and manifest</w:t>
      </w:r>
      <w:r>
        <w:t xml:space="preserve"> </w:t>
      </w:r>
      <w:r>
        <w:t xml:space="preserve">(R/12–R/14). R/12 assembles a tripartite ggraph network of sample × taxon × gene plus chord diagrams (overall and per group) and four-tier networkD3 Sankey diagrams, exports Gephi-compatible node/edge tables, and reports igraph topology metrics (degree, betweenness, Louvain modularity) and Bray-Curtis sample clusters. R/14 assembles publication-ready main and supplementary composite figures (PNG and TIFF outputs are independently toggleable) driven by a Frontiers slot YAML, alongside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. R/13 finally writes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v1.2), a kind-tagged catalogue of every figure, table and intermediate artefact the run produced, providing a stable JSON contract that decouples the pipeline from downstream report consumers and manuscript-drafting tools.</w:t>
      </w:r>
    </w:p>
    <w:p>
      <w:pPr>
        <w:pStyle w:val="FirstParagraph"/>
      </w:pPr>
      <w:r>
        <w:rPr>
          <w:b/>
          <w:bCs/>
        </w:rPr>
        <w:t xml:space="preserve">Reporting.</w:t>
      </w:r>
      <w:r>
        <w:t xml:space="preserve"> </w:t>
      </w:r>
      <w:r>
        <w:t xml:space="preserve">The Quarto template renders all outputs as a multi-page HTML dashboard with per-domain panels (taxonomy, diversity, differential abundance, resistome, virulome, mobilome, network) and embedded download links. Dependencies are pinned via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and the project requires R ≥ 4.5; external command-line tools (Kraken2, Bracken, ABRicate, Re-centrifuge) are assumed to have been run upstream.</w:t>
      </w:r>
    </w:p>
    <w:bookmarkEnd w:id="14"/>
    <w:bookmarkStart w:id="15" w:name="application-and-validation"/>
    <w:p>
      <w:pPr>
        <w:pStyle w:val="Heading2"/>
      </w:pPr>
      <w:r>
        <w:t xml:space="preserve">3 Application and Validation</w:t>
      </w:r>
    </w:p>
    <w:p>
      <w:pPr>
        <w:pStyle w:val="FirstParagraph"/>
      </w:pPr>
      <w:r>
        <w:t xml:space="preserve">We are validating the pipeline against two real long-read chicken caecum metagenomics studies.</w:t>
      </w:r>
      <w:r>
        <w:t xml:space="preserve"> </w:t>
      </w:r>
      <w:r>
        <w:rPr>
          <w:rStyle w:val="VerbatimChar"/>
        </w:rPr>
        <w:t xml:space="preserve">chicken_batch1</w:t>
      </w:r>
      <w:r>
        <w:t xml:space="preserve"> </w:t>
      </w:r>
      <w:r>
        <w:t xml:space="preserve">(PC_JC_2024-11-29; 18 samples; 3 dietary groups — Dulce, Reference diet, Soyabean meal) is the reference cohort: approximately 46 hand-edited R scripts and known-good figures and tables already exist for it, so each stage can be compared output-for-output against the corresponding ground-truth artefact.</w:t>
      </w:r>
      <w:r>
        <w:t xml:space="preserve"> </w:t>
      </w:r>
      <w:r>
        <w:rPr>
          <w:rStyle w:val="VerbatimChar"/>
        </w:rPr>
        <w:t xml:space="preserve">chicken_batch2</w:t>
      </w:r>
      <w:r>
        <w:t xml:space="preserve"> </w:t>
      </w:r>
      <w:r>
        <w:t xml:space="preserve">(JC_FL_2025-05-20; 32 samples; 4-level composite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 — Control_W4, Control_W5, Dulse_W4, Dulse_W5) is a scaling and feature-coverage cohort: it exercises a random effect (</w:t>
      </w:r>
      <w:r>
        <w:rPr>
          <w:rStyle w:val="VerbatimChar"/>
        </w:rPr>
        <w:t xml:space="preserve">block</w:t>
      </w:r>
      <w:r>
        <w:t xml:space="preserve">, pens 1–8), two declared negative controls (CTRL1, CTRL2) subtracted in R/02, and a larger per-stage feature load. Two purpose-built validation scripts (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scripts/probe_taxid_parse.R</w:t>
      </w:r>
      <w:r>
        <w:t xml:space="preserve">) provide numerical-diff and regression checks on the most error-prone intermediates, and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auto-instruments per-stage wall time and peak R-process memory (via a</w:t>
      </w:r>
      <w:r>
        <w:t xml:space="preserve"> </w:t>
      </w:r>
      <w:r>
        <w:rPr>
          <w:rStyle w:val="VerbatimChar"/>
        </w:rPr>
        <w:t xml:space="preserve">gc()</w:t>
      </w:r>
      <w:r>
        <w:t xml:space="preserve">-bracketed wrapper equivalent to the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 </w:t>
      </w:r>
      <w:r>
        <w:t xml:space="preserve">methodology) and prints a slowest-first breakdown to the run log, mechanically populating both the runtime and peak-MB columns of Table 1.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Per-stage wall time, peak R-process memory and primary output for both validation cohorts on the same workstation (Windows 11, R 4.5, single thread); identical pipeline commit and identical statistical settings (PERMANOVA 9999 permutations; ALDEx2</w:t>
      </w:r>
      <w:r>
        <w:t xml:space="preserve"> </w:t>
      </w:r>
      <w:r>
        <w:rPr>
          <w:rStyle w:val="VerbatimChar"/>
        </w:rPr>
        <w:t xml:space="preserve">mc.samples</w:t>
      </w:r>
      <w:r>
        <w:t xml:space="preserve"> </w:t>
      </w:r>
      <w:r>
        <w:t xml:space="preserve">= 128).</w:t>
      </w:r>
      <w:r>
        <w:t xml:space="preserve"> </w:t>
      </w:r>
      <w:r>
        <w:rPr>
          <w:b/>
          <w:bCs/>
        </w:rPr>
        <w:t xml:space="preserve">B1</w:t>
      </w:r>
      <w:r>
        <w:t xml:space="preserve"> </w:t>
      </w:r>
      <w:r>
        <w:t xml:space="preserve">= chicken_batch1 (PC_JC_2024-11-29; n=18; 3 dietary groups).</w:t>
      </w:r>
      <w:r>
        <w:t xml:space="preserve"> </w:t>
      </w:r>
      <w:r>
        <w:rPr>
          <w:b/>
          <w:bCs/>
        </w:rPr>
        <w:t xml:space="preserve">B2</w:t>
      </w:r>
      <w:r>
        <w:t xml:space="preserve"> </w:t>
      </w:r>
      <w:r>
        <w:t xml:space="preserve">= chicken_batch2 (JC_FL_2025-05-20; n=32; 4-level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grouping,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random effect, two declared negative controls). Sample sizes shown in some output cells refer to samples with non-zero hits at that stage. Runtimes and peak-MB are from the same 2026-06-23 sequential run (B1 = 6m 41s, B2 = 8m 19s; 15/15 stages each) on the post-instrumentation build; the peak-MB column reports the gc()-tracked maximum used heap for each stage (equivalent to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 </w:t>
      </w:r>
      <w:r>
        <w:t xml:space="preserve">methodology) and the Total row shows the overall maximum across the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B1 runtime</w:t>
            </w:r>
          </w:p>
        </w:tc>
        <w:tc>
          <w:tcPr/>
          <w:p>
            <w:pPr>
              <w:pStyle w:val="Compact"/>
            </w:pPr>
            <w:r>
              <w:t xml:space="preserve">B1 peak MB</w:t>
            </w:r>
          </w:p>
        </w:tc>
        <w:tc>
          <w:tcPr/>
          <w:p>
            <w:pPr>
              <w:pStyle w:val="Compact"/>
            </w:pPr>
            <w:r>
              <w:t xml:space="preserve">B1 primary output</w:t>
            </w:r>
          </w:p>
        </w:tc>
        <w:tc>
          <w:tcPr/>
          <w:p>
            <w:pPr>
              <w:pStyle w:val="Compact"/>
            </w:pPr>
            <w:r>
              <w:t xml:space="preserve">B2 runtime</w:t>
            </w:r>
          </w:p>
        </w:tc>
        <w:tc>
          <w:tcPr/>
          <w:p>
            <w:pPr>
              <w:pStyle w:val="Compact"/>
            </w:pPr>
            <w:r>
              <w:t xml:space="preserve">B2 peak MB</w:t>
            </w:r>
          </w:p>
        </w:tc>
        <w:tc>
          <w:tcPr/>
          <w:p>
            <w:pPr>
              <w:pStyle w:val="Compact"/>
            </w:pPr>
            <w:r>
              <w:t xml:space="preserve">B2 primary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load_inputs</w:t>
            </w:r>
          </w:p>
        </w:tc>
        <w:tc>
          <w:tcPr/>
          <w:p>
            <w:pPr>
              <w:pStyle w:val="Compact"/>
            </w:pPr>
            <w:r>
              <w:t xml:space="preserve">0.7 s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  <w:tc>
          <w:tcPr/>
          <w:p>
            <w:pPr>
              <w:pStyle w:val="Compact"/>
            </w:pPr>
            <w:r>
              <w:t xml:space="preserve">1.3 s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clean_data</w:t>
            </w:r>
          </w:p>
        </w:tc>
        <w:tc>
          <w:tcPr/>
          <w:p>
            <w:pPr>
              <w:pStyle w:val="Compact"/>
            </w:pPr>
            <w:r>
              <w:t xml:space="preserve">2.1 s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taxid_fixes.csv</w:t>
            </w:r>
            <w:r>
              <w:t xml:space="preserve"> </w:t>
            </w:r>
            <w:r>
              <w:t xml:space="preserve">applied; no controls declared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  <w:tc>
          <w:tcPr/>
          <w:p>
            <w:pPr>
              <w:pStyle w:val="Compact"/>
            </w:pPr>
            <w:r>
              <w:t xml:space="preserve">522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taxid_fixes.csv</w:t>
            </w:r>
            <w:r>
              <w:t xml:space="preserve">; 2 controls (CTRL1, CTRL2) subtracted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0.4 s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  <w:tc>
          <w:tcPr/>
          <w:p>
            <w:pPr>
              <w:pStyle w:val="Compact"/>
            </w:pPr>
            <w:r>
              <w:t xml:space="preserve">0.5 s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taxonomy</w:t>
            </w:r>
          </w:p>
        </w:tc>
        <w:tc>
          <w:tcPr/>
          <w:p>
            <w:pPr>
              <w:pStyle w:val="Compact"/>
            </w:pPr>
            <w:r>
              <w:t xml:space="preserve">2.2 s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2,971 / 11,196 (taxon, sample) rows kept (count ≥ 5)</w:t>
            </w:r>
          </w:p>
        </w:tc>
        <w:tc>
          <w:tcPr/>
          <w:p>
            <w:pPr>
              <w:pStyle w:val="Compact"/>
            </w:pPr>
            <w:r>
              <w:t xml:space="preserve">2.3 s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5,570 / 6,549 (taxon, sample) rows 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relative_abundance</w:t>
            </w:r>
          </w:p>
        </w:tc>
        <w:tc>
          <w:tcPr/>
          <w:p>
            <w:pPr>
              <w:pStyle w:val="Compact"/>
            </w:pPr>
            <w:r>
              <w:t xml:space="preserve">27.6 s</w:t>
            </w:r>
          </w:p>
        </w:tc>
        <w:tc>
          <w:tcPr/>
          <w:p>
            <w:pPr>
              <w:pStyle w:val="Compact"/>
            </w:pPr>
            <w:r>
              <w:t xml:space="preserve">362</w:t>
            </w:r>
          </w:p>
        </w:tc>
        <w:tc>
          <w:tcPr/>
          <w:p>
            <w:pPr>
              <w:pStyle w:val="Compact"/>
            </w:pPr>
            <w:r>
              <w:t xml:space="preserve">1,700 / 72,152 rows kept (count &gt; 17); top-50 + Others</w:t>
            </w:r>
          </w:p>
        </w:tc>
        <w:tc>
          <w:tcPr/>
          <w:p>
            <w:pPr>
              <w:pStyle w:val="Compact"/>
            </w:pPr>
            <w:r>
              <w:t xml:space="preserve">29.6 s</w:t>
            </w:r>
          </w:p>
        </w:tc>
        <w:tc>
          <w:tcPr/>
          <w:p>
            <w:pPr>
              <w:pStyle w:val="Compact"/>
            </w:pPr>
            <w:r>
              <w:t xml:space="preserve">574</w:t>
            </w:r>
          </w:p>
        </w:tc>
        <w:tc>
          <w:tcPr/>
          <w:p>
            <w:pPr>
              <w:pStyle w:val="Compact"/>
            </w:pPr>
            <w:r>
              <w:t xml:space="preserve">7,557 / 18,073 rows kept; top-50 +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alpha_diversity</w:t>
            </w:r>
          </w:p>
        </w:tc>
        <w:tc>
          <w:tcPr/>
          <w:p>
            <w:pPr>
              <w:pStyle w:val="Compact"/>
            </w:pPr>
            <w:r>
              <w:t xml:space="preserve">32.6 s</w:t>
            </w:r>
          </w:p>
        </w:tc>
        <w:tc>
          <w:tcPr/>
          <w:p>
            <w:pPr>
              <w:pStyle w:val="Compact"/>
            </w:pPr>
            <w:r>
              <w:t xml:space="preserve">472</w:t>
            </w:r>
          </w:p>
        </w:tc>
        <w:tc>
          <w:tcPr/>
          <w:p>
            <w:pPr>
              <w:pStyle w:val="Compact"/>
            </w:pPr>
            <w:r>
              <w:t xml:space="preserve">9 metrics × 18 samples; KW per metric</w:t>
            </w:r>
          </w:p>
        </w:tc>
        <w:tc>
          <w:tcPr/>
          <w:p>
            <w:pPr>
              <w:pStyle w:val="Compact"/>
            </w:pPr>
            <w:r>
              <w:t xml:space="preserve">31.4 s</w:t>
            </w:r>
          </w:p>
        </w:tc>
        <w:tc>
          <w:tcPr/>
          <w:p>
            <w:pPr>
              <w:pStyle w:val="Compact"/>
            </w:pPr>
            <w:r>
              <w:t xml:space="preserve">587</w:t>
            </w:r>
          </w:p>
        </w:tc>
        <w:tc>
          <w:tcPr/>
          <w:p>
            <w:pPr>
              <w:pStyle w:val="Compact"/>
            </w:pPr>
            <w:r>
              <w:t xml:space="preserve">9 metrics × 32 samples; KW per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beta_diversity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472</w:t>
            </w:r>
          </w:p>
        </w:tc>
        <w:tc>
          <w:tcPr/>
          <w:p>
            <w:pPr>
              <w:pStyle w:val="Compact"/>
            </w:pPr>
            <w:r>
              <w:t xml:space="preserve">PERMANOVA R² = 0.145, p = 0.22; PERMDISP p = 0.027</w:t>
            </w:r>
          </w:p>
        </w:tc>
        <w:tc>
          <w:tcPr/>
          <w:p>
            <w:pPr>
              <w:pStyle w:val="Compact"/>
            </w:pPr>
            <w:r>
              <w:t xml:space="preserve">5.2 s</w:t>
            </w:r>
          </w:p>
        </w:tc>
        <w:tc>
          <w:tcPr/>
          <w:p>
            <w:pPr>
              <w:pStyle w:val="Compact"/>
            </w:pPr>
            <w:r>
              <w:t xml:space="preserve">482</w:t>
            </w:r>
          </w:p>
        </w:tc>
        <w:tc>
          <w:tcPr/>
          <w:p>
            <w:pPr>
              <w:pStyle w:val="Compact"/>
            </w:pPr>
            <w:r>
              <w:t xml:space="preserve">PERMANOVA R² = 0.121, p = 0.15; PERMDISP p = 0.053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</w:pPr>
            <w:r>
              <w:t xml:space="preserve">2m 7s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31 taxa + 157 gene features; 3 pairwise contrasts</w:t>
            </w:r>
          </w:p>
        </w:tc>
        <w:tc>
          <w:tcPr/>
          <w:p>
            <w:pPr>
              <w:pStyle w:val="Compact"/>
            </w:pPr>
            <w:r>
              <w:t xml:space="preserve">3m 18s</w:t>
            </w:r>
          </w:p>
        </w:tc>
        <w:tc>
          <w:tcPr/>
          <w:p>
            <w:pPr>
              <w:pStyle w:val="Compact"/>
            </w:pPr>
            <w:r>
              <w:t xml:space="preserve">1133</w:t>
            </w:r>
          </w:p>
        </w:tc>
        <w:tc>
          <w:tcPr/>
          <w:p>
            <w:pPr>
              <w:pStyle w:val="Compact"/>
            </w:pPr>
            <w:r>
              <w:t xml:space="preserve">53 taxa + 221 gene features; 6 pairwise contrasts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resistome (CARD)</w:t>
            </w:r>
          </w:p>
        </w:tc>
        <w:tc>
          <w:tcPr/>
          <w:p>
            <w:pPr>
              <w:pStyle w:val="Compact"/>
            </w:pPr>
            <w:r>
              <w:t xml:space="preserve">29.3 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348 rows / 85 genes / 18 drug classes</w:t>
            </w:r>
          </w:p>
        </w:tc>
        <w:tc>
          <w:tcPr/>
          <w:p>
            <w:pPr>
              <w:pStyle w:val="Compact"/>
            </w:pPr>
            <w:r>
              <w:t xml:space="preserve">25.9 s</w:t>
            </w:r>
          </w:p>
        </w:tc>
        <w:tc>
          <w:tcPr/>
          <w:p>
            <w:pPr>
              <w:pStyle w:val="Compact"/>
            </w:pPr>
            <w:r>
              <w:t xml:space="preserve">1102</w:t>
            </w:r>
          </w:p>
        </w:tc>
        <w:tc>
          <w:tcPr/>
          <w:p>
            <w:pPr>
              <w:pStyle w:val="Compact"/>
            </w:pPr>
            <w:r>
              <w:t xml:space="preserve">648 rows / 99 genes / 20 drug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virulome (VFDB)</w:t>
            </w:r>
          </w:p>
        </w:tc>
        <w:tc>
          <w:tcPr/>
          <w:p>
            <w:pPr>
              <w:pStyle w:val="Compact"/>
            </w:pPr>
            <w:r>
              <w:t xml:space="preserve">16.0 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320 rows / 140 genes / 6 VF functions (17 / 18 samples)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1132</w:t>
            </w:r>
          </w:p>
        </w:tc>
        <w:tc>
          <w:tcPr/>
          <w:p>
            <w:pPr>
              <w:pStyle w:val="Compact"/>
            </w:pPr>
            <w:r>
              <w:t xml:space="preserve">492 rows / 156 genes / 8 VF functions (26 / 32 samples)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mobilome (PlasmidFinder)</w:t>
            </w:r>
          </w:p>
        </w:tc>
        <w:tc>
          <w:tcPr/>
          <w:p>
            <w:pPr>
              <w:pStyle w:val="Compact"/>
            </w:pPr>
            <w:r>
              <w:t xml:space="preserve">15.3 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65 rows / 10 replicons / 3 families</w:t>
            </w:r>
          </w:p>
        </w:tc>
        <w:tc>
          <w:tcPr/>
          <w:p>
            <w:pPr>
              <w:pStyle w:val="Compact"/>
            </w:pPr>
            <w:r>
              <w:t xml:space="preserve">16.1 s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137 rows / 25 replicons / 5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53.3 s</w:t>
            </w:r>
          </w:p>
        </w:tc>
        <w:tc>
          <w:tcPr/>
          <w:p>
            <w:pPr>
              <w:pStyle w:val="Compact"/>
            </w:pPr>
            <w:r>
              <w:t xml:space="preserve">1183</w:t>
            </w:r>
          </w:p>
        </w:tc>
        <w:tc>
          <w:tcPr/>
          <w:p>
            <w:pPr>
              <w:pStyle w:val="Compact"/>
            </w:pPr>
            <w:r>
              <w:t xml:space="preserve">247 edges, 100 nodes (18 + 42 + 40); modularity = 0.31</w:t>
            </w:r>
          </w:p>
        </w:tc>
        <w:tc>
          <w:tcPr/>
          <w:p>
            <w:pPr>
              <w:pStyle w:val="Compact"/>
            </w:pPr>
            <w:r>
              <w:t xml:space="preserve">1m 26s</w:t>
            </w:r>
          </w:p>
        </w:tc>
        <w:tc>
          <w:tcPr/>
          <w:p>
            <w:pPr>
              <w:pStyle w:val="Compact"/>
            </w:pPr>
            <w:r>
              <w:t xml:space="preserve">1418</w:t>
            </w:r>
          </w:p>
        </w:tc>
        <w:tc>
          <w:tcPr/>
          <w:p>
            <w:pPr>
              <w:pStyle w:val="Compact"/>
            </w:pPr>
            <w:r>
              <w:t xml:space="preserve">576 edges, 210 nodes (32 + 77 + 101); modularity = 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panels (R/14)</w:t>
            </w:r>
          </w:p>
        </w:tc>
        <w:tc>
          <w:tcPr/>
          <w:p>
            <w:pPr>
              <w:pStyle w:val="Compact"/>
            </w:pPr>
            <w:r>
              <w:t xml:space="preserve">49.0 s</w:t>
            </w:r>
          </w:p>
        </w:tc>
        <w:tc>
          <w:tcPr/>
          <w:p>
            <w:pPr>
              <w:pStyle w:val="Compact"/>
            </w:pPr>
            <w:r>
              <w:t xml:space="preserve">1330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  <w:tc>
          <w:tcPr/>
          <w:p>
            <w:pPr>
              <w:pStyle w:val="Compact"/>
            </w:pPr>
            <w:r>
              <w:t xml:space="preserve">49.0 s</w:t>
            </w:r>
          </w:p>
        </w:tc>
        <w:tc>
          <w:tcPr/>
          <w:p>
            <w:pPr>
              <w:pStyle w:val="Compact"/>
            </w:pPr>
            <w:r>
              <w:t xml:space="preserve">1505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2.8 s</w:t>
            </w:r>
          </w:p>
        </w:tc>
        <w:tc>
          <w:tcPr/>
          <w:p>
            <w:pPr>
              <w:pStyle w:val="Compact"/>
            </w:pPr>
            <w:r>
              <w:t xml:space="preserve">922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85 kB)</w:t>
            </w:r>
          </w:p>
        </w:tc>
        <w:tc>
          <w:tcPr/>
          <w:p>
            <w:pPr>
              <w:pStyle w:val="Compact"/>
            </w:pPr>
            <w:r>
              <w:t xml:space="preserve">3.1 s</w:t>
            </w:r>
          </w:p>
        </w:tc>
        <w:tc>
          <w:tcPr/>
          <w:p>
            <w:pPr>
              <w:pStyle w:val="Compact"/>
            </w:pPr>
            <w:r>
              <w:t xml:space="preserve">1040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80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36.9 s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  <w:tc>
          <w:tcPr/>
          <w:p>
            <w:pPr>
              <w:pStyle w:val="Compact"/>
            </w:pPr>
            <w:r>
              <w:t xml:space="preserve">Quarto dashboard HTML (~14 MB)</w:t>
            </w:r>
          </w:p>
        </w:tc>
        <w:tc>
          <w:tcPr/>
          <w:p>
            <w:pPr>
              <w:pStyle w:val="Compact"/>
            </w:pPr>
            <w:r>
              <w:t xml:space="preserve">27.4 s</w:t>
            </w:r>
          </w:p>
        </w:tc>
        <w:tc>
          <w:tcPr/>
          <w:p>
            <w:pPr>
              <w:pStyle w:val="Compact"/>
            </w:pPr>
            <w:r>
              <w:t xml:space="preserve">647</w:t>
            </w:r>
          </w:p>
        </w:tc>
        <w:tc>
          <w:tcPr/>
          <w:p>
            <w:pPr>
              <w:pStyle w:val="Compact"/>
            </w:pPr>
            <w:r>
              <w:t xml:space="preserve">Quarto dashboard HTML (~18 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(15 stages)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6m 41s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8m 19s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Differential abundance dominates wall time on both cohorts (32 % of total on B1, 40 % on B2), driven by the ALDEx2 Monte-Carlo loop scaling with feature count, sample count and pairwise-contrast count; the network stage is next-most expensive (~13–17 %) because Sankey assembly iterates over every gene–category mapping. Across the recorded stages, increasing the sample count from 18 to 32 and the pairwise-contrast count from 3 to 6 (B1 → B2) raised end-to-end runtime from 6m 41s to 8m 19s (+24 %), markedly sublinear in either axis and consistent with ALDEx2 still being the dominant path rather than per-sample fixed overhead. Peak R-process memory tracks the same monotone profile — climbing through the gene-element domains as the joint long-form</w:t>
      </w:r>
      <w:r>
        <w:t xml:space="preserve"> </w:t>
      </w:r>
      <w:r>
        <w:rPr>
          <w:rStyle w:val="VerbatimChar"/>
        </w:rPr>
        <w:t xml:space="preserve">(sample × gene)</w:t>
      </w:r>
      <w:r>
        <w:t xml:space="preserve"> </w:t>
      </w:r>
      <w:r>
        <w:t xml:space="preserve">tables grow (~1.0 GB plateau) and topping out during R/14 panel assembly (1.33 GB on B1, 1.51 GB on B2), where every domain’s PNGs and tables are loaded simultaneously to lay out the composite figures and write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stage’s peak is comparatively modest (~0.6 GB) because the heavy lifting is delegated to the external Quarto process and is therefore not captured by the in-process gc() instrumentation. Tabulated PERMANOVA and PERMDISP statistics for the per-domain stages (resistome, virulome, mobilome), per-metric KW p-values for alpha diversity, and all DAA per-pair feature tables are surfaced in the Quarto dashboard rather than reproduced here.</w:t>
      </w:r>
    </w:p>
    <w:p>
      <w:pPr>
        <w:pStyle w:val="BodyText"/>
      </w:pPr>
      <w:r>
        <w:t xml:space="preserve">One expected and deliberate divergence concerns the resistome stage: the ground-truth</w:t>
      </w:r>
      <w:r>
        <w:t xml:space="preserve"> </w:t>
      </w:r>
      <w:r>
        <w:rPr>
          <w:rStyle w:val="VerbatimChar"/>
        </w:rPr>
        <w:t xml:space="preserve">cleanData.R</w:t>
      </w:r>
      <w:r>
        <w:t xml:space="preserve"> </w:t>
      </w:r>
      <w:r>
        <w:t xml:space="preserve">mis-parses taxids carrying variant suffixes, dropping the corresponding ABRicate rows. R/02 fixes this parsing bug, so the pipeline retains 110 additional (sample, GENE) rows relative to the hand-edited output (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on the 2026-06-23 B1 run: pipeline = 733 rows, ground truth = 623; 121 rows gained by the parsing fix, 11 rows present in the ground truth that the pipeline currently drops — concentrated in a handful of plasmid replicon and accessory resistance calls, queued for inspection rather than treated as a regression). Jaccard agreement on the</w:t>
      </w:r>
      <w:r>
        <w:t xml:space="preserve"> </w:t>
      </w:r>
      <w:r>
        <w:rPr>
          <w:rStyle w:val="VerbatimChar"/>
        </w:rPr>
        <w:t xml:space="preserve">(sample, GENE)</w:t>
      </w:r>
      <w:r>
        <w:t xml:space="preserve"> </w:t>
      </w:r>
      <w:r>
        <w:t xml:space="preserve">key set is 0.82. Across the other stages with directly comparable ground-truth artefacts, sample-set agreement is exact on alpha diversity (18 / 18), and Jaccard on the network gephi exports against the most-recent hand-edited snapshot is 0.85 (nodes) and 0.87 (edges); per-stage agreement against the remaining hand-edited artefacts (taxonomy, beta diversity, differential abundance) is deferred to a separate validation effort. The Re-centrifuge column-slicing heuristic in R/02 is acknowledged as still coarse and is queued for rework; Table 1 will be re-derived once that change lands.</w:t>
      </w:r>
    </w:p>
    <w:bookmarkEnd w:id="15"/>
    <w:bookmarkStart w:id="16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MERIDIAN is an alpha-stage workflow that consolidates a long-read shotgun metagenomics analysis — taxonomy, diversity, differential abundance, resistome, virulome, mobilome, and an integrated network view — into one configuration-driven R project with a single Quarto dashboard, a publication-panels stage and a downstream-readable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contract. It is in active development and validation against real reference data is ongoing; we release it now to invite feedback from groups running comparable analyses and to encourage convergence on a shared, scriptable layout for long-read metagenomics studies.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{{TODO: acknowledgements — collaborators, reviewers, compute providers}}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study was funded by a Vice-Chancellor scholarship provided by the University of West London.</w:t>
      </w:r>
    </w:p>
    <w:p>
      <w:pPr>
        <w:pStyle w:val="BodyText"/>
      </w:pPr>
      <w:r>
        <w:rPr>
          <w:b/>
          <w:bCs/>
        </w:rPr>
        <w:t xml:space="preserve">Conflict of Interest.</w:t>
      </w:r>
      <w:r>
        <w:t xml:space="preserve"> </w:t>
      </w:r>
      <w:r>
        <w:t xml:space="preserve">The authors declare that they have no competing interests.</w:t>
      </w:r>
    </w:p>
    <w:p>
      <w:r>
        <w:pict>
          <v:rect style="width:0;height:1.5pt" o:hralign="center" o:hrstd="t" o:hr="t"/>
        </w:pic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Al-Khalaifah H, Rahman MH, Al-Surrayai T, Al-Dhumair A, Al-Hasan M. A One-Health Perspective of Antimicrobial Resistance (AMR): Human, Animals and Environmental Health.</w:t>
      </w:r>
      <w:r>
        <w:t xml:space="preserve"> </w:t>
      </w:r>
      <w:r>
        <w:rPr>
          <w:i/>
          <w:iCs/>
        </w:rPr>
        <w:t xml:space="preserve">Life (Basel)</w:t>
      </w:r>
      <w:r>
        <w:t xml:space="preserve"> </w:t>
      </w:r>
      <w:r>
        <w:t xml:space="preserve">2025;15(10):1598. doi:10.3390/life15101598.</w:t>
      </w:r>
    </w:p>
    <w:p>
      <w:pPr>
        <w:pStyle w:val="Compact"/>
        <w:numPr>
          <w:ilvl w:val="0"/>
          <w:numId w:val="1002"/>
        </w:numPr>
      </w:pPr>
      <w:r>
        <w:t xml:space="preserve">Wood DE, Salzberg SL. Kraken: ultrafast metagenomic sequence classification using exact alignments.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2014;15:R46. doi:10.1186/gb-2014-15-3-r46. Kraken2: Wood DE, Lu J, Langmead B. Improved metagenomic analysis with Kraken 2.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2019;20:257. doi:10.1186/s13059-019-1891-0.</w:t>
      </w:r>
    </w:p>
    <w:p>
      <w:pPr>
        <w:pStyle w:val="Compact"/>
        <w:numPr>
          <w:ilvl w:val="0"/>
          <w:numId w:val="1002"/>
        </w:numPr>
      </w:pPr>
      <w:r>
        <w:t xml:space="preserve">Lu J, Breitwieser FP, Thielen P, Salzberg SL. Bracken: estimating species abundance in metagenomics data.</w:t>
      </w:r>
      <w:r>
        <w:t xml:space="preserve"> </w:t>
      </w:r>
      <w:r>
        <w:rPr>
          <w:i/>
          <w:iCs/>
        </w:rPr>
        <w:t xml:space="preserve">PeerJ Comput Sci</w:t>
      </w:r>
      <w:r>
        <w:t xml:space="preserve"> </w:t>
      </w:r>
      <w:r>
        <w:t xml:space="preserve">2017;3:e104. doi:10.7717/peerj-cs.104.</w:t>
      </w:r>
    </w:p>
    <w:p>
      <w:pPr>
        <w:pStyle w:val="Compact"/>
        <w:numPr>
          <w:ilvl w:val="0"/>
          <w:numId w:val="1002"/>
        </w:numPr>
      </w:pPr>
      <w:r>
        <w:t xml:space="preserve">Seemann T. ABRicate: mass screening of contigs for antimicrobial and virulence genes. https://github.com/tseemann/abricate (accessed 2026-06-23).</w:t>
      </w:r>
    </w:p>
    <w:p>
      <w:pPr>
        <w:pStyle w:val="Compact"/>
        <w:numPr>
          <w:ilvl w:val="0"/>
          <w:numId w:val="1002"/>
        </w:numPr>
      </w:pPr>
      <w:r>
        <w:t xml:space="preserve">Alcock BP, et al. CARD 2023: expanded curation, support for machine learning, and resistome prediction at the Comprehensive Antibiotic Resistance Database.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2023;51:D690–D699. doi:10.1093/nar/gkac920.</w:t>
      </w:r>
    </w:p>
    <w:p>
      <w:pPr>
        <w:pStyle w:val="Compact"/>
        <w:numPr>
          <w:ilvl w:val="0"/>
          <w:numId w:val="1002"/>
        </w:numPr>
      </w:pPr>
      <w:r>
        <w:t xml:space="preserve">Liu B, Zheng D, Zhou S, Chen L, Yang J. VFDB 2022: a general classification scheme for bacterial virulence factors.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2022;50:D912–D917. doi:10.1093/nar/gkab1107.</w:t>
      </w:r>
    </w:p>
    <w:p>
      <w:pPr>
        <w:pStyle w:val="Compact"/>
        <w:numPr>
          <w:ilvl w:val="0"/>
          <w:numId w:val="1002"/>
        </w:numPr>
      </w:pPr>
      <w:r>
        <w:t xml:space="preserve">Carattoli A, Zankari E, García-Fernández A, et al. In silico detection and typing of plasmids using PlasmidFinder and plasmid multilocus sequence typing.</w:t>
      </w:r>
      <w:r>
        <w:t xml:space="preserve"> </w:t>
      </w:r>
      <w:r>
        <w:rPr>
          <w:i/>
          <w:iCs/>
        </w:rPr>
        <w:t xml:space="preserve">Antimicrob Agents Chemother</w:t>
      </w:r>
      <w:r>
        <w:t xml:space="preserve"> </w:t>
      </w:r>
      <w:r>
        <w:t xml:space="preserve">2014;58:3895–3903. doi:10.1128/AAC.02412-14.</w:t>
      </w:r>
    </w:p>
    <w:p>
      <w:pPr>
        <w:pStyle w:val="Compact"/>
        <w:numPr>
          <w:ilvl w:val="0"/>
          <w:numId w:val="1002"/>
        </w:numPr>
      </w:pPr>
      <w:r>
        <w:t xml:space="preserve">Martí JM. Recentrifuge: robust comparative analysis and contamination removal for metagenomics.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2019;15:e1006967. doi:10.1371/journal.pcbi.1006967.</w:t>
      </w:r>
    </w:p>
    <w:p>
      <w:pPr>
        <w:pStyle w:val="Compact"/>
        <w:numPr>
          <w:ilvl w:val="0"/>
          <w:numId w:val="1002"/>
        </w:numPr>
      </w:pPr>
      <w:r>
        <w:t xml:space="preserve">Oksanen J, Simpson G, Blanchet F, Kindt R, Legendre P, Minchin P, O’Hara R, Solymos P, Stevens M, Szoecs E, Wagner H, et al. vegan: Community Ecology Package. R package version 2.7-3, 2026. doi:10.32614/CRAN.package.vegan.</w:t>
      </w:r>
    </w:p>
    <w:p>
      <w:pPr>
        <w:pStyle w:val="Compact"/>
        <w:numPr>
          <w:ilvl w:val="0"/>
          <w:numId w:val="1002"/>
        </w:numPr>
      </w:pPr>
      <w:r>
        <w:t xml:space="preserve">Fernandes AD, Reid JN, Macklaim JM, McMurrough TA, Edgell DR, Gloor GB. Unifying the analysis of high-throughput sequencing datasets: characterizing RNA-seq, 16S rRNA gene sequencing and selective growth experiments by compositional data analysis.</w:t>
      </w:r>
      <w:r>
        <w:t xml:space="preserve"> </w:t>
      </w:r>
      <w:r>
        <w:rPr>
          <w:i/>
          <w:iCs/>
        </w:rPr>
        <w:t xml:space="preserve">Microbiome</w:t>
      </w:r>
      <w:r>
        <w:t xml:space="preserve"> </w:t>
      </w:r>
      <w:r>
        <w:t xml:space="preserve">2014;2:15. doi:10.1186/2049-2618-2-15.</w:t>
      </w:r>
    </w:p>
    <w:p>
      <w:pPr>
        <w:pStyle w:val="Compact"/>
        <w:numPr>
          <w:ilvl w:val="0"/>
          <w:numId w:val="1002"/>
        </w:numPr>
      </w:pPr>
      <w:r>
        <w:t xml:space="preserve">Li Y, Gao Y, Liu X, Mao Y, Wang M, Qin Y, Zhang C, Chen Q, Ning K, Wang Z, Han M. Quantifying antibiotic resistome risks across environmental niches: the L-ARRAP for long-read metagenomic profiling.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2025;26(5):bbaf535. doi:10.1093/bib/bbaf535.</w:t>
      </w:r>
    </w:p>
    <w:p>
      <w:pPr>
        <w:pStyle w:val="Compact"/>
        <w:numPr>
          <w:ilvl w:val="0"/>
          <w:numId w:val="1002"/>
        </w:numPr>
      </w:pPr>
      <w:r>
        <w:t xml:space="preserve">Theil S, Rifa E. rANOMALY: AmplicoN wOrkflow for Microbial community AnaLYsis.</w:t>
      </w:r>
      <w:r>
        <w:t xml:space="preserve"> </w:t>
      </w:r>
      <w:r>
        <w:rPr>
          <w:i/>
          <w:iCs/>
        </w:rPr>
        <w:t xml:space="preserve">F1000Res</w:t>
      </w:r>
      <w:r>
        <w:t xml:space="preserve"> </w:t>
      </w:r>
      <w:r>
        <w:t xml:space="preserve">2021;10:7. doi:10.12688/f1000research.27268.1.</w:t>
      </w:r>
    </w:p>
    <w:p>
      <w:pPr>
        <w:pStyle w:val="Compact"/>
        <w:numPr>
          <w:ilvl w:val="0"/>
          <w:numId w:val="1002"/>
        </w:numPr>
      </w:pPr>
      <w:r>
        <w:t xml:space="preserve">Allaire JJ, et al. Quarto. https://quarto.org (accessed 2026-06-23).</w:t>
      </w:r>
    </w:p>
    <w:p>
      <w:pPr>
        <w:pStyle w:val="Compact"/>
        <w:numPr>
          <w:ilvl w:val="0"/>
          <w:numId w:val="1002"/>
        </w:numPr>
      </w:pPr>
      <w:r>
        <w:t xml:space="preserve">R Core Team. R: A Language and Environment for Statistical Computing (version 4.5.0). R Foundation for Statistical Computing, Vienna, 2025. https://www.R-project.org/.</w:t>
      </w:r>
    </w:p>
    <w:p>
      <w:pPr>
        <w:pStyle w:val="Compact"/>
        <w:numPr>
          <w:ilvl w:val="0"/>
          <w:numId w:val="1002"/>
        </w:numPr>
      </w:pPr>
      <w:r>
        <w:t xml:space="preserve">Pedersen TL. ggraph: An Implementation of Grammar of Graphics for Graphs and Networks. R package version 2.2.2, 2025. doi:10.32614/CRAN.package.ggraph.</w:t>
      </w:r>
    </w:p>
    <w:p>
      <w:pPr>
        <w:pStyle w:val="Compact"/>
        <w:numPr>
          <w:ilvl w:val="0"/>
          <w:numId w:val="1002"/>
        </w:numPr>
      </w:pPr>
      <w:r>
        <w:t xml:space="preserve">Csárdi G, Nepusz T. The igraph software package for complex network research.</w:t>
      </w:r>
      <w:r>
        <w:t xml:space="preserve"> </w:t>
      </w:r>
      <w:r>
        <w:rPr>
          <w:i/>
          <w:iCs/>
        </w:rPr>
        <w:t xml:space="preserve">InterJournal</w:t>
      </w:r>
      <w:r>
        <w:t xml:space="preserve"> </w:t>
      </w:r>
      <w:r>
        <w:t xml:space="preserve">2006;Complex Systems:1695. R package version 2.3.1; doi:10.5281/zenodo.7682609. https://igraph.org.</w:t>
      </w:r>
    </w:p>
    <w:p>
      <w:pPr>
        <w:pStyle w:val="Compact"/>
        <w:numPr>
          <w:ilvl w:val="0"/>
          <w:numId w:val="1002"/>
        </w:numPr>
      </w:pPr>
      <w:r>
        <w:t xml:space="preserve">Allaire JJ, Gandrud C, Russell K, Yetman C. networkD3: D3 JavaScript Network Graphs from R. R package version 0.4.1, 2025. doi:10.32614/CRAN.package.networkD3.</w:t>
      </w:r>
    </w:p>
    <w:p>
      <w:r>
        <w:pict>
          <v:rect style="width:0;height:1.5pt" o:hralign="center" o:hrstd="t" o:hr="t"/>
        </w:pict>
      </w:r>
    </w:p>
    <w:bookmarkEnd w:id="17"/>
    <w:bookmarkStart w:id="18" w:name="drafting-notes"/>
    <w:p>
      <w:pPr>
        <w:pStyle w:val="Heading2"/>
      </w:pPr>
      <w:r>
        <w:t xml:space="preserve">Drafting notes</w:t>
      </w:r>
    </w:p>
    <w:p>
      <w:pPr>
        <w:pStyle w:val="FirstParagraph"/>
      </w:pPr>
      <w:r>
        <w:t xml:space="preserve">Placeholders inserted, and the data needed to fill each one:</w:t>
      </w:r>
    </w:p>
    <w:p>
      <w:pPr>
        <w:pStyle w:val="BodyText"/>
      </w:pPr>
      <w:r>
        <w:t xml:space="preserve">Resolved since first draft: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Pipeline rename to MERIDIAN</w:t>
      </w:r>
      <w:r>
        <w:t xml:space="preserve"> </w:t>
      </w:r>
      <w:r>
        <w:t xml:space="preserve">(commit 8f5fb3f, 2026-06-23) — manuscript title now leads with</w:t>
      </w:r>
      <w:r>
        <w:t xml:space="preserve"> </w:t>
      </w:r>
      <w:r>
        <w:t xml:space="preserve">“MERIDIAN:”</w:t>
      </w:r>
      <w:r>
        <w:t xml:space="preserve">; first mention in Abstract Results introduces the expanded form (</w:t>
      </w:r>
      <w:r>
        <w:rPr>
          <w:i/>
          <w:iCs/>
        </w:rPr>
        <w:t xml:space="preserve">Metagenomic Evaluation of Resistance, Identity &amp; Diversity through Integrated Analysis of Nanopore sequencing</w:t>
      </w:r>
      <w:r>
        <w:t xml:space="preserve">); Figure 1 caption and §4 Conclusion follow.</w:t>
      </w:r>
      <w:r>
        <w:t xml:space="preserve"> </w:t>
      </w:r>
      <w:r>
        <w:rPr>
          <w:rStyle w:val="VerbatimChar"/>
        </w:rPr>
        <w:t xml:space="preserve">generate_figure1.py</w:t>
      </w:r>
      <w:r>
        <w:t xml:space="preserve"> </w:t>
      </w:r>
      <w:r>
        <w:t xml:space="preserve">docstring banner and the orphaned</w:t>
      </w:r>
      <w:r>
        <w:t xml:space="preserve"> </w:t>
      </w:r>
      <w:r>
        <w:rPr>
          <w:rStyle w:val="VerbatimChar"/>
        </w:rPr>
        <w:t xml:space="preserve">figure1_pipeline_schematic.mmd</w:t>
      </w:r>
      <w:r>
        <w:t xml:space="preserve"> </w:t>
      </w:r>
      <w:r>
        <w:t xml:space="preserve">header updated for consistency;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“What the tool is”</w:t>
      </w:r>
      <w:r>
        <w:t xml:space="preserve"> </w:t>
      </w:r>
      <w:r>
        <w:t xml:space="preserve">entry renamed. Figure 1 PNG/SVG do not need re-rendering — the pipeline name does not appear on the rendered figure itself.</w:t>
      </w:r>
    </w:p>
    <w:p>
      <w:pPr>
        <w:pStyle w:val="Compact"/>
        <w:numPr>
          <w:ilvl w:val="0"/>
          <w:numId w:val="1003"/>
        </w:numPr>
      </w:pPr>
      <w:r>
        <w:t xml:space="preserve">Author block, affiliations, corresponding author and email — filled.</w:t>
      </w:r>
    </w:p>
    <w:p>
      <w:pPr>
        <w:pStyle w:val="Compact"/>
        <w:numPr>
          <w:ilvl w:val="0"/>
          <w:numId w:val="1003"/>
        </w:numPr>
      </w:pPr>
      <w:r>
        <w:t xml:space="preserve">GitHub URL — filled (https://github.com/Julio92-C/Metagenomics_pipeline_automation).</w:t>
      </w:r>
    </w:p>
    <w:p>
      <w:pPr>
        <w:pStyle w:val="Compact"/>
        <w:numPr>
          <w:ilvl w:val="0"/>
          <w:numId w:val="1003"/>
        </w:numPr>
      </w:pPr>
      <w:r>
        <w:t xml:space="preserve">Figure 1 — canonical source is</w:t>
      </w:r>
      <w:r>
        <w:t xml:space="preserve"> </w:t>
      </w:r>
      <w:r>
        <w:rPr>
          <w:rStyle w:val="VerbatimChar"/>
        </w:rPr>
        <w:t xml:space="preserve">generate_figure1.py</w:t>
      </w:r>
      <w:r>
        <w:t xml:space="preserve"> </w:t>
      </w:r>
      <w:r>
        <w:t xml:space="preserve">(matplotlib, 300 DPI, custom colour-coded layout), added in the</w:t>
      </w:r>
      <w:r>
        <w:t xml:space="preserve"> </w:t>
      </w:r>
      <w:r>
        <w:t xml:space="preserve">“polish Figure 1”</w:t>
      </w:r>
      <w:r>
        <w:t xml:space="preserve"> </w:t>
      </w:r>
      <w:r>
        <w:t xml:space="preserve">pass to replace the original Mermaid render. Regenerate via</w:t>
      </w:r>
      <w:r>
        <w:t xml:space="preserve"> </w:t>
      </w:r>
      <w:r>
        <w:rPr>
          <w:rStyle w:val="VerbatimChar"/>
        </w:rPr>
        <w:t xml:space="preserve">&amp; "C:\Users\julio\AppData\Local\Programs\Python\Python313\python.exe" generate_figure1.py</w:t>
      </w:r>
      <w:r>
        <w:t xml:space="preserve"> </w:t>
      </w:r>
      <w:r>
        <w:t xml:space="preserve">(plain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resolves to Inkscape’s interpreter and lacks matplotlib) — writes both</w:t>
      </w:r>
      <w:r>
        <w:t xml:space="preserve"> </w:t>
      </w:r>
      <w:r>
        <w:rPr>
          <w:rStyle w:val="VerbatimChar"/>
        </w:rPr>
        <w:t xml:space="preserve">figure1_pipeline_schematic.png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figure1_pipeline_schematic.mmd</w:t>
      </w:r>
      <w:r>
        <w:t xml:space="preserve"> </w:t>
      </w:r>
      <w:r>
        <w:t xml:space="preserve">is legacy/orphaned: do not re-render it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, that overwrites the polished figure with the plain Mermaid style. Layout refreshed on 2026-06-19: R/12 now fans out to a two-column output row (Quarto dashboard + R/13 manifest on the left, R/14 panels + Publication outputs on the right), with a dotted cross-feed from R/14 panels into R/13 manifest. Caption updated in lockstep.</w:t>
      </w:r>
    </w:p>
    <w:p>
      <w:pPr>
        <w:pStyle w:val="Compact"/>
        <w:numPr>
          <w:ilvl w:val="0"/>
          <w:numId w:val="1003"/>
        </w:numPr>
      </w:pPr>
      <w:r>
        <w:t xml:space="preserve">R/11 mobilome database — confirmed as PlasmidFinder (reference 7).</w:t>
      </w:r>
    </w:p>
    <w:p>
      <w:pPr>
        <w:pStyle w:val="Compact"/>
        <w:numPr>
          <w:ilvl w:val="0"/>
          <w:numId w:val="1003"/>
        </w:numPr>
      </w:pPr>
      <w:r>
        <w:t xml:space="preserve">Module count refreshed to fifteen (R/00–R/14); R/13 manifest stage + new R/14 publication-panels stage +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 added across Abstract, §1, §2, Figure 1.</w:t>
      </w:r>
    </w:p>
    <w:p>
      <w:pPr>
        <w:pStyle w:val="Compact"/>
        <w:numPr>
          <w:ilvl w:val="0"/>
          <w:numId w:val="1003"/>
        </w:numPr>
      </w:pPr>
      <w:r>
        <w:t xml:space="preserve">§1 ¶1 rewritten with One Health framing; new ref [1] Al-Khalaifah et al. 2025 inserted; refs 2–17 renumbered accordingly.</w:t>
      </w:r>
    </w:p>
    <w:p>
      <w:pPr>
        <w:pStyle w:val="Compact"/>
        <w:numPr>
          <w:ilvl w:val="0"/>
          <w:numId w:val="1003"/>
        </w:numPr>
      </w:pPr>
      <w:r>
        <w:t xml:space="preserve">§1 ¶2 limitations made concrete (comment #33 / #34 from 2026-06-15 DOCX review): removed the vague</w:t>
      </w:r>
      <w:r>
        <w:t xml:space="preserve"> </w:t>
      </w:r>
      <w:r>
        <w:t xml:space="preserve">“30–50 scripts”</w:t>
      </w:r>
      <w:r>
        <w:t xml:space="preserve"> </w:t>
      </w:r>
      <w:r>
        <w:t xml:space="preserve">anchor, named the symptoms (drift across script copies; no machine-readable artefact catalogue; cross-study comparisons reconcile code as well as data), and anchored the script-count claim on the concrete</w:t>
      </w:r>
      <w:r>
        <w:t xml:space="preserve"> </w:t>
      </w:r>
      <w:r>
        <w:rPr>
          <w:rStyle w:val="VerbatimChar"/>
        </w:rPr>
        <w:t xml:space="preserve">chicken_batch1</w:t>
      </w:r>
      <w:r>
        <w:t xml:space="preserve"> </w:t>
      </w:r>
      <w:r>
        <w:t xml:space="preserve">~46-script baseline.</w:t>
      </w:r>
    </w:p>
    <w:p>
      <w:pPr>
        <w:pStyle w:val="Compact"/>
        <w:numPr>
          <w:ilvl w:val="0"/>
          <w:numId w:val="1003"/>
        </w:numPr>
      </w:pPr>
      <w:r>
        <w:t xml:space="preserve">§2</w:t>
      </w:r>
      <w:r>
        <w:t xml:space="preserve"> </w:t>
      </w:r>
      <w:r>
        <w:t xml:space="preserve">“Module code is never edited”</w:t>
      </w:r>
      <w:r>
        <w:t xml:space="preserve"> </w:t>
      </w:r>
      <w:r>
        <w:t xml:space="preserve">softened (comment #38) →</w:t>
      </w:r>
      <w:r>
        <w:t xml:space="preserve"> </w:t>
      </w:r>
      <w:r>
        <w:t xml:space="preserve">“Module code is not edited per-project; dataset-specific adjustments live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or in the structured fix tables it references.”</w:t>
      </w:r>
    </w:p>
    <w:p>
      <w:pPr>
        <w:pStyle w:val="Compact"/>
        <w:numPr>
          <w:ilvl w:val="0"/>
          <w:numId w:val="1003"/>
        </w:numPr>
      </w:pPr>
      <w:r>
        <w:t xml:space="preserve">§2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description reframed (comment #41) → optional capability (</w:t>
      </w:r>
      <w:r>
        <w:t xml:space="preserve">“when needed”</w:t>
      </w:r>
      <w:r>
        <w:t xml:space="preserve">) rather than a core stage feature.</w:t>
      </w:r>
    </w:p>
    <w:p>
      <w:pPr>
        <w:pStyle w:val="Compact"/>
        <w:numPr>
          <w:ilvl w:val="0"/>
          <w:numId w:val="1003"/>
        </w:numPr>
      </w:pPr>
      <w:r>
        <w:t xml:space="preserve">§2 Stages paragraph rewritten (comment #42) into five conceptual blocks — ingest &amp; cleaning / gene-element normalisation / community analyses / functional profiling / integration, reporting and manifest — with module IDs in parentheses rather than as the spine.</w:t>
      </w:r>
    </w:p>
    <w:p>
      <w:pPr>
        <w:pStyle w:val="Compact"/>
        <w:numPr>
          <w:ilvl w:val="0"/>
          <w:numId w:val="1003"/>
        </w:numPr>
      </w:pPr>
      <w:r>
        <w:t xml:space="preserve">§2 dependency line corrected: TPM normalisation (R/03) and gene-element stages (R/09–R/11) now stated as requiring</w:t>
      </w:r>
      <w:r>
        <w:t xml:space="preserve"> </w:t>
      </w:r>
      <w:r>
        <w:rPr>
          <w:b/>
          <w:bCs/>
        </w:rPr>
        <w:t xml:space="preserve">ABRicate</w:t>
      </w:r>
      <w:r>
        <w:t xml:space="preserve"> </w:t>
      </w:r>
      <w:r>
        <w:t xml:space="preserve">outputs (not Bracken). R/03 operates on per-(sample, GENE) ABRicate hits with</w:t>
      </w:r>
      <w:r>
        <w:t xml:space="preserve"> </w:t>
      </w:r>
      <w:r>
        <w:rPr>
          <w:rStyle w:val="VerbatimChar"/>
        </w:rPr>
        <w:t xml:space="preserve">GENE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columns; Bracken contributes via the R/02 merge but is not the carrier for the TPM math.</w:t>
      </w:r>
    </w:p>
    <w:p>
      <w:pPr>
        <w:pStyle w:val="Compact"/>
        <w:numPr>
          <w:ilvl w:val="0"/>
          <w:numId w:val="1003"/>
        </w:numPr>
      </w:pPr>
      <w:r>
        <w:t xml:space="preserve">§2</w:t>
      </w:r>
      <w:r>
        <w:t xml:space="preserve"> </w:t>
      </w:r>
      <w:r>
        <w:t xml:space="preserve">“resistome–virulome–mobilome triad”</w:t>
      </w:r>
      <w:r>
        <w:t xml:space="preserve"> </w:t>
      </w:r>
      <w:r>
        <w:t xml:space="preserve">→</w:t>
      </w:r>
      <w:r>
        <w:t xml:space="preserve"> </w:t>
      </w:r>
      <w:r>
        <w:t xml:space="preserve">“profiling”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§2 utilities sentence deleted;</w:t>
      </w:r>
      <w:r>
        <w:t xml:space="preserve"> </w:t>
      </w:r>
      <w:r>
        <w:t xml:space="preserve">“Shared utilities and Reporting”</w:t>
      </w:r>
      <w:r>
        <w:t xml:space="preserve"> </w:t>
      </w:r>
      <w:r>
        <w:t xml:space="preserve">→</w:t>
      </w:r>
      <w:r>
        <w:t xml:space="preserve"> </w:t>
      </w:r>
      <w:r>
        <w:t xml:space="preserve">“Reporting”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§2 new sentence on</w:t>
      </w:r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r>
        <w:t xml:space="preserve">knob (Benjamini-Hochberg default; full list in</w:t>
      </w:r>
      <w:r>
        <w:t xml:space="preserve"> </w:t>
      </w:r>
      <w:r>
        <w:rPr>
          <w:rStyle w:val="VerbatimChar"/>
        </w:rPr>
        <w:t xml:space="preserve">docs/STATISTICS.md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Quarto deliverable corrected from</w:t>
      </w:r>
      <w:r>
        <w:t xml:space="preserve"> </w:t>
      </w:r>
      <w:r>
        <w:t xml:space="preserve">“HTML report”</w:t>
      </w:r>
      <w:r>
        <w:t xml:space="preserve"> </w:t>
      </w:r>
      <w:r>
        <w:t xml:space="preserve">to</w:t>
      </w:r>
      <w:r>
        <w:t xml:space="preserve"> </w:t>
      </w:r>
      <w:r>
        <w:t xml:space="preserve">“dashboard with per-domain panels”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§3 validation: auto-instrumented per-stage runtime +</w:t>
      </w:r>
      <w:r>
        <w:t xml:space="preserve"> 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scripts/probe_taxid_parse.R</w:t>
      </w:r>
      <w:r>
        <w:t xml:space="preserve"> </w:t>
      </w:r>
      <w:r>
        <w:t xml:space="preserve">now cited; Re-centrifuge column-slicing caveat noted.</w:t>
      </w:r>
    </w:p>
    <w:p>
      <w:pPr>
        <w:pStyle w:val="Compact"/>
        <w:numPr>
          <w:ilvl w:val="0"/>
          <w:numId w:val="1003"/>
        </w:numPr>
      </w:pPr>
      <w:r>
        <w:t xml:space="preserve">§3 Table 1 populated from the 2026-05-31 pipeline.log on both validation cohorts (chicken_batch1 PC_JC_2024-11-29 = 3m 46s; chicken_batch2 JC_FL_2025-05-20 = 6m 32s). Two-batch scaling table chosen over ground-truth-agreement table; agreement column deferred. Memory column intentionally omitted — instrumentation pending.</w:t>
      </w:r>
    </w:p>
    <w:p>
      <w:pPr>
        <w:pStyle w:val="Compact"/>
        <w:numPr>
          <w:ilvl w:val="0"/>
          <w:numId w:val="1003"/>
        </w:numPr>
      </w:pPr>
      <w:r>
        <w:t xml:space="preserve">§3 Table 1 R/14 panels row added as</w:t>
      </w:r>
      <w:r>
        <w:t xml:space="preserve"> </w:t>
      </w:r>
      <w:r>
        <w:rPr>
          <w:rStyle w:val="VerbatimChar"/>
        </w:rPr>
        <w:t xml:space="preserve">{{TODO: re-run}}</w:t>
      </w:r>
      <w:r>
        <w:t xml:space="preserve">; pre-R/14 caveat added to caption.</w:t>
      </w:r>
    </w:p>
    <w:p>
      <w:pPr>
        <w:pStyle w:val="Compact"/>
        <w:numPr>
          <w:ilvl w:val="0"/>
          <w:numId w:val="1003"/>
        </w:numPr>
      </w:pPr>
      <w:r>
        <w:t xml:space="preserve">Funding (Vice-Chancellor scholarship, University of West London) and Conflict of Interest (none declared) filled.</w:t>
      </w:r>
    </w:p>
    <w:p>
      <w:pPr>
        <w:pStyle w:val="Compact"/>
        <w:numPr>
          <w:ilvl w:val="0"/>
          <w:numId w:val="1003"/>
        </w:numPr>
      </w:pPr>
      <w:r>
        <w:t xml:space="preserve">Software references (4, 9, 13, 14, 15, 16, 17) pinned and verified on 2026-06-23 via</w:t>
      </w:r>
      <w:r>
        <w:t xml:space="preserve"> </w:t>
      </w:r>
      <w:r>
        <w:rPr>
          <w:rStyle w:val="VerbatimChar"/>
        </w:rPr>
        <w:t xml:space="preserve">scripts/_collect_citations.R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citation()</w:t>
      </w:r>
      <w:r>
        <w:t xml:space="preserve"> </w:t>
      </w:r>
      <w:r>
        <w:t xml:space="preserve">under the project renv). vegan 2.7-3, ggraph 2.2.2, igraph 2.3.1, networkD3 0.4.1, R 4.5.0. ABRicate (4) and Quarto (13) carry</w:t>
      </w:r>
      <w:r>
        <w:t xml:space="preserve"> </w:t>
      </w:r>
      <w:r>
        <w:rPr>
          <w:rStyle w:val="VerbatimChar"/>
        </w:rPr>
        <w:t xml:space="preserve">(accessed 2026-06-23)</w:t>
      </w:r>
      <w:r>
        <w:t xml:space="preserve"> </w:t>
      </w:r>
      <w:r>
        <w:t xml:space="preserve">since both are software with no DOI. Re-run the helper before submission to refresh access dates and catch any post-update version drift.</w:t>
      </w:r>
    </w:p>
    <w:p>
      <w:pPr>
        <w:pStyle w:val="Compact"/>
        <w:numPr>
          <w:ilvl w:val="0"/>
          <w:numId w:val="1003"/>
        </w:numPr>
      </w:pPr>
      <w:r>
        <w:t xml:space="preserve">Peak-memory instrumentation added to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on 2026-06-23 (gc()-based — same methodology peakRAM uses internally, no extra dep). Each stage now logs</w:t>
      </w:r>
      <w:r>
        <w:t xml:space="preserve"> </w:t>
      </w:r>
      <w:r>
        <w:rPr>
          <w:rStyle w:val="VerbatimChar"/>
        </w:rPr>
        <w:t xml:space="preserve">peak %.0f MB</w:t>
      </w:r>
      <w:r>
        <w:t xml:space="preserve"> </w:t>
      </w:r>
      <w:r>
        <w:t xml:space="preserve">on completion and the slowest-first breakdown gains a peak-MB column. Caveat: only R-managed allocation is captured, so the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stage (which shells out to Quarto) under-reports.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1 fully refreshed 2026-06-23</w:t>
      </w:r>
      <w:r>
        <w:t xml:space="preserve"> </w:t>
      </w:r>
      <w:r>
        <w:t xml:space="preserve">from a single sequential B1+B2 run on the post-instrumentation build (commit</w:t>
      </w:r>
      <w:r>
        <w:t xml:space="preserve"> </w:t>
      </w:r>
      <w:r>
        <w:rPr>
          <w:rStyle w:val="VerbatimChar"/>
        </w:rPr>
        <w:t xml:space="preserve">eee122c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magick</w:t>
      </w:r>
      <w:r>
        <w:t xml:space="preserve">/</w:t>
      </w:r>
      <w:r>
        <w:rPr>
          <w:rStyle w:val="VerbatimChar"/>
        </w:rPr>
        <w:t xml:space="preserve">openxlsx</w:t>
      </w:r>
      <w:r>
        <w:t xml:space="preserve">/</w:t>
      </w:r>
      <w:r>
        <w:rPr>
          <w:rStyle w:val="VerbatimChar"/>
        </w:rPr>
        <w:t xml:space="preserve">zip</w:t>
      </w:r>
      <w:r>
        <w:t xml:space="preserve"> </w:t>
      </w:r>
      <w:r>
        <w:t xml:space="preserve">newly pinned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). B1 = 6m 41s / 1330 MB peak, B2 = 8m 19s / 1505 MB peak; all 15/15 stages complete on both cohorts in one pass each. Restructured the table to 7 columns (Stage | B1 runtime | B1 peak MB | B1 primary output | B2 …); panels (R/14) row and Total row now populated for both cohorts; manifest sizes refreshed (85 kB / 80 kB — the v1.2 contract now catalogues R/14 outputs); narrative paragraph rewritten to cover both percentages (DA 32 % / 40 %, network 13–17 %), the +24 % B1→B2 scaling figure, and the peak-memory profile (gene-element plateau ~1 GB; panels peak at the run maximum; report’s modest 0.6 GB reflects the Quarto subprocess being invisible to in-process gc()). Raw logs at</w:t>
      </w:r>
      <w:r>
        <w:t xml:space="preserve"> </w:t>
      </w:r>
      <w:r>
        <w:rPr>
          <w:rStyle w:val="VerbatimChar"/>
        </w:rPr>
        <w:t xml:space="preserve">scripts/_table1_b1_20260623_182351.log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scripts/_table1_b2_20260623_182351.log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Resistome (sample, GENE) row delta confirmed</w:t>
      </w:r>
      <w:r>
        <w:t xml:space="preserve"> </w:t>
      </w:r>
      <w:r>
        <w:t xml:space="preserve">on 2026-06-23 via</w:t>
      </w:r>
      <w:r>
        <w:t xml:space="preserve"> 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(path fix: hardcoded</w:t>
      </w:r>
      <w:r>
        <w:t xml:space="preserve"> </w:t>
      </w:r>
      <w:r>
        <w:rPr>
          <w:rStyle w:val="VerbatimChar"/>
        </w:rPr>
        <w:t xml:space="preserve">OneDrive/Desktop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). Pipeline = 733 rows, ground truth = 623, net +110; decomposed as 121 rows gained by the R/02 taxid-fix and 11 rows present in the ground truth that the pipeline currently drops (concentrated in plasmid replicons and accessory resistance genes —</w:t>
      </w:r>
      <w:r>
        <w:t xml:space="preserve"> </w:t>
      </w:r>
      <w:r>
        <w:rPr>
          <w:rStyle w:val="VerbatimChar"/>
        </w:rPr>
        <w:t xml:space="preserve">kps*</w:t>
      </w:r>
      <w:r>
        <w:t xml:space="preserve"> </w:t>
      </w:r>
      <w:r>
        <w:t xml:space="preserve">cluster on D21,</w:t>
      </w:r>
      <w:r>
        <w:t xml:space="preserve"> </w:t>
      </w:r>
      <w:r>
        <w:rPr>
          <w:rStyle w:val="VerbatimChar"/>
        </w:rPr>
        <w:t xml:space="preserve">tet(32)</w:t>
      </w:r>
      <w:r>
        <w:t xml:space="preserve">,</w:t>
      </w:r>
      <w:r>
        <w:t xml:space="preserve"> </w:t>
      </w:r>
      <w:r>
        <w:rPr>
          <w:rStyle w:val="VerbatimChar"/>
        </w:rPr>
        <w:t xml:space="preserve">ErmG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Col156_1</w:t>
      </w:r>
      <w:r>
        <w:t xml:space="preserve">,</w:t>
      </w:r>
      <w:r>
        <w:t xml:space="preserve"> </w:t>
      </w:r>
      <w:r>
        <w:rPr>
          <w:rStyle w:val="VerbatimChar"/>
        </w:rPr>
        <w:t xml:space="preserve">mel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senB</w:t>
      </w:r>
      <w:r>
        <w:t xml:space="preserve">, etc.). Jaccard on the</w:t>
      </w:r>
      <w:r>
        <w:t xml:space="preserve"> </w:t>
      </w:r>
      <w:r>
        <w:rPr>
          <w:rStyle w:val="VerbatimChar"/>
        </w:rPr>
        <w:t xml:space="preserve">(sample, GENE)</w:t>
      </w:r>
      <w:r>
        <w:t xml:space="preserve"> </w:t>
      </w:r>
      <w:r>
        <w:t xml:space="preserve">key set = 0.82. The lossy 11 rows are queued for inspection separately — the §3 prose now discloses them honestly rather than claiming a strict superset relationship.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Partial ground-truth agreement scoped</w:t>
      </w:r>
      <w:r>
        <w:t xml:space="preserve"> </w:t>
      </w:r>
      <w:r>
        <w:t xml:space="preserve">on 2026-06-23 via</w:t>
      </w:r>
      <w:r>
        <w:t xml:space="preserve"> </w:t>
      </w:r>
      <w:r>
        <w:rPr>
          <w:rStyle w:val="VerbatimChar"/>
        </w:rPr>
        <w:t xml:space="preserve">scripts/_gt_agreement_probe.R</w:t>
      </w:r>
      <w:r>
        <w:t xml:space="preserve">. The stages with a directly comparable hand-edited artefact and a single-cell agreement metric: clean_data (Jaccard 0.83), resistome (0.82), network gephi nodes/edges vs the most-recent baseline</w:t>
      </w:r>
      <w:r>
        <w:t xml:space="preserve"> </w:t>
      </w:r>
      <w:r>
        <w:rPr>
          <w:rStyle w:val="VerbatimChar"/>
        </w:rPr>
        <w:t xml:space="preserve">gephi_nodes3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gephi_edges3</w:t>
      </w:r>
      <w:r>
        <w:t xml:space="preserve"> </w:t>
      </w:r>
      <w:r>
        <w:t xml:space="preserve">(0.85 / 0.87), alpha_diversity sample-set (1.00). Not enough single-cell metrics to justify a dedicated Table 1 column (load_inputs / normalisation / panels / manifest / report are intermediate-or-new; virulome / mobilome have no GT file); reported inline in the §3 expected-divergence paragraph instead. Per-stage figure-by-figure identity (the third metric the original open item listed) is still open.</w:t>
      </w:r>
    </w:p>
    <w:p>
      <w:pPr>
        <w:pStyle w:val="FirstParagraph"/>
      </w:pPr>
      <w:r>
        <w:t xml:space="preserve">Still open: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{{TODO: ORCIDs for all authors}}</w:t>
      </w:r>
      <w:r>
        <w:t xml:space="preserve"> </w:t>
      </w:r>
      <w:r>
        <w:t xml:space="preserve">— eight ORCIDs to collect.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Lossy 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(sample, GENE)</w:t>
      </w:r>
      <w:r>
        <w:rPr>
          <w:b/>
          <w:bCs/>
        </w:rPr>
        <w:t xml:space="preserve"> </w:t>
      </w:r>
      <w:r>
        <w:rPr>
          <w:b/>
          <w:bCs/>
        </w:rPr>
        <w:t xml:space="preserve">rows in the resistome diff</w:t>
      </w:r>
      <w:r>
        <w:t xml:space="preserve"> </w:t>
      </w:r>
      <w:r>
        <w:t xml:space="preserve">— small but real asymmetry where the ground-truth retained calls the pipeline currently drops. Worth a separate investigation pass (check coverage / identity thresholds in R/02, verify the PlasmidFinder Col-family suffix handling). Not a release blocker but should be characterised before submission.</w:t>
      </w:r>
    </w:p>
    <w:p>
      <w:pPr>
        <w:pStyle w:val="Compact"/>
        <w:numPr>
          <w:ilvl w:val="0"/>
          <w:numId w:val="1004"/>
        </w:numPr>
      </w:pPr>
      <w:r>
        <w:t xml:space="preserve">Per-stage figure-by-figure identity check against the hand-edited PNG/PDFs (the third agreement metric the original open item listed) — needs a separate image-diff pass.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{{TODO: acknowledgements}}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Ref 6b (VFDB foundational citation): optional — if the 2005 founding paper is also desired, add as 6b alongside the current 2022 update.</w:t>
      </w:r>
    </w:p>
    <w:p>
      <w:pPr>
        <w:pStyle w:val="FirstParagraph"/>
      </w:pPr>
      <w:r>
        <w:t xml:space="preserve">Factual claims I was not fully certain about:</w:t>
      </w:r>
    </w:p>
    <w:p>
      <w:pPr>
        <w:pStyle w:val="Compact"/>
        <w:numPr>
          <w:ilvl w:val="0"/>
          <w:numId w:val="1005"/>
        </w:numPr>
      </w:pPr>
      <w:r>
        <w:t xml:space="preserve">The exact upstream tool list cited above (Kraken2 + Bracken + ABRicate + Re-centrifuge + ALDEx2 + vegan + Quarto + R) matches the brief verbatim; CARD, VFDB and PlasmidFinder are pulled from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and cited because they are the databases the ABRicate stage targets.</w:t>
      </w:r>
    </w:p>
    <w:p>
      <w:pPr>
        <w:pStyle w:val="Compact"/>
        <w:numPr>
          <w:ilvl w:val="0"/>
          <w:numId w:val="1005"/>
        </w:numPr>
      </w:pPr>
      <w:r>
        <w:t xml:space="preserve">The pipeline description states</w:t>
      </w:r>
      <w:r>
        <w:t xml:space="preserve"> </w:t>
      </w:r>
      <w:r>
        <w:t xml:space="preserve">“fifteen ordered modules (R/00 through R/14)”</w:t>
      </w:r>
      <w:r>
        <w:t xml:space="preserve"> </w:t>
      </w:r>
      <w:r>
        <w:t xml:space="preserve">— verified against</w:t>
      </w:r>
      <w:r>
        <w:t xml:space="preserve"> </w:t>
      </w:r>
      <w:r>
        <w:rPr>
          <w:rStyle w:val="VerbatimChar"/>
        </w:rPr>
        <w:t xml:space="preserve">R/</w:t>
      </w:r>
      <w:r>
        <w:t xml:space="preserve"> </w:t>
      </w:r>
      <w:r>
        <w:t xml:space="preserve">listing (00–14 inclusive plus six</w:t>
      </w:r>
      <w:r>
        <w:t xml:space="preserve"> </w:t>
      </w:r>
      <w:r>
        <w:rPr>
          <w:rStyle w:val="VerbatimChar"/>
        </w:rPr>
        <w:t xml:space="preserve">utils_*</w:t>
      </w:r>
      <w:r>
        <w:t xml:space="preserve"> </w:t>
      </w:r>
      <w:r>
        <w:t xml:space="preserve">helpers).</w:t>
      </w:r>
    </w:p>
    <w:p>
      <w:pPr>
        <w:pStyle w:val="Compact"/>
        <w:numPr>
          <w:ilvl w:val="0"/>
          <w:numId w:val="1005"/>
        </w:numPr>
      </w:pPr>
      <w:r>
        <w:t xml:space="preserve">R/11 mobilome stage uses</w:t>
      </w:r>
      <w:r>
        <w:t xml:space="preserve"> </w:t>
      </w:r>
      <w:r>
        <w:rPr>
          <w:b/>
          <w:bCs/>
        </w:rPr>
        <w:t xml:space="preserve">PlasmidFinder</w:t>
      </w:r>
      <w:r>
        <w:t xml:space="preserve"> </w:t>
      </w:r>
      <w:r>
        <w:t xml:space="preserve">(confirmed by author). Cited as reference 7 (Carattoli et al. 2014, AAC).</w:t>
      </w:r>
    </w:p>
    <w:p>
      <w:pPr>
        <w:pStyle w:val="Compact"/>
        <w:numPr>
          <w:ilvl w:val="0"/>
          <w:numId w:val="1005"/>
        </w:numPr>
      </w:pPr>
      <w:r>
        <w:t xml:space="preserve">Runtime and peak-memory characteristics refreshed 2026-06-23 from a single sequential B1+B2 run on the post-instrumentation build (commit</w:t>
      </w:r>
      <w:r>
        <w:t xml:space="preserve"> </w:t>
      </w:r>
      <w:r>
        <w:rPr>
          <w:rStyle w:val="VerbatimChar"/>
        </w:rPr>
        <w:t xml:space="preserve">eee122c</w:t>
      </w:r>
      <w:r>
        <w:t xml:space="preserve">); raw logs at</w:t>
      </w:r>
      <w:r>
        <w:t xml:space="preserve"> </w:t>
      </w:r>
      <w:r>
        <w:rPr>
          <w:rStyle w:val="VerbatimChar"/>
        </w:rPr>
        <w:t xml:space="preserve">scripts/_table1_b{1,2}_20260623_182351.log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TPM-normalisation choice is taken from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Stage 03 and confirmed against</w:t>
      </w:r>
      <w:r>
        <w:t xml:space="preserve"> </w:t>
      </w:r>
      <w:r>
        <w:rPr>
          <w:rStyle w:val="VerbatimChar"/>
        </w:rPr>
        <w:t xml:space="preserve">R/03_normalisation.R</w:t>
      </w:r>
      <w:r>
        <w:t xml:space="preserve">: TPM is computed per (sample, GENE) over ABRicate hits, so the dependency is ABRicate (not Bracken as the first draft asserted).</w:t>
      </w:r>
    </w:p>
    <w:p>
      <w:pPr>
        <w:pStyle w:val="Compact"/>
        <w:numPr>
          <w:ilvl w:val="0"/>
          <w:numId w:val="1005"/>
        </w:numPr>
      </w:pPr>
      <w:r>
        <w:t xml:space="preserve">The phrase</w:t>
      </w:r>
      <w:r>
        <w:t xml:space="preserve"> </w:t>
      </w:r>
      <w:r>
        <w:t xml:space="preserve">“approximately 46 hand-edited R scripts”</w:t>
      </w:r>
      <w:r>
        <w:t xml:space="preserve"> </w:t>
      </w:r>
      <w:r>
        <w:t xml:space="preserve">follows the memory snapshot (</w:t>
      </w:r>
      <w:r>
        <w:t xml:space="preserve">“~46”</w:t>
      </w:r>
      <w:r>
        <w:t xml:space="preserve">); confirm the exact figure before submission.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2026-06-23T17:55:55Z</dcterms:created>
  <dcterms:modified xsi:type="dcterms:W3CDTF">2026-06-23T17:55:55Z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