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Libro de cátedra Integración, entrega y despliegue continuo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http://tisten.ir/wp-content/uploads/2019/02/Sander-Rossel-Continuous-Integration-Delivery-and-Deployment-Packt-2017.pdf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(para entender los temas para armar el informe)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https://www.javiergarzas.com/2016/01/devops-continuous-delivery-continuous-deployment-integracion-continua-aclarando-terminos.html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Tesis sobre Integración continua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https://ruidera.uclm.es/xmlui/bitstream/handle/10578/15411/TFG_Julio_Alberto_Fernandez_Guerrero.pdf?sequence=1&amp;isAllowed=y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https://aws.amazon.com/es/devops/continuous-integration/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https://www.javiergarzas.com/2014/09/libro-integracion-continua.html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https://devopsti.wordpress.com/2014/09/26/integracion-continua-ci-entrega-continua-cd-y-despliegue-continuo-cd/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http://www.ambysoft.com/essays/agileTesting.html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https://ocw.unican.es/pluginfile.php/1408/course/section/1805/tema10-comoEstructurarUnInformeTecnico.pdf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https://github.com/UTN-FRC-ISW/informes-tecnicos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Portada.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Glosario de símbolos o términos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técnicos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en caso de que fuese necesario. Por ej. CI (Continuous Integration 8==D exdi)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Un resumen (abstract)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Desarrollo del cuerpo del texto.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La conclusiones y recomendaciones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Los anexos que se necesiten.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http://uttehuacan.edu.mx/media/files/10%20Informe%20Acad%C3%A9mico%20Christian%20Galicia.pdf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http://www.itto.int/files/itto_project_db_input/2122/Technical/INFORME%20TECNICO%20No%201.pdf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http://fing.uncu.edu.ar/catedras/hormigon_i/archivos-varios/Produccion%20de%20informes%20tecnicos%202017.pdf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tamaño de hoja A4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amplios márgenes (a partir de 2,5 cm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Las secciones iniciales (Abstract, Índice, etc.) pueden numerarse con el sistema romano (I, II, III, IV, etc.)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resto de secciones se numera con el sistema arábigo (1, 2, 3, 4, etc.)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opsti.wordpress.com/2014/09/26/integracion-continua-ci-entrega-continua-cd-y-despliegue-continuo-cd/" TargetMode="External"/><Relationship Id="rId10" Type="http://schemas.openxmlformats.org/officeDocument/2006/relationships/hyperlink" Target="https://www.javiergarzas.com/2014/09/libro-integracion-continua.html" TargetMode="External"/><Relationship Id="rId13" Type="http://schemas.openxmlformats.org/officeDocument/2006/relationships/hyperlink" Target="https://ocw.unican.es/pluginfile.php/1408/course/section/1805/tema10-comoEstructurarUnInformeTecnico.pdf" TargetMode="External"/><Relationship Id="rId12" Type="http://schemas.openxmlformats.org/officeDocument/2006/relationships/hyperlink" Target="http://www.ambysoft.com/essays/agileTest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es/devops/continuous-integration/" TargetMode="External"/><Relationship Id="rId15" Type="http://schemas.openxmlformats.org/officeDocument/2006/relationships/hyperlink" Target="http://uttehuacan.edu.mx/media/files/10%20Informe%20Acad%C3%A9mico%20Christian%20Galicia.pdf" TargetMode="External"/><Relationship Id="rId14" Type="http://schemas.openxmlformats.org/officeDocument/2006/relationships/hyperlink" Target="https://github.com/UTN-FRC-ISW/informes-tecnicos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www.itto.int/files/itto_project_db_input/2122/Technical/INFORME%20TECNICO%20No%201.pdf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tisten.ir/wp-content/uploads/2019/02/Sander-Rossel-Continuous-Integration-Delivery-and-Deployment-Packt-2017.pdf" TargetMode="External"/><Relationship Id="rId18" Type="http://schemas.openxmlformats.org/officeDocument/2006/relationships/hyperlink" Target="http://fing.uncu.edu.ar/catedras/hormigon_i/archivos-varios/Produccion%20de%20informes%20tecnicos%202017.pdf" TargetMode="External"/><Relationship Id="rId7" Type="http://schemas.openxmlformats.org/officeDocument/2006/relationships/hyperlink" Target="https://www.javiergarzas.com/2016/01/devops-continuous-delivery-continuous-deployment-integracion-continua-aclarando-terminos.html" TargetMode="External"/><Relationship Id="rId8" Type="http://schemas.openxmlformats.org/officeDocument/2006/relationships/hyperlink" Target="https://ruidera.uclm.es/xmlui/bitstream/handle/10578/15411/TFG_Julio_Alberto_Fernandez_Guerrero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