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SERVICIA</w:t>
            </w:r>
          </w:p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color w:val="BFD4F5"/>
                <w:sz w:val="24"/>
                <w:szCs w:val="24"/>
              </w:rPr>
              <w:t xml:space="preserve">Plataforma de Aseguramiento Contable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44"/>
                <w:sz w:val="20"/>
                <w:szCs w:val="20"/>
              </w:rPr>
              <w:t xml:space="preserve">Documento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Carta de instrucciones operativas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44"/>
                <w:sz w:val="20"/>
                <w:szCs w:val="20"/>
              </w:rPr>
              <w:t xml:space="preserve">Destinatarios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Unidad de Inteligencia (UI) · Área de Contabilidad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44"/>
                <w:sz w:val="20"/>
                <w:szCs w:val="20"/>
              </w:rPr>
              <w:t xml:space="preserve">Emitido por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Dirección General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44"/>
                <w:sz w:val="20"/>
                <w:szCs w:val="20"/>
              </w:rPr>
              <w:t xml:space="preserve">Vigencia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 partir de la fecha de distribución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44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Servicia · Módulo de Aseguramiento Contable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0"/>
              <w:bottom w:val="none" w:color="FFFFFF" w:sz="0"/>
              <w:right w:val="none" w:color="FFFFFF" w:sz="0"/>
            </w:tcBorders>
            <w:shd w:fill="D6E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2"/>
                <w:szCs w:val="22"/>
              </w:rPr>
              <w:t xml:space="preserve">Propósito de este documento</w:t>
            </w:r>
          </w:p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Este documento establece con precisión las responsabilidades, acciones y flujos de trabajo que deben seguir el equipo de Unidad de Inteligencia (UI) y el área de Contabilidad dentro de la plataforma Servicia de aseguramiento contable. El objetivo es que cada operación relevante quede completamente documentada, trazada y conciliada, de modo que cualquier revisión interna o auditoría pueda verificar en minutos que la operación fue real, legal y bien controlada.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Unidad de Inteligencia (UI)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Responsable de la evidencia operativa y la gestión de entregables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La Unidad de Inteligencia es el área responsable de construir y mantener el expediente operativo de cada folio SINGA. Su trabajo es la columna vertebral de la materialización: sin la evidencia que genera el equipo de UI, no existe sustento para la factura ni para el pago.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B0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A.1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Registro de folios SINGA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Acción inmediata al recibir un nuevo folio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Al recibir un nuevo folio de SINGA, el responsable de UI debe: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Ingresar a la plataforma Servicia → sección Entregables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Registrar el folio SINGA con los datos completos: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Número de folio exacto (ej. #17172)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Proveedor vinculado (solo de la lista autorizada por Dirección)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Tipo de proveedor: Outsourcing / Materiales / Servicios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Nombre del responsable de comunicación con el proveedor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Monto del contrato o presupuesto SINGA correspondiente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Verificar que el proveedor ya tiene cuenta bancaria autorizada en el sistema. Si no la tiene, notificar a Dirección antes de proceder.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El sistema generará automáticamente el checklist de entregables correspondiente según el tipo de proveedor. Revisar que sea correcto.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B0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A.2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Entregables a gestionar por tipo de proveedor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Responsabilidad exclusiva de UI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 todos los casos, sin excepción, UI debe obtener y subir a la plataforma: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Orden de compra firmada y aprobada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Contrato o acuerdo de servicio vigente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Nombre y cargo del responsable de comunicación con el proveedor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Correos o comunicaciones formales relevantes del período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Adicionalmente, según el tipo de proveedor: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Outsourcing / Limpieza / Facility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Lista de personal asignado por sitio (nombre, puesto, sitio)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Turnos y horarios documentados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Listas de asistencia firmadas (diarias o semanales)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Bitácoras operativas firmadas por supervisor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Evidencia fotográfica periódica del servicio en sitio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Supervisión documentada (checklist de supervisor)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Relación de insumos y materiales utilizados en el período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1B1B" w:sz="16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91B1B"/>
                <w:sz w:val="20"/>
                <w:szCs w:val="20"/>
              </w:rPr>
              <w:t xml:space="preserve">Riesgo: servicio facturado sin evidencia operativa diaria. El SAT considera esto operación simulada.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Materiales / Insumos (Sumco o similares)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Fotos de los materiales recibidos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Acuse de recepción de mercancía firmado por quien recibe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Registro de inventario actualizado (entradas y salidas)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Evidencia de entrega al cliente o sitio final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1B1B" w:sz="16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91B1B"/>
                <w:sz w:val="20"/>
                <w:szCs w:val="20"/>
              </w:rPr>
              <w:t xml:space="preserve">Riesgo: compras sin trazabilidad física. El SAT exige que el bien pueda ser rastreado.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Servicios / OaaS (Servicia)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Definición de procesos operados en el período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Reportes de operación con KPIs medibles por período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Evidencia de intervención: logs, tickets, reportes de trabajo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Resultados documentados: ahorros, eficiencias, SLAs cumplidos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Acta de entrega-recepción mensual o por hito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1B1B" w:sz="16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91B1B"/>
                <w:sz w:val="20"/>
                <w:szCs w:val="20"/>
              </w:rPr>
              <w:t xml:space="preserve">Riesgo: servicios intangibles sin evidencia. Alto riesgo de ser calificados como simulados.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B0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A.3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Plazos de cumplimiento para UI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Criterio de KPI para el equipo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Plazo máximo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 asociado</w:t>
            </w:r>
          </w:p>
        </w:tc>
      </w:tr>
      <w:tr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Registrar folio SINGA en la plataforma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4F8A"/>
                <w:sz w:val="19"/>
                <w:szCs w:val="19"/>
              </w:rPr>
              <w:t xml:space="preserve">Mismo día de apertura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% registros en tiempo</w:t>
            </w:r>
          </w:p>
        </w:tc>
      </w:tr>
      <w:tr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Subir orden de compra y contrato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4F8A"/>
                <w:sz w:val="19"/>
                <w:szCs w:val="19"/>
              </w:rPr>
              <w:t xml:space="preserve">48 horas de iniciado el servicio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% OC y contratos subidos</w:t>
            </w:r>
          </w:p>
        </w:tc>
      </w:tr>
      <w:tr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Subir evidencia operativa del período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4F8A"/>
                <w:sz w:val="19"/>
                <w:szCs w:val="19"/>
              </w:rPr>
              <w:t xml:space="preserve">Antes del corte mensual (día 25)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% expedientes completos</w:t>
            </w:r>
          </w:p>
        </w:tc>
      </w:tr>
      <w:tr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Subir listas de asistencia / bitácoras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4F8A"/>
                <w:sz w:val="19"/>
                <w:szCs w:val="19"/>
              </w:rPr>
              <w:t xml:space="preserve">Máximo 5 días hábiles del período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% asistencias capturadas</w:t>
            </w:r>
          </w:p>
        </w:tc>
      </w:tr>
      <w:tr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Subir fotos y evidencia fotográfica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4F8A"/>
                <w:sz w:val="19"/>
                <w:szCs w:val="19"/>
              </w:rPr>
              <w:t xml:space="preserve">Máximo 5 días hábiles del período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% fotos subidas</w:t>
            </w:r>
          </w:p>
        </w:tc>
      </w:tr>
      <w:tr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Comunicaciones relevantes del mes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4F8A"/>
                <w:sz w:val="19"/>
                <w:szCs w:val="19"/>
              </w:rPr>
              <w:t xml:space="preserve">Antes del cierre mensual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% comunicaciones registradas</w:t>
            </w:r>
          </w:p>
        </w:tc>
      </w:tr>
      <w:tr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Marcar folio como listo para revisión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4F8A"/>
                <w:sz w:val="19"/>
                <w:szCs w:val="19"/>
              </w:rPr>
              <w:t xml:space="preserve">Día 27 de cada mes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% folios enviados a revisión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B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Área de Contabilidad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Responsable de la validación fiscal, conciliación y auditoría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El área de Contabilidad actúa como el segundo nivel de control: valida que lo que hizo UI esté completo y que la cadena CFDI–banco–contabilidad cierre sin diferencias. Sus KPIs son independientes de los de UI y se miden por separado en la plataforma.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B63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B.1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B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Validación de proveedores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Antes de cualquier pago — sin excepción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Antes de que Tesorería pueda registrar un traspaso bancario en la plataforma, Contabilidad debe haber completado los siguientes pasos para ese proveedor: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Obtener la Opinión de Cumplimiento SAT del proveedor y subirla a la plataforma en la sección de Entregables (etiqueta: Contabilidad)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Verificar que el proveedor NO aparezca en la lista de EFOS (Empresas que Facturan Operaciones Simuladas) en el portal del SAT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Revisar que la actividad económica del proveedor en su constancia fiscal sea congruente con el servicio que presta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Confirmar que el RFC del proveedor coincide con el registrado en la cuenta bancaria autorizada en la plataforma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Registrar en la plataforma la fecha de vencimiento de la opinión de cumplimiento para que el sistema genere alertas de renovación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91B1B" w:sz="2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Regla crítica: No se puede pagar a un proveedor cuya Opinión de Cumplimiento no esté cargada en la plataforma y vigente. Pagar a un EFOS invalida automáticamente la deducción y genera responsabilidad solidaria para la empresa.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B63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B.2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B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Gestión de CFDIs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Control total de facturación emitida y recibida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Mensualmente, Contabilidad debe realizar en la plataforma las siguientes acciones sobre los CFDIs: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Subir o vincular los CFDIs emitidos (XML + PDF) a cada folio SINGA correspondiente en la sección 04_Facturación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Validar que el uso del CFDI, objeto de impuesto y régimen fiscal sean correctos para cada operación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Verificar que no existan CFDIs emitidos sin folio SINGA asociado (ingreso no registrado)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Registrar cualquier cancelación de CFDI con su motivo documentado y el soporte correspondiente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Generar el reporte mensual de relación de facturas y subirlo a la plataforma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B63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B.3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B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Conciliación bancaria inteligente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Uso del módulo de Auditoría IA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El módulo de Auditoría IA de la plataforma permite cruzar automáticamente el estado de cuenta bancario con los folios SINGA registrados. El proceso mensual es: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Al cierre de cada mes (día 28-30), descargar el estado de cuenta bancario de Banorte y BBVA en formato PDF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Ingresar a la plataforma → Auditoría IA → subir el PDF del estado de cuenta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El sistema cruzará automáticamente cada depósito y retiro contra los folios SINGA y sus montos registrados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Revisar los resultados de conciliación e identificar las alertas generadas por el sistema: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Depósitos sin folio SINGA: deben ser investigados y explicados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Montos que exceden el presupuesto SINGA autorizado: requieren autorización expresa de Dirección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Movimientos a cuentas no autorizadas en la plataforma: alerta crítica, reportar de inmediato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Para cada alerta generada por el sistema, Contabilidad debe documentar en la plataforma la causa y la acción tomada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Cargar el presupuesto mensual por folio en Configuración → Conexión SINGA (Excel con columnas: Folio | Proveedor | Presupuesto autorizado | Período) antes del día 5 de cada mes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B63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B.4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B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Conciliaciones críticas mensuales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Cierre contable — tres cruces obligatorios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Contabilidad debe realizar y documentar en la plataforma los siguientes tres cruces de conciliación antes del cierre mensual: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80"/>
        <w:gridCol w:w="258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Conciliación</w:t>
            </w:r>
          </w:p>
        </w:tc>
        <w:tc>
          <w:tcPr>
            <w:tcW w:type="dxa" w:w="37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se cruza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 en plataforma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Bancos vs CFDIs vs Contabilidad</w:t>
            </w:r>
          </w:p>
        </w:tc>
        <w:tc>
          <w:tcPr>
            <w:tcW w:type="dxa" w:w="37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depósito y retiro debe tener CFDI y asiento contable correspondiente. Sin diferencias.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4F8A"/>
                <w:sz w:val="19"/>
                <w:szCs w:val="19"/>
              </w:rPr>
              <w:t xml:space="preserve">Reporte de conciliación IA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IVA acreditable vs IVA trasladado</w:t>
            </w:r>
          </w:p>
        </w:tc>
        <w:tc>
          <w:tcPr>
            <w:tcW w:type="dxa" w:w="37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IVA de facturas recibidas (acreditable) debe estar correctamente aplicado contra el IVA cobrado (trasladado).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4F8A"/>
                <w:sz w:val="19"/>
                <w:szCs w:val="19"/>
              </w:rPr>
              <w:t xml:space="preserve">Reporte fiscal mensual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Nómina vs IMSS vs CFDIs de nómina</w:t>
            </w:r>
          </w:p>
        </w:tc>
        <w:tc>
          <w:tcPr>
            <w:tcW w:type="dxa" w:w="37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CFDIs de nómina emitidos deben coincidir con los pagos al IMSS (SUA) y con la nómina contabilizada.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4F8A"/>
                <w:sz w:val="19"/>
                <w:szCs w:val="19"/>
              </w:rPr>
              <w:t xml:space="preserve">Constancias SUA + relación nómina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B63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B.5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B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Reporte mensual para Dirección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Entrega obligatoria antes del día 5 del mes siguiente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Contabilidad es responsable de preparar y subir a la plataforma el reporte mensual de Dirección, que debe incluir: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Resumen ejecutivo: ingresos facturados, IVA trasladado vs acreditable, ISR estimado, impuestos pagados, flujo neto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Semáforo de riesgo actualizado con los indicadores del módulo de Auditoría 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Alertas SAT potenciales identificadas en el mes: diferencias CFDI vs banco, márgenes fuera de rango, operaciones sin soporte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Estado de proveedores: total activos, % con opinión positiva vigente, alertas EFOS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Estado de materialización: % de expedientes completos, operaciones críticas sin evidencia, top 3 riesgos del mes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Recomendaciones accionables con responsable y fecha de resolución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B63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B.6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B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Plazos de cumplimiento para Contabilidad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Criterio de KPI del área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Plazo máximo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 asociado</w:t>
            </w:r>
          </w:p>
        </w:tc>
      </w:tr>
      <w:tr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Subir opinión SAT antes de autorizar pago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4F8A"/>
                <w:sz w:val="19"/>
                <w:szCs w:val="19"/>
              </w:rPr>
              <w:t xml:space="preserve">Previo al traspaso bancario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% opiniones subidas antes del pago</w:t>
            </w:r>
          </w:p>
        </w:tc>
      </w:tr>
      <w:tr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Subir Excel de presupuestos SINGA al sistema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4F8A"/>
                <w:sz w:val="19"/>
                <w:szCs w:val="19"/>
              </w:rPr>
              <w:t xml:space="preserve">Día 5 de cada mes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% meses con presupuesto cargado</w:t>
            </w:r>
          </w:p>
        </w:tc>
      </w:tr>
      <w:tr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Correr conciliación bancaria IA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4F8A"/>
                <w:sz w:val="19"/>
                <w:szCs w:val="19"/>
              </w:rPr>
              <w:t xml:space="preserve">Días 28–30 de cada mes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% conciliaciones ejecutadas</w:t>
            </w:r>
          </w:p>
        </w:tc>
      </w:tr>
      <w:tr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Documentar y resolver alertas IA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4F8A"/>
                <w:sz w:val="19"/>
                <w:szCs w:val="19"/>
              </w:rPr>
              <w:t xml:space="preserve">5 días hábiles de generada la alerta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% alertas resueltas en plazo</w:t>
            </w:r>
          </w:p>
        </w:tc>
      </w:tr>
      <w:tr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Vincular CFDIs a folios SINGA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4F8A"/>
                <w:sz w:val="19"/>
                <w:szCs w:val="19"/>
              </w:rPr>
              <w:t xml:space="preserve">Máximo 3 días de emitido el CFDI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% CFDIs vinculados en tiempo</w:t>
            </w:r>
          </w:p>
        </w:tc>
      </w:tr>
      <w:tr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Entregar reporte mensual a Dirección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4F8A"/>
                <w:sz w:val="19"/>
                <w:szCs w:val="19"/>
              </w:rPr>
              <w:t xml:space="preserve">Día 5 del mes siguiente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% reportes entregados a tiempo</w:t>
            </w:r>
          </w:p>
        </w:tc>
      </w:tr>
      <w:tr>
        <w:tc>
          <w:tcPr>
            <w:tcW w:type="dxa" w:w="5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Verificar proveedores en lista EFOS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4F8A"/>
                <w:sz w:val="19"/>
                <w:szCs w:val="19"/>
              </w:rPr>
              <w:t xml:space="preserve">Antes de cada primer pago al proveedor</w:t>
            </w:r>
          </w:p>
        </w:tc>
        <w:tc>
          <w:tcPr>
            <w:tcW w:type="dxa" w:w="2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% proveedores verificados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C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Flujo compartido UI + Contabilidad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Cómo se coordinan ambas áreas en la plataforma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El siguiente flujo muestra el orden en que UI y Contabilidad deben actuar sobre cada folio SINGA. Ningún paso puede saltarse: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200"/>
        <w:gridCol w:w="4600"/>
        <w:gridCol w:w="3000"/>
      </w:tblGrid>
      <w:t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20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4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 en la plataforma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Desbloquea</w:t>
            </w:r>
          </w:p>
        </w:tc>
      </w:tr>
      <w:t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DE9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UI</w:t>
            </w:r>
          </w:p>
        </w:tc>
        <w:tc>
          <w:tcPr>
            <w:tcW w:type="dxa" w:w="4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DE9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folio SINGA con proveedor, tipo y responsable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DE9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8"/>
                <w:szCs w:val="18"/>
              </w:rPr>
              <w:t xml:space="preserve">Apertura del expediente</w:t>
            </w:r>
          </w:p>
        </w:tc>
      </w:tr>
      <w:t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Contab.</w:t>
            </w:r>
          </w:p>
        </w:tc>
        <w:tc>
          <w:tcPr>
            <w:tcW w:type="dxa" w:w="4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Verificar proveedor en SAT y subir Opinión de Cumplimiento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8"/>
                <w:szCs w:val="18"/>
              </w:rPr>
              <w:t xml:space="preserve">Autorización de la cuenta bancaria para traspaso</w:t>
            </w:r>
          </w:p>
        </w:tc>
      </w:tr>
      <w:t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DE9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UI</w:t>
            </w:r>
          </w:p>
        </w:tc>
        <w:tc>
          <w:tcPr>
            <w:tcW w:type="dxa" w:w="4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DE9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Subir entregables operativos según tipo de proveedor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DE9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8"/>
                <w:szCs w:val="18"/>
              </w:rPr>
              <w:t xml:space="preserve">El expediente avanza de 'Pendiente' a 'En proceso'</w:t>
            </w:r>
          </w:p>
        </w:tc>
      </w:tr>
      <w:t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00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7E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5000"/>
                <w:sz w:val="19"/>
                <w:szCs w:val="19"/>
              </w:rPr>
              <w:t xml:space="preserve">Tesorería</w:t>
            </w:r>
          </w:p>
        </w:tc>
        <w:tc>
          <w:tcPr>
            <w:tcW w:type="dxa" w:w="4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7E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traspaso bancario con folio bancario (SPEI)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7E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8"/>
                <w:szCs w:val="18"/>
              </w:rPr>
              <w:t xml:space="preserve">Conciliación automática del monto</w:t>
            </w:r>
          </w:p>
        </w:tc>
      </w:tr>
      <w:t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Contab.</w:t>
            </w:r>
          </w:p>
        </w:tc>
        <w:tc>
          <w:tcPr>
            <w:tcW w:type="dxa" w:w="4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Vincular CFDI al folio y validar monto vs presupuesto SINGA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8"/>
                <w:szCs w:val="18"/>
              </w:rPr>
              <w:t xml:space="preserve">El sistema verifica que no exceda el presupuesto autorizado</w:t>
            </w:r>
          </w:p>
        </w:tc>
      </w:tr>
      <w:t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Contab.</w:t>
            </w:r>
          </w:p>
        </w:tc>
        <w:tc>
          <w:tcPr>
            <w:tcW w:type="dxa" w:w="4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Correr conciliación IA con estado de cuenta PDF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8"/>
                <w:szCs w:val="18"/>
              </w:rPr>
              <w:t xml:space="preserve">El semáforo del Dashboard se actualiza automáticamente</w:t>
            </w:r>
          </w:p>
        </w:tc>
      </w:tr>
      <w:t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7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DE9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UI</w:t>
            </w:r>
          </w:p>
        </w:tc>
        <w:tc>
          <w:tcPr>
            <w:tcW w:type="dxa" w:w="4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DE9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Confirmar que todos los entregables están completos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DE9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8"/>
                <w:szCs w:val="18"/>
              </w:rPr>
              <w:t xml:space="preserve">El folio puede marcarse como 'Listo para cierre'</w:t>
            </w:r>
          </w:p>
        </w:tc>
      </w:tr>
      <w:t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2"/>
                <w:szCs w:val="22"/>
              </w:rPr>
              <w:t xml:space="preserve">8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Contab.</w:t>
            </w:r>
          </w:p>
        </w:tc>
        <w:tc>
          <w:tcPr>
            <w:tcW w:type="dxa" w:w="4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y aprobar el expediente completo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8"/>
                <w:szCs w:val="18"/>
              </w:rPr>
              <w:t xml:space="preserve">El folio se marca 'Cerrado ✓' en la plataforma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D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Reglas absolutas — sin excepciones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Aplicables a ambas áreas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91B1B" w:sz="2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 se registra ningún folio sin el número de SINGA correspondiente.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 se puede traspasar dinero a una cuenta que no esté autorizada por Dirección en la plataforma.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 se emite ni se paga ninguna factura sin contrato firmado previo.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 se deduce ningún gasto sin materialización completa del servicio en la plataforma.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 se paga a ningún proveedor sin Opinión de Cumplimiento SAT vigente y cargada.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Todo debe estar conciliado: Banco ↔ CFDI ↔ Contabilidad ↔ Folio SINGA.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Cualquier diferencia entre el depósito y el presupuesto SINGA requiere autorización escrita de Dirección antes de proceder.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Las alertas generadas por el módulo de IA deben resolverse en máximo 5 días hábiles.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E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Acuse de recibo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Firma de conformidad de ambas áreas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Unidad de Inteligencia (UI)</w:t>
            </w:r>
          </w:p>
          <w:p>
            <w:pPr>
              <w:spacing w:before="200" w:after="60"/>
              <w:jc w:val="center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_________________________________</w:t>
            </w:r>
          </w:p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8"/>
                <w:szCs w:val="18"/>
              </w:rPr>
              <w:t xml:space="preserve">Nombre y firma del responsable de área</w:t>
            </w:r>
          </w:p>
          <w:p>
            <w:pPr>
              <w:spacing w:before="80" w:after="0"/>
              <w:jc w:val="center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Fecha: 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2"/>
                <w:szCs w:val="22"/>
              </w:rPr>
              <w:t xml:space="preserve">Área de Contabilidad</w:t>
            </w:r>
          </w:p>
          <w:p>
            <w:pPr>
              <w:spacing w:before="200" w:after="60"/>
              <w:jc w:val="center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_________________________________</w:t>
            </w:r>
          </w:p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8"/>
                <w:szCs w:val="18"/>
              </w:rPr>
              <w:t xml:space="preserve">Nombre y firma del responsable de área</w:t>
            </w:r>
          </w:p>
          <w:p>
            <w:pPr>
              <w:spacing w:before="80" w:after="0"/>
              <w:jc w:val="center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Fecha: ______________________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0"/>
        <w:jc w:val="center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Este documento es de uso interno y confidencial. Servicia · Aseguramiento Contable.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2026-03-27T05:15:57.943Z</dcterms:created>
  <dcterms:modified xsi:type="dcterms:W3CDTF">2026-03-27T05:15:57.943Z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