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26"/>
        </w:rPr>
        <w:t>INSTRUMENTO DE EVIDENCIA Y CALIFICACIÓN ACADÉMICA</w:t>
        <w:br/>
        <w:t>LABORATORIO 04: PLANIFICACIÓN CON MOVEIT 2 Y EJECUCIÓN SUPERVISADA DEL KINOVA GEN3 SOBRE LA ESCENA DE BURGER_DESCRIPTION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D9EAF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Documento Único de Entrega y Evaluación ABET. Asociado a education/guias_laboratorio/GUIA_LAB_04_MOVEIT2_EJECUCION_SEGURA.docx.</w:t>
              <w:br/>
              <w:t>Este documento reúne la entrega integral del equipo: registro de evidencias, tablas de datos experimentales diligenciadas en el laboratorio, respuestas al cuestionario de análisis técnico, Anexo A de comprobación individual y las rúbricas analíticas para la calificación docente y la consolidación ABET.</w:t>
            </w:r>
          </w:p>
        </w:tc>
      </w:tr>
    </w:tbl>
    <w:p>
      <w:pPr>
        <w:pStyle w:val="Heading1"/>
        <w:spacing w:before="160" w:after="60"/>
      </w:pPr>
      <w:r>
        <w:rPr>
          <w:rFonts w:ascii="Arial" w:hAnsi="Arial"/>
          <w:color w:val="1F4E79"/>
        </w:rPr>
        <w:t>1. Identificación y Control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50"/>
        <w:gridCol w:w="5771"/>
      </w:tblGrid>
      <w:tr>
        <w:tc>
          <w:tcPr>
            <w:tcW w:type="dxa" w:w="4150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Campo</w:t>
            </w:r>
          </w:p>
        </w:tc>
        <w:tc>
          <w:tcPr>
            <w:tcW w:type="dxa" w:w="5771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Registro Oficial</w:t>
            </w:r>
          </w:p>
        </w:tc>
      </w:tr>
      <w:tr>
        <w:tc>
          <w:tcPr>
            <w:tcW w:type="dxa" w:w="41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Programa Académico</w:t>
            </w:r>
          </w:p>
        </w:tc>
        <w:tc>
          <w:tcPr>
            <w:tcW w:type="dxa" w:w="577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Ingeniería Mecatrónica</w:t>
            </w:r>
          </w:p>
        </w:tc>
      </w:tr>
      <w:tr>
        <w:tc>
          <w:tcPr>
            <w:tcW w:type="dxa" w:w="415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Asignatura</w:t>
            </w:r>
          </w:p>
        </w:tc>
        <w:tc>
          <w:tcPr>
            <w:tcW w:type="dxa" w:w="577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ROBOT OPERATING SYSTEM - ROS</w:t>
            </w:r>
          </w:p>
        </w:tc>
      </w:tr>
      <w:tr>
        <w:tc>
          <w:tcPr>
            <w:tcW w:type="dxa" w:w="41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Periodo Académico</w:t>
            </w:r>
          </w:p>
        </w:tc>
        <w:tc>
          <w:tcPr>
            <w:tcW w:type="dxa" w:w="577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2026-2</w:t>
            </w:r>
          </w:p>
        </w:tc>
      </w:tr>
      <w:tr>
        <w:tc>
          <w:tcPr>
            <w:tcW w:type="dxa" w:w="415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Corte / Instrumento</w:t>
            </w:r>
          </w:p>
        </w:tc>
        <w:tc>
          <w:tcPr>
            <w:tcW w:type="dxa" w:w="577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Tercer Corte / Laboratorios y evidencias experimentales</w:t>
            </w:r>
          </w:p>
        </w:tc>
      </w:tr>
      <w:tr>
        <w:tc>
          <w:tcPr>
            <w:tcW w:type="dxa" w:w="41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Actividad Evaluada</w:t>
            </w:r>
          </w:p>
        </w:tc>
        <w:tc>
          <w:tcPr>
            <w:tcW w:type="dxa" w:w="577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Laboratorio 04 — Planificación con MoveIt 2 y ejecución supervisada del Kinova Gen3 sobre la escena de burger_description</w:t>
            </w:r>
          </w:p>
        </w:tc>
      </w:tr>
      <w:tr>
        <w:tc>
          <w:tcPr>
            <w:tcW w:type="dxa" w:w="415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Número de Grupo / Subgrupo</w:t>
            </w:r>
          </w:p>
        </w:tc>
        <w:tc>
          <w:tcPr>
            <w:tcW w:type="dxa" w:w="577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41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Estudiante 1 (Nombre y Código)</w:t>
            </w:r>
          </w:p>
        </w:tc>
        <w:tc>
          <w:tcPr>
            <w:tcW w:type="dxa" w:w="577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415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Estudiante 2 (Nombre y Código)</w:t>
            </w:r>
          </w:p>
        </w:tc>
        <w:tc>
          <w:tcPr>
            <w:tcW w:type="dxa" w:w="577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41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Estudiante 3 (si aplica)</w:t>
            </w:r>
          </w:p>
        </w:tc>
        <w:tc>
          <w:tcPr>
            <w:tcW w:type="dxa" w:w="577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415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Grupo (eqNN) y ROS_DOMAIN_ID de las Fases 0 a 5</w:t>
            </w:r>
          </w:p>
        </w:tc>
        <w:tc>
          <w:tcPr>
            <w:tcW w:type="dxa" w:w="577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eq____      ROS_DOMAIN_ID = ______</w:t>
            </w:r>
          </w:p>
        </w:tc>
      </w:tr>
      <w:tr>
        <w:tc>
          <w:tcPr>
            <w:tcW w:type="dxa" w:w="41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Rol del Equipo en la Fase 6</w:t>
            </w:r>
          </w:p>
        </w:tc>
        <w:tc>
          <w:tcPr>
            <w:tcW w:type="dxa" w:w="577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Grupo en turno ☐      Grupo anfitrión ☐</w:t>
            </w:r>
          </w:p>
        </w:tc>
      </w:tr>
      <w:tr>
        <w:tc>
          <w:tcPr>
            <w:tcW w:type="dxa" w:w="415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Repositorio y Commit Evaluado (SHA)</w:t>
            </w:r>
          </w:p>
        </w:tc>
        <w:tc>
          <w:tcPr>
            <w:tcW w:type="dxa" w:w="577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41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Nombre del Archivo de Entrega</w:t>
            </w:r>
          </w:p>
        </w:tc>
        <w:tc>
          <w:tcPr>
            <w:tcW w:type="dxa" w:w="577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C3_L04_G&lt;grupo&gt;_&lt;codigo1&gt;_&lt;codigo2&gt;_v1.docx</w:t>
            </w:r>
          </w:p>
        </w:tc>
      </w:tr>
      <w:tr>
        <w:tc>
          <w:tcPr>
            <w:tcW w:type="dxa" w:w="415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Anexos Obligatorios del Envío</w:t>
            </w:r>
          </w:p>
        </w:tc>
        <w:tc>
          <w:tcPr>
            <w:tcW w:type="dxa" w:w="577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seco.jsonl, fake.jsonl, real.jsonl, metas_eqNN.yaml y la salida de ros2 bag info lab04_eqNN_real</w:t>
            </w:r>
          </w:p>
        </w:tc>
      </w:tr>
      <w:tr>
        <w:tc>
          <w:tcPr>
            <w:tcW w:type="dxa" w:w="41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Fecha de Realización en Laboratorio</w:t>
            </w:r>
          </w:p>
        </w:tc>
        <w:tc>
          <w:tcPr>
            <w:tcW w:type="dxa" w:w="577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415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Fecha de Entrega del Documento</w:t>
            </w:r>
          </w:p>
        </w:tc>
        <w:tc>
          <w:tcPr>
            <w:tcW w:type="dxa" w:w="577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41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Docente Evaluador</w:t>
            </w:r>
          </w:p>
        </w:tc>
        <w:tc>
          <w:tcPr>
            <w:tcW w:type="dxa" w:w="577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Ing. Henry Roncancio</w:t>
            </w:r>
          </w:p>
        </w:tc>
      </w:tr>
      <w:tr>
        <w:tc>
          <w:tcPr>
            <w:tcW w:type="dxa" w:w="415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Versión del Instrumento</w:t>
            </w:r>
          </w:p>
        </w:tc>
        <w:tc>
          <w:tcPr>
            <w:tcW w:type="dxa" w:w="577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Versión 1.0 (2026-2)</w:t>
            </w:r>
          </w:p>
        </w:tc>
      </w:tr>
      <w:tr>
        <w:tc>
          <w:tcPr>
            <w:tcW w:type="dxa" w:w="41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Unidad de Análisis / Captura</w:t>
            </w:r>
          </w:p>
        </w:tc>
        <w:tc>
          <w:tcPr>
            <w:tcW w:type="dxa" w:w="577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Equipo colaborativo con comprobación individual (Anexo A)</w:t>
            </w:r>
          </w:p>
        </w:tc>
      </w:tr>
    </w:tbl>
    <w:p>
      <w:pPr>
        <w:pStyle w:val="Heading1"/>
        <w:spacing w:before="160" w:after="60"/>
      </w:pPr>
      <w:r>
        <w:rPr>
          <w:rFonts w:ascii="Arial" w:hAnsi="Arial"/>
          <w:color w:val="1F4E79"/>
        </w:rPr>
        <w:t>2. Parámetros de Assessment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41"/>
        <w:gridCol w:w="6780"/>
      </w:tblGrid>
      <w:tr>
        <w:tc>
          <w:tcPr>
            <w:tcW w:type="dxa" w:w="3141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Parámetro</w:t>
            </w:r>
          </w:p>
        </w:tc>
        <w:tc>
          <w:tcPr>
            <w:tcW w:type="dxa" w:w="6780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Regla Institucional y Metodológica Adoptada</w:t>
            </w:r>
          </w:p>
        </w:tc>
      </w:tr>
      <w:tr>
        <w:tc>
          <w:tcPr>
            <w:tcW w:type="dxa" w:w="314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Población o cohorte</w:t>
            </w:r>
          </w:p>
        </w:tc>
        <w:tc>
          <w:tcPr>
            <w:tcW w:type="dxa" w:w="678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Censo completo de estudiantes matriculados que presentan el Laboratorio 04 en el periodo 2026-2.</w:t>
            </w:r>
          </w:p>
        </w:tc>
      </w:tr>
      <w:tr>
        <w:tc>
          <w:tcPr>
            <w:tcW w:type="dxa" w:w="314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Momento de medición</w:t>
            </w:r>
          </w:p>
        </w:tc>
        <w:tc>
          <w:tcPr>
            <w:tcW w:type="dxa" w:w="678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Sesión experimental presencial (Fases 0 a 5 con driver fake en el dominio del grupo, Fase 6 con el robot real por turnos) y entrega documental única con tablas llenas, registros .jsonl y la bolsa de la Fase 6.</w:t>
            </w:r>
          </w:p>
        </w:tc>
      </w:tr>
      <w:tr>
        <w:tc>
          <w:tcPr>
            <w:tcW w:type="dxa" w:w="314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Evaluador</w:t>
            </w:r>
          </w:p>
        </w:tc>
        <w:tc>
          <w:tcPr>
            <w:tcW w:type="dxa" w:w="678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Docente titular de la asignatura ROBOT OPERATING SYSTEM - ROS.</w:t>
            </w:r>
          </w:p>
        </w:tc>
      </w:tr>
      <w:tr>
        <w:tc>
          <w:tcPr>
            <w:tcW w:type="dxa" w:w="314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Umbral individual de logro</w:t>
            </w:r>
          </w:p>
        </w:tc>
        <w:tc>
          <w:tcPr>
            <w:tcW w:type="dxa" w:w="678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Nivel N3 o superior (puntaje mínimo de 300 sobre 500) en cada uno de los indicadores de desempeño evaluados.</w:t>
            </w:r>
          </w:p>
        </w:tc>
      </w:tr>
      <w:tr>
        <w:tc>
          <w:tcPr>
            <w:tcW w:type="dxa" w:w="314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Meta de cohorte</w:t>
            </w:r>
          </w:p>
        </w:tc>
        <w:tc>
          <w:tcPr>
            <w:tcW w:type="dxa" w:w="678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Al menos el 70% de los estudiantes evaluables debe alcanzar el nivel N3 o superior en cada indicador.</w:t>
            </w:r>
          </w:p>
        </w:tc>
      </w:tr>
      <w:tr>
        <w:tc>
          <w:tcPr>
            <w:tcW w:type="dxa" w:w="314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Regla de muestreo</w:t>
            </w:r>
          </w:p>
        </w:tc>
        <w:tc>
          <w:tcPr>
            <w:tcW w:type="dxa" w:w="678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Censo 100%: no se utiliza muestreo; se evalúa la totalidad de los estudiantes y equipos exigibles.</w:t>
            </w:r>
          </w:p>
        </w:tc>
      </w:tr>
      <w:tr>
        <w:tc>
          <w:tcPr>
            <w:tcW w:type="dxa" w:w="314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Evidencia faltante</w:t>
            </w:r>
          </w:p>
        </w:tc>
        <w:tc>
          <w:tcPr>
            <w:tcW w:type="dxa" w:w="678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Entrega exigible sin evidencia obligatoria verificable: se califica en N1 con puntaje 0. Retiro oficial o causa justificada autorizada: NA / no evaluado (se excluye del denominador ABET).</w:t>
            </w:r>
          </w:p>
        </w:tc>
      </w:tr>
      <w:tr>
        <w:tc>
          <w:tcPr>
            <w:tcW w:type="dxa" w:w="314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Regla de trabajo colaborativo</w:t>
            </w:r>
          </w:p>
        </w:tc>
        <w:tc>
          <w:tcPr>
            <w:tcW w:type="dxa" w:w="678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Informe único por equipo complementado obligatoriamente con el Anexo A de comprobación individual. Sin comprobación individual suficiente no se infiere logro individual ABET.</w:t>
            </w:r>
          </w:p>
        </w:tc>
      </w:tr>
      <w:tr>
        <w:tc>
          <w:tcPr>
            <w:tcW w:type="dxa" w:w="314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Regla de datos</w:t>
            </w:r>
          </w:p>
        </w:tc>
        <w:tc>
          <w:tcPr>
            <w:tcW w:type="dxa" w:w="678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Toda cifra de las Tablas 3 a 6 debe poder rastrearse a una línea de seco.jsonl, fake.jsonl o real.jsonl, o a una medición física registrada. Un dato que no pueda rastrearse se considera evidencia no verificable.</w:t>
            </w:r>
          </w:p>
        </w:tc>
      </w:tr>
    </w:tbl>
    <w:p>
      <w:pPr>
        <w:pStyle w:val="Heading1"/>
        <w:spacing w:before="160" w:after="60"/>
      </w:pPr>
      <w:r>
        <w:rPr>
          <w:rFonts w:ascii="Arial" w:hAnsi="Arial"/>
          <w:color w:val="1F4E79"/>
        </w:rPr>
        <w:t>3. Niveles de Desempeño para Zubatronic/SGDE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2228"/>
        <w:gridCol w:w="1774"/>
        <w:gridCol w:w="4394"/>
      </w:tblGrid>
      <w:tr>
        <w:tc>
          <w:tcPr>
            <w:tcW w:type="dxa" w:w="1531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Nivel</w:t>
            </w:r>
          </w:p>
        </w:tc>
        <w:tc>
          <w:tcPr>
            <w:tcW w:type="dxa" w:w="2228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Intervalo Zubatronic</w:t>
            </w:r>
          </w:p>
        </w:tc>
        <w:tc>
          <w:tcPr>
            <w:tcW w:type="dxa" w:w="1774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Valor Guía</w:t>
            </w:r>
          </w:p>
        </w:tc>
        <w:tc>
          <w:tcPr>
            <w:tcW w:type="dxa" w:w="4394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Interpretación y Criterio de Logro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N5</w:t>
            </w:r>
          </w:p>
        </w:tc>
        <w:tc>
          <w:tcPr>
            <w:tcW w:type="dxa" w:w="222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475–500</w:t>
            </w:r>
          </w:p>
        </w:tc>
        <w:tc>
          <w:tcPr>
            <w:tcW w:type="dxa" w:w="177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500</w:t>
            </w:r>
          </w:p>
        </w:tc>
        <w:tc>
          <w:tcPr>
            <w:tcW w:type="dxa" w:w="439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Excelente: Evidencia completa y reproducible; explica cada bloqueo con su causa y su regla.</w:t>
            </w:r>
          </w:p>
        </w:tc>
      </w:tr>
      <w:tr>
        <w:tc>
          <w:tcPr>
            <w:tcW w:type="dxa" w:w="153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N4</w:t>
            </w:r>
          </w:p>
        </w:tc>
        <w:tc>
          <w:tcPr>
            <w:tcW w:type="dxa" w:w="2228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400–474</w:t>
            </w:r>
          </w:p>
        </w:tc>
        <w:tc>
          <w:tcPr>
            <w:tcW w:type="dxa" w:w="177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450</w:t>
            </w:r>
          </w:p>
        </w:tc>
        <w:tc>
          <w:tcPr>
            <w:tcW w:type="dxa" w:w="439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Bueno: Desempeño correcto con omisiones menores que no comprometen la validez de las mediciones ni la seguridad.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N3</w:t>
            </w:r>
          </w:p>
        </w:tc>
        <w:tc>
          <w:tcPr>
            <w:tcW w:type="dxa" w:w="222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300–399</w:t>
            </w:r>
          </w:p>
        </w:tc>
        <w:tc>
          <w:tcPr>
            <w:tcW w:type="dxa" w:w="177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350</w:t>
            </w:r>
          </w:p>
        </w:tc>
        <w:tc>
          <w:tcPr>
            <w:tcW w:type="dxa" w:w="439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Aceptable: Completa las fases con evidencia verificable. Es el umbral individual de logro.</w:t>
            </w:r>
          </w:p>
        </w:tc>
      </w:tr>
      <w:tr>
        <w:tc>
          <w:tcPr>
            <w:tcW w:type="dxa" w:w="153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N2</w:t>
            </w:r>
          </w:p>
        </w:tc>
        <w:tc>
          <w:tcPr>
            <w:tcW w:type="dxa" w:w="2228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150–299</w:t>
            </w:r>
          </w:p>
        </w:tc>
        <w:tc>
          <w:tcPr>
            <w:tcW w:type="dxa" w:w="177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250</w:t>
            </w:r>
          </w:p>
        </w:tc>
        <w:tc>
          <w:tcPr>
            <w:tcW w:type="dxa" w:w="439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Cumplimiento parcial: Evidencia incompleta o bloqueos sin explicar.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N1</w:t>
            </w:r>
          </w:p>
        </w:tc>
        <w:tc>
          <w:tcPr>
            <w:tcW w:type="dxa" w:w="222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0–149</w:t>
            </w:r>
          </w:p>
        </w:tc>
        <w:tc>
          <w:tcPr>
            <w:tcW w:type="dxa" w:w="177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100</w:t>
            </w:r>
          </w:p>
        </w:tc>
        <w:tc>
          <w:tcPr>
            <w:tcW w:type="dxa" w:w="439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No cumple: Evidencia mínima, o ejecuta en el robot fuera del protocolo. Sin evidencia obligatoria se registra 0.</w:t>
            </w:r>
          </w:p>
        </w:tc>
      </w:tr>
    </w:tbl>
    <w:p>
      <w:pPr>
        <w:pStyle w:val="Heading1"/>
        <w:spacing w:before="160" w:after="60"/>
      </w:pPr>
      <w:r>
        <w:rPr>
          <w:rFonts w:ascii="Arial" w:hAnsi="Arial"/>
          <w:color w:val="1F4E79"/>
        </w:rPr>
        <w:t>4. Alineación de Criterios, RAE y Student Outcomes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91"/>
        <w:gridCol w:w="884"/>
        <w:gridCol w:w="1287"/>
        <w:gridCol w:w="2608"/>
        <w:gridCol w:w="3351"/>
      </w:tblGrid>
      <w:tr>
        <w:tc>
          <w:tcPr>
            <w:tcW w:type="dxa" w:w="1791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Criterio</w:t>
            </w:r>
          </w:p>
        </w:tc>
        <w:tc>
          <w:tcPr>
            <w:tcW w:type="dxa" w:w="884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Peso</w:t>
            </w:r>
          </w:p>
        </w:tc>
        <w:tc>
          <w:tcPr>
            <w:tcW w:type="dxa" w:w="1287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Student Outcome Principal</w:t>
            </w:r>
          </w:p>
        </w:tc>
        <w:tc>
          <w:tcPr>
            <w:tcW w:type="dxa" w:w="2608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Indicador de Desempeño Literal del Programa</w:t>
            </w:r>
          </w:p>
        </w:tc>
        <w:tc>
          <w:tcPr>
            <w:tcW w:type="dxa" w:w="3351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Evidencia Directa Obligatoria</w:t>
            </w:r>
          </w:p>
        </w:tc>
      </w:tr>
      <w:tr>
        <w:tc>
          <w:tcPr>
            <w:tcW w:type="dxa" w:w="179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C1. Escena, cinemática y planificación</w:t>
            </w:r>
          </w:p>
        </w:tc>
        <w:tc>
          <w:tcPr>
            <w:tcW w:type="dxa" w:w="88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25%</w:t>
            </w:r>
          </w:p>
        </w:tc>
        <w:tc>
          <w:tcPr>
            <w:tcW w:type="dxa" w:w="128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SO1</w:t>
            </w:r>
          </w:p>
        </w:tc>
        <w:tc>
          <w:tcPr>
            <w:tcW w:type="dxa" w:w="260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1.1. Aplica principios matemáticos (transformaciones homogéneas, cinemática directa e inversa) para resolver problemas espaciales en robótica.</w:t>
            </w:r>
          </w:p>
        </w:tc>
        <w:tc>
          <w:tcPr>
            <w:tcW w:type="dxa" w:w="335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Mesa de burger_description cargada en base_link y verificada en RViz, cálculo de la cara superior de la mesa en las dos versiones de la escena, rechazo de la escena con z = 0 (código 1) y predicción de la pose de aproximacion_eqNN (E2, E4, E8; Tablas 2 y 5).</w:t>
            </w:r>
          </w:p>
        </w:tc>
      </w:tr>
      <w:tr>
        <w:tc>
          <w:tcPr>
            <w:tcW w:type="dxa" w:w="179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C2. Integración de MoveIt 2 con el paquete de referencia</w:t>
            </w:r>
          </w:p>
        </w:tc>
        <w:tc>
          <w:tcPr>
            <w:tcW w:type="dxa" w:w="88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20%</w:t>
            </w:r>
          </w:p>
        </w:tc>
        <w:tc>
          <w:tcPr>
            <w:tcW w:type="dxa" w:w="128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SO2</w:t>
            </w:r>
          </w:p>
        </w:tc>
        <w:tc>
          <w:tcPr>
            <w:tcW w:type="dxa" w:w="2608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2.1. Diseña soluciones de software integrando contratos ROS 2 (servicios, acciones, QoS) en sistemas robóticos reales.</w:t>
            </w:r>
          </w:p>
        </w:tc>
        <w:tc>
          <w:tcPr>
            <w:tcW w:type="dxa" w:w="335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move_group con la ejecución deshabilitada, secuencia por defecto en modo seco y con driver fake a través de moveit_safe_executor, y Tabla 3 completa (E3, E5, E6).</w:t>
            </w:r>
          </w:p>
        </w:tc>
      </w:tr>
      <w:tr>
        <w:tc>
          <w:tcPr>
            <w:tcW w:type="dxa" w:w="179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C3. Validación experimental y diagnóstico de bloqueos</w:t>
            </w:r>
          </w:p>
        </w:tc>
        <w:tc>
          <w:tcPr>
            <w:tcW w:type="dxa" w:w="88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25%</w:t>
            </w:r>
          </w:p>
        </w:tc>
        <w:tc>
          <w:tcPr>
            <w:tcW w:type="dxa" w:w="128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SO6</w:t>
            </w:r>
          </w:p>
        </w:tc>
        <w:tc>
          <w:tcPr>
            <w:tcW w:type="dxa" w:w="260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6.4. Interpreta fallas y diagnósticos experimentales aplicando protocolos por capas para aislar errores de planificación, validación y ejecución.</w:t>
            </w:r>
          </w:p>
        </w:tc>
        <w:tc>
          <w:tcPr>
            <w:tcW w:type="dxa" w:w="335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Las ocho pruebas 4.1 a 4.8 con la regla o capa que actuó, el mensaje exacto, el código de salida y su explicación, incluida la prueba 4.8 sin la mesa en la escena (E7; Tabla 4).</w:t>
            </w:r>
          </w:p>
        </w:tc>
      </w:tr>
      <w:tr>
        <w:tc>
          <w:tcPr>
            <w:tcW w:type="dxa" w:w="179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C4. Seguridad en la ejecución real</w:t>
            </w:r>
          </w:p>
        </w:tc>
        <w:tc>
          <w:tcPr>
            <w:tcW w:type="dxa" w:w="88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20%</w:t>
            </w:r>
          </w:p>
        </w:tc>
        <w:tc>
          <w:tcPr>
            <w:tcW w:type="dxa" w:w="128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SO4</w:t>
            </w:r>
          </w:p>
        </w:tc>
        <w:tc>
          <w:tcPr>
            <w:tcW w:type="dxa" w:w="2608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4.1. Identifica riesgos de seguridad física, paradas de emergencia y celdas robóticas.</w:t>
            </w:r>
          </w:p>
        </w:tc>
        <w:tc>
          <w:tcPr>
            <w:tcW w:type="dxa" w:w="335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Modo seco con el robot real revisado por el docente, ejecución supervisada con autorización verbal, parada de emergencia custodiada, radio libre de 1.2 m y un único ejecutor en el dominio 0; altura de las puntas medida y Tabla 6 completa (E9).</w:t>
            </w:r>
          </w:p>
        </w:tc>
      </w:tr>
      <w:tr>
        <w:tc>
          <w:tcPr>
            <w:tcW w:type="dxa" w:w="179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C5. Trazabilidad y trabajo en equipo</w:t>
            </w:r>
          </w:p>
        </w:tc>
        <w:tc>
          <w:tcPr>
            <w:tcW w:type="dxa" w:w="88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10%</w:t>
            </w:r>
          </w:p>
        </w:tc>
        <w:tc>
          <w:tcPr>
            <w:tcW w:type="dxa" w:w="128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SO3 / SO5</w:t>
            </w:r>
          </w:p>
        </w:tc>
        <w:tc>
          <w:tcPr>
            <w:tcW w:type="dxa" w:w="260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3.1 - 3.3. Elabora documentación técnica reproducible y registra evidencias.</w:t>
              <w:br/>
              <w:t>5.1. Define roles técnicos y coordina la ejecución en equipo.</w:t>
            </w:r>
          </w:p>
        </w:tc>
        <w:tc>
          <w:tcPr>
            <w:tcW w:type="dxa" w:w="335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Tabla 1 con commit y resultado de colcon test, registros seco.jsonl, fake.jsonl y real.jsonl, bolsa lab04_eqNN_real y Anexo A individual (E1, E9).</w:t>
            </w:r>
          </w:p>
        </w:tc>
      </w:tr>
      <w:tr>
        <w:tc>
          <w:tcPr>
            <w:tcW w:type="dxa" w:w="179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TOTAL</w:t>
            </w:r>
          </w:p>
        </w:tc>
        <w:tc>
          <w:tcPr>
            <w:tcW w:type="dxa" w:w="88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100%</w:t>
            </w:r>
          </w:p>
        </w:tc>
        <w:tc>
          <w:tcPr>
            <w:tcW w:type="dxa" w:w="128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608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35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pStyle w:val="Heading1"/>
        <w:spacing w:before="160" w:after="60"/>
      </w:pPr>
      <w:r>
        <w:rPr>
          <w:rFonts w:ascii="Arial" w:hAnsi="Arial"/>
          <w:color w:val="1F4E79"/>
        </w:rPr>
        <w:t>5. Registro de Evidencias de la Práctica (E1–E9)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2"/>
        <w:gridCol w:w="4819"/>
        <w:gridCol w:w="3855"/>
      </w:tblGrid>
      <w:tr>
        <w:tc>
          <w:tcPr>
            <w:tcW w:type="dxa" w:w="1242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Código</w:t>
            </w:r>
          </w:p>
        </w:tc>
        <w:tc>
          <w:tcPr>
            <w:tcW w:type="dxa" w:w="4819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Evidencia Requerida</w:t>
            </w:r>
          </w:p>
        </w:tc>
        <w:tc>
          <w:tcPr>
            <w:tcW w:type="dxa" w:w="3855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Localizador en el Documento / Repositorio / Archivo</w:t>
            </w:r>
          </w:p>
        </w:tc>
      </w:tr>
      <w:tr>
        <w:tc>
          <w:tcPr>
            <w:tcW w:type="dxa" w:w="124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E1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Salida de colcon test-result --verbose con test_trajectory_validation.py, test_escena_urdf.py y test_metas_moveit.py aprobadas, y echo ROS_DOMAIN_ID mostrando el dominio del grupo (10 + NN).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242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E2</w:t>
            </w:r>
          </w:p>
        </w:tc>
        <w:tc>
          <w:tcPr>
            <w:tcW w:type="dxa" w:w="4819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Log de escena_moveit con la caja table_link en base_link y 1 obstáculo(s) cargados, y captura de RViz (Scene Objects) con la mesa bajo el robot.</w:t>
            </w:r>
          </w:p>
        </w:tc>
        <w:tc>
          <w:tcPr>
            <w:tcW w:type="dxa" w:w="385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24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E3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Captura del aviso de move_group al pulsar Execute en el panel MotionPlanning, que demuestra que MoveIt no puede mover el robot.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242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E4</w:t>
            </w:r>
          </w:p>
        </w:tc>
        <w:tc>
          <w:tcPr>
            <w:tcW w:type="dxa" w:w="4819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Salida de escena_moveit con la escena modificada a z = 0, que se niega a cargarla y termina con código 1, junto con el cálculo a mano de la altura de la cara superior de la mesa en las dos versiones.</w:t>
            </w:r>
          </w:p>
        </w:tc>
        <w:tc>
          <w:tcPr>
            <w:tcW w:type="dxa" w:w="385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24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E5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Informe del ejecutor en modo seco para la secuencia por defecto (seco.jsonl): puntos, duración, recorrido y velocidad pico de cada meta, y la pose objetivo de sobre_tag_mesa en base_link.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242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E6</w:t>
            </w:r>
          </w:p>
        </w:tc>
        <w:tc>
          <w:tcPr>
            <w:tcW w:type="dxa" w:w="4819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Ejecución de la secuencia con el driver fake (fake.jsonl): confirmación con si, movimiento en RViz y desvío final máximo de cada meta.</w:t>
            </w:r>
          </w:p>
        </w:tc>
        <w:tc>
          <w:tcPr>
            <w:tcW w:type="dxa" w:w="385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24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E7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Mensaje exacto y código de salida (echo ?) de cada prueba de bloqueo 4.1 a 4.8, con captura de la prueba 4.8 y de la recarga de la escena al terminarla.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242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E8</w:t>
            </w:r>
          </w:p>
        </w:tc>
        <w:tc>
          <w:tcPr>
            <w:tcW w:type="dxa" w:w="4819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Archivo metas_eqNN.yaml con aproximacion_eqNN, descenso_eqNN y la secuencia del grupo, y sus informes en modo seco y con driver fake.</w:t>
            </w:r>
          </w:p>
        </w:tc>
        <w:tc>
          <w:tcPr>
            <w:tcW w:type="dxa" w:w="385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24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E9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Fase 6: informe en modo seco con el robot real revisado por el docente, ejecución supervisada (real.jsonl), salida de ros2 bag info lab04_eqNN_real y foto de la medición con cinta métrica de la altura de las puntas sobre la mesa.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pStyle w:val="Heading1"/>
        <w:spacing w:before="160" w:after="60"/>
      </w:pPr>
      <w:r>
        <w:rPr>
          <w:rFonts w:ascii="Arial" w:hAnsi="Arial"/>
          <w:color w:val="1F4E79"/>
        </w:rPr>
        <w:t>6. Tablas de Registro Experimental (Diligenciadas por el Equipo)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D9EAF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Instrucciones para el equipo: Diligencie de forma completa y precisa cada una de las siguientes seis tablas con los datos reales obtenidos durante la sesión de laboratorio. Copie los valores de los informes del ejecutor sin redondearlos.</w:t>
            </w:r>
          </w:p>
        </w:tc>
      </w:tr>
    </w:tbl>
    <w:p>
      <w:pPr>
        <w:pStyle w:val="Heading2"/>
        <w:spacing w:before="160" w:after="60"/>
      </w:pPr>
      <w:r>
        <w:rPr>
          <w:rFonts w:ascii="Arial" w:hAnsi="Arial"/>
          <w:color w:val="1F4E79"/>
        </w:rPr>
        <w:t>Tabla 1: Entorno (Fase 0)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11"/>
        <w:gridCol w:w="4411"/>
      </w:tblGrid>
      <w:tr>
        <w:tc>
          <w:tcPr>
            <w:tcW w:type="dxa" w:w="5511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Ítem</w:t>
            </w:r>
          </w:p>
        </w:tc>
        <w:tc>
          <w:tcPr>
            <w:tcW w:type="dxa" w:w="4411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Valor</w:t>
            </w:r>
          </w:p>
        </w:tc>
      </w:tr>
      <w:tr>
        <w:tc>
          <w:tcPr>
            <w:tcW w:type="dxa" w:w="551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Grupo (eqNN) y ROS_DOMAIN_ID de las Fases 0 a 5</w:t>
            </w:r>
          </w:p>
        </w:tc>
        <w:tc>
          <w:tcPr>
            <w:tcW w:type="dxa" w:w="441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551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Versión de MoveIt (ros2 pkg xml moveit_ros_move_group | grep version)</w:t>
            </w:r>
          </w:p>
        </w:tc>
        <w:tc>
          <w:tcPr>
            <w:tcW w:type="dxa" w:w="441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551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Resultado de colcon test de burger_kinova_reference (aprobadas / fallidas)</w:t>
            </w:r>
          </w:p>
        </w:tc>
        <w:tc>
          <w:tcPr>
            <w:tcW w:type="dxa" w:w="441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551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Commit del repositorio del grupo (SHA)</w:t>
            </w:r>
          </w:p>
        </w:tc>
        <w:tc>
          <w:tcPr>
            <w:tcW w:type="dxa" w:w="441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pStyle w:val="Heading2"/>
        <w:spacing w:before="160" w:after="60"/>
      </w:pPr>
      <w:r>
        <w:rPr>
          <w:rFonts w:ascii="Arial" w:hAnsi="Arial"/>
          <w:color w:val="1F4E79"/>
        </w:rPr>
        <w:t>Tabla 2: Escena y Ejecución Deshabilitada (Fase 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15"/>
        <w:gridCol w:w="3050"/>
        <w:gridCol w:w="3050"/>
      </w:tblGrid>
      <w:tr>
        <w:tc>
          <w:tcPr>
            <w:tcW w:type="dxa" w:w="3815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Comprobación</w:t>
            </w:r>
          </w:p>
        </w:tc>
        <w:tc>
          <w:tcPr>
            <w:tcW w:type="dxa" w:w="3050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Resultado Observado</w:t>
            </w:r>
          </w:p>
        </w:tc>
        <w:tc>
          <w:tcPr>
            <w:tcW w:type="dxa" w:w="3050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Explicación</w:t>
            </w:r>
          </w:p>
        </w:tc>
      </w:tr>
      <w:tr>
        <w:tc>
          <w:tcPr>
            <w:tcW w:type="dxa" w:w="381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Aviso de move_group al pulsar Execute</w:t>
            </w:r>
          </w:p>
        </w:tc>
        <w:tc>
          <w:tcPr>
            <w:tcW w:type="dxa" w:w="30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0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381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Caja table_link en base_link (centro y tamaño)</w:t>
            </w:r>
          </w:p>
        </w:tc>
        <w:tc>
          <w:tcPr>
            <w:tcW w:type="dxa" w:w="305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05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381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Cara superior de la mesa en base_link, escena corregida (z, calculado)</w:t>
            </w:r>
          </w:p>
        </w:tc>
        <w:tc>
          <w:tcPr>
            <w:tcW w:type="dxa" w:w="30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0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381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Cara superior de la mesa en base_link, escena con z = 0 (z, calculado)</w:t>
            </w:r>
          </w:p>
        </w:tc>
        <w:tc>
          <w:tcPr>
            <w:tcW w:type="dxa" w:w="305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05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381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Salida y código de escena_moveit con la escena z = 0</w:t>
            </w:r>
          </w:p>
        </w:tc>
        <w:tc>
          <w:tcPr>
            <w:tcW w:type="dxa" w:w="30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0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pStyle w:val="Heading2"/>
        <w:spacing w:before="160" w:after="60"/>
      </w:pPr>
      <w:r>
        <w:rPr>
          <w:rFonts w:ascii="Arial" w:hAnsi="Arial"/>
          <w:color w:val="1F4E79"/>
        </w:rPr>
        <w:t>Tabla 3: Secuencia por Defecto (Fases 2 y 3, modo seco y driver fake)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4"/>
        <w:gridCol w:w="1123"/>
        <w:gridCol w:w="1406"/>
        <w:gridCol w:w="1406"/>
        <w:gridCol w:w="1757"/>
        <w:gridCol w:w="1451"/>
        <w:gridCol w:w="1474"/>
      </w:tblGrid>
      <w:tr>
        <w:tc>
          <w:tcPr>
            <w:tcW w:type="dxa" w:w="1304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Meta</w:t>
            </w:r>
          </w:p>
        </w:tc>
        <w:tc>
          <w:tcPr>
            <w:tcW w:type="dxa" w:w="1123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Tipo</w:t>
            </w:r>
          </w:p>
        </w:tc>
        <w:tc>
          <w:tcPr>
            <w:tcW w:type="dxa" w:w="1406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Puntos</w:t>
            </w:r>
          </w:p>
        </w:tc>
        <w:tc>
          <w:tcPr>
            <w:tcW w:type="dxa" w:w="1406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Duración (s)</w:t>
            </w:r>
          </w:p>
        </w:tc>
        <w:tc>
          <w:tcPr>
            <w:tcW w:type="dxa" w:w="1757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Articulación de Mayor Recorrido (rad)</w:t>
            </w:r>
          </w:p>
        </w:tc>
        <w:tc>
          <w:tcPr>
            <w:tcW w:type="dxa" w:w="1451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Velocidad Pico (rad/s)</w:t>
            </w:r>
          </w:p>
        </w:tc>
        <w:tc>
          <w:tcPr>
            <w:tcW w:type="dxa" w:w="1474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Desvío Final Fake (rad)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home</w:t>
            </w:r>
          </w:p>
        </w:tc>
        <w:tc>
          <w:tcPr>
            <w:tcW w:type="dxa" w:w="1123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articular</w:t>
            </w:r>
          </w:p>
        </w:tc>
        <w:tc>
          <w:tcPr>
            <w:tcW w:type="dxa" w:w="140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40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45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30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sobre_tag_mesa</w:t>
            </w:r>
          </w:p>
        </w:tc>
        <w:tc>
          <w:tcPr>
            <w:tcW w:type="dxa" w:w="1123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pose</w:t>
            </w:r>
          </w:p>
        </w:tc>
        <w:tc>
          <w:tcPr>
            <w:tcW w:type="dxa" w:w="1406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406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5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45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47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bajar_5cm</w:t>
            </w:r>
          </w:p>
        </w:tc>
        <w:tc>
          <w:tcPr>
            <w:tcW w:type="dxa" w:w="1123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cartesiana</w:t>
            </w:r>
          </w:p>
        </w:tc>
        <w:tc>
          <w:tcPr>
            <w:tcW w:type="dxa" w:w="140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40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45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30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subir_5cm</w:t>
            </w:r>
          </w:p>
        </w:tc>
        <w:tc>
          <w:tcPr>
            <w:tcW w:type="dxa" w:w="1123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cartesiana</w:t>
            </w:r>
          </w:p>
        </w:tc>
        <w:tc>
          <w:tcPr>
            <w:tcW w:type="dxa" w:w="1406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406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5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45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47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home</w:t>
            </w:r>
          </w:p>
        </w:tc>
        <w:tc>
          <w:tcPr>
            <w:tcW w:type="dxa" w:w="1123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articular</w:t>
            </w:r>
          </w:p>
        </w:tc>
        <w:tc>
          <w:tcPr>
            <w:tcW w:type="dxa" w:w="140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40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45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pStyle w:val="Heading2"/>
        <w:spacing w:before="160" w:after="60"/>
      </w:pPr>
      <w:r>
        <w:rPr>
          <w:rFonts w:ascii="Arial" w:hAnsi="Arial"/>
          <w:color w:val="1F4E79"/>
        </w:rPr>
        <w:t>Tabla 4: Bloqueos Provocados (Fase 4)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7"/>
        <w:gridCol w:w="2115"/>
        <w:gridCol w:w="1695"/>
        <w:gridCol w:w="1695"/>
        <w:gridCol w:w="1695"/>
        <w:gridCol w:w="1695"/>
      </w:tblGrid>
      <w:tr>
        <w:tc>
          <w:tcPr>
            <w:tcW w:type="dxa" w:w="1037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N.º</w:t>
            </w:r>
          </w:p>
        </w:tc>
        <w:tc>
          <w:tcPr>
            <w:tcW w:type="dxa" w:w="2115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Prueba</w:t>
            </w:r>
          </w:p>
        </w:tc>
        <w:tc>
          <w:tcPr>
            <w:tcW w:type="dxa" w:w="1695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Regla o Capa que Actuó</w:t>
            </w:r>
          </w:p>
        </w:tc>
        <w:tc>
          <w:tcPr>
            <w:tcW w:type="dxa" w:w="1695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Mensaje Exacto</w:t>
            </w:r>
          </w:p>
        </w:tc>
        <w:tc>
          <w:tcPr>
            <w:tcW w:type="dxa" w:w="1695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Código de Salida</w:t>
            </w:r>
          </w:p>
        </w:tc>
        <w:tc>
          <w:tcPr>
            <w:tcW w:type="dxa" w:w="1695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¿Por Qué Ocurre?</w:t>
            </w:r>
          </w:p>
        </w:tc>
      </w:tr>
      <w:tr>
        <w:tc>
          <w:tcPr>
            <w:tcW w:type="dxa" w:w="103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4.1</w:t>
            </w:r>
          </w:p>
        </w:tc>
        <w:tc>
          <w:tcPr>
            <w:tcW w:type="dxa" w:w="211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Velocidad (max_velocity_rad_s:=0.05)</w:t>
            </w:r>
          </w:p>
        </w:tc>
        <w:tc>
          <w:tcPr>
            <w:tcW w:type="dxa" w:w="169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9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9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9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03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4.2</w:t>
            </w:r>
          </w:p>
        </w:tc>
        <w:tc>
          <w:tcPr>
            <w:tcW w:type="dxa" w:w="211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Velocidad declarada por MoveIt (velocity_scaling:=0.6)</w:t>
            </w:r>
          </w:p>
        </w:tc>
        <w:tc>
          <w:tcPr>
            <w:tcW w:type="dxa" w:w="169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9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9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9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03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4.3</w:t>
            </w:r>
          </w:p>
        </w:tc>
        <w:tc>
          <w:tcPr>
            <w:tcW w:type="dxa" w:w="211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Arranque desde otra pose (source:=rviz)</w:t>
            </w:r>
          </w:p>
        </w:tc>
        <w:tc>
          <w:tcPr>
            <w:tcW w:type="dxa" w:w="169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9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9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9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03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4.4</w:t>
            </w:r>
          </w:p>
        </w:tc>
        <w:tc>
          <w:tcPr>
            <w:tcW w:type="dxa" w:w="211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Meta inalcanzable (delivery_slot_1)</w:t>
            </w:r>
          </w:p>
        </w:tc>
        <w:tc>
          <w:tcPr>
            <w:tcW w:type="dxa" w:w="169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9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9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9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03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4.5</w:t>
            </w:r>
          </w:p>
        </w:tc>
        <w:tc>
          <w:tcPr>
            <w:tcW w:type="dxa" w:w="211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Meta dentro de la mesa (en_la_mesa)</w:t>
            </w:r>
          </w:p>
        </w:tc>
        <w:tc>
          <w:tcPr>
            <w:tcW w:type="dxa" w:w="169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9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9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9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03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4.6</w:t>
            </w:r>
          </w:p>
        </w:tc>
        <w:tc>
          <w:tcPr>
            <w:tcW w:type="dxa" w:w="211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Telemetría perdida</w:t>
            </w:r>
          </w:p>
        </w:tc>
        <w:tc>
          <w:tcPr>
            <w:tcW w:type="dxa" w:w="169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9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9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9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03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4.7</w:t>
            </w:r>
          </w:p>
        </w:tc>
        <w:tc>
          <w:tcPr>
            <w:tcW w:type="dxa" w:w="211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Cancelación del operador (Ctrl+C)</w:t>
            </w:r>
          </w:p>
        </w:tc>
        <w:tc>
          <w:tcPr>
            <w:tcW w:type="dxa" w:w="169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9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9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9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03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4.8</w:t>
            </w:r>
          </w:p>
        </w:tc>
        <w:tc>
          <w:tcPr>
            <w:tcW w:type="dxa" w:w="211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Sin la mesa en la escena</w:t>
            </w:r>
          </w:p>
        </w:tc>
        <w:tc>
          <w:tcPr>
            <w:tcW w:type="dxa" w:w="169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9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9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9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pStyle w:val="Heading2"/>
        <w:spacing w:before="160" w:after="60"/>
      </w:pPr>
      <w:r>
        <w:rPr>
          <w:rFonts w:ascii="Arial" w:hAnsi="Arial"/>
          <w:color w:val="1F4E79"/>
        </w:rPr>
        <w:t>Tabla 5: Metas Propias (Fase 5, modo seco y driver fake)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3"/>
        <w:gridCol w:w="1871"/>
        <w:gridCol w:w="1871"/>
        <w:gridCol w:w="1497"/>
        <w:gridCol w:w="1633"/>
        <w:gridCol w:w="1497"/>
      </w:tblGrid>
      <w:tr>
        <w:tc>
          <w:tcPr>
            <w:tcW w:type="dxa" w:w="1553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Meta</w:t>
            </w:r>
          </w:p>
        </w:tc>
        <w:tc>
          <w:tcPr>
            <w:tcW w:type="dxa" w:w="1871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Pose Predicha en base_link (m)</w:t>
            </w:r>
          </w:p>
        </w:tc>
        <w:tc>
          <w:tcPr>
            <w:tcW w:type="dxa" w:w="1871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Pose Impresa por el Ejecutor (m)</w:t>
            </w:r>
          </w:p>
        </w:tc>
        <w:tc>
          <w:tcPr>
            <w:tcW w:type="dxa" w:w="1497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Duración (s)</w:t>
            </w:r>
          </w:p>
        </w:tc>
        <w:tc>
          <w:tcPr>
            <w:tcW w:type="dxa" w:w="1633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Velocidad Pico (rad/s)</w:t>
            </w:r>
          </w:p>
        </w:tc>
        <w:tc>
          <w:tcPr>
            <w:tcW w:type="dxa" w:w="1497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Resultado</w:t>
            </w:r>
          </w:p>
        </w:tc>
      </w:tr>
      <w:tr>
        <w:tc>
          <w:tcPr>
            <w:tcW w:type="dxa" w:w="1553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aproximacion_eqNN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49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33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49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553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descenso_eqNN</w:t>
            </w:r>
          </w:p>
        </w:tc>
        <w:tc>
          <w:tcPr>
            <w:tcW w:type="dxa" w:w="187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—</w:t>
            </w:r>
          </w:p>
        </w:tc>
        <w:tc>
          <w:tcPr>
            <w:tcW w:type="dxa" w:w="187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—</w:t>
            </w:r>
          </w:p>
        </w:tc>
        <w:tc>
          <w:tcPr>
            <w:tcW w:type="dxa" w:w="149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33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49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pStyle w:val="Heading2"/>
        <w:spacing w:before="160" w:after="60"/>
      </w:pPr>
      <w:r>
        <w:rPr>
          <w:rFonts w:ascii="Arial" w:hAnsi="Arial"/>
          <w:color w:val="1F4E79"/>
        </w:rPr>
        <w:t>Tabla 6: Ejecución en el Robot Real (Fase 6)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93"/>
        <w:gridCol w:w="1593"/>
        <w:gridCol w:w="1990"/>
        <w:gridCol w:w="1712"/>
        <w:gridCol w:w="1593"/>
      </w:tblGrid>
      <w:tr>
        <w:tc>
          <w:tcPr>
            <w:tcW w:type="dxa" w:w="1440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Meta</w:t>
            </w:r>
          </w:p>
        </w:tc>
        <w:tc>
          <w:tcPr>
            <w:tcW w:type="dxa" w:w="1593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Duración Planificada (s)</w:t>
            </w:r>
          </w:p>
        </w:tc>
        <w:tc>
          <w:tcPr>
            <w:tcW w:type="dxa" w:w="1593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Desvío Final (rad)</w:t>
            </w:r>
          </w:p>
        </w:tc>
        <w:tc>
          <w:tcPr>
            <w:tcW w:type="dxa" w:w="1990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Error de Seguimiento Máximo del Feedback (rad)</w:t>
            </w:r>
          </w:p>
        </w:tc>
        <w:tc>
          <w:tcPr>
            <w:tcW w:type="dxa" w:w="1712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Altura Medida de las Puntas (m)</w:t>
            </w:r>
          </w:p>
        </w:tc>
        <w:tc>
          <w:tcPr>
            <w:tcW w:type="dxa" w:w="1593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Resultado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home</w:t>
            </w:r>
          </w:p>
        </w:tc>
        <w:tc>
          <w:tcPr>
            <w:tcW w:type="dxa" w:w="1593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93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99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1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—</w:t>
            </w:r>
          </w:p>
        </w:tc>
        <w:tc>
          <w:tcPr>
            <w:tcW w:type="dxa" w:w="1593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44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aproximacion_eqNN</w:t>
            </w:r>
          </w:p>
        </w:tc>
        <w:tc>
          <w:tcPr>
            <w:tcW w:type="dxa" w:w="1593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93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99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12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—</w:t>
            </w:r>
          </w:p>
        </w:tc>
        <w:tc>
          <w:tcPr>
            <w:tcW w:type="dxa" w:w="1593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descenso_eqNN</w:t>
            </w:r>
          </w:p>
        </w:tc>
        <w:tc>
          <w:tcPr>
            <w:tcW w:type="dxa" w:w="1593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93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99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1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93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44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home (regreso)</w:t>
            </w:r>
          </w:p>
        </w:tc>
        <w:tc>
          <w:tcPr>
            <w:tcW w:type="dxa" w:w="1593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93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99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12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—</w:t>
            </w:r>
          </w:p>
        </w:tc>
        <w:tc>
          <w:tcPr>
            <w:tcW w:type="dxa" w:w="1593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pStyle w:val="Heading1"/>
        <w:spacing w:before="160" w:after="60"/>
      </w:pPr>
      <w:r>
        <w:rPr>
          <w:rFonts w:ascii="Arial" w:hAnsi="Arial"/>
          <w:color w:val="1F4E79"/>
        </w:rPr>
        <w:t>7. Cuestionario de Análisis y Discusión Técnica (Respondido por el Equipo)</w:t>
      </w:r>
    </w:p>
    <w:p>
      <w:pPr>
        <w:pStyle w:val="Heading2"/>
        <w:spacing w:before="160" w:after="60"/>
      </w:pPr>
      <w:r>
        <w:rPr>
          <w:rFonts w:ascii="Arial" w:hAnsi="Arial"/>
          <w:color w:val="1F4E79"/>
        </w:rPr>
        <w:t>Pregunta 1: Capas de Protección</w:t>
      </w:r>
    </w:p>
    <w:p>
      <w:pPr>
        <w:spacing w:after="60"/>
      </w:pPr>
      <w:r>
        <w:rPr>
          <w:rFonts w:ascii="Arial" w:hAnsi="Arial"/>
          <w:i/>
          <w:sz w:val="17"/>
        </w:rPr>
        <w:t>Con la Tabla 4, clasifique cada prueba según la capa que la detuvo: escena de planificación, planificador (MoveIt), validador de trayectoria, habilitación del operador o vigilancia durante la ejecución. ¿Qué riesgo cubre cada capa que las demás no cubren?</w:t>
      </w:r>
    </w:p>
    <w:p>
      <w:pPr>
        <w:spacing w:before="80" w:after="40"/>
      </w:pPr>
      <w:r>
        <w:rPr>
          <w:rFonts w:ascii="Arial" w:hAnsi="Arial"/>
          <w:i/>
          <w:sz w:val="17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9921"/>
            <w:shd w:fill="FAFAFA"/>
          </w:tcPr>
          <w:p>
            <w:pPr>
              <w:spacing w:before="40" w:after="40"/>
            </w:pPr>
            <w:r>
              <w:rPr>
                <w:rFonts w:ascii="Arial" w:hAnsi="Arial"/>
                <w:color w:val="555555"/>
                <w:sz w:val="16"/>
              </w:rPr>
              <w:t>Respuesta Técnica del Equipo:</w:t>
              <w:br/>
              <w:br/>
              <w:br/>
              <w:br/>
              <w:br/>
              <w:br/>
            </w:r>
          </w:p>
        </w:tc>
      </w:tr>
    </w:tbl>
    <w:p>
      <w:pPr>
        <w:pStyle w:val="Heading2"/>
        <w:spacing w:before="160" w:after="60"/>
      </w:pPr>
      <w:r>
        <w:rPr>
          <w:rFonts w:ascii="Arial" w:hAnsi="Arial"/>
          <w:color w:val="1F4E79"/>
        </w:rPr>
        <w:t>Pregunta 2: Geometría Compartida</w:t>
      </w:r>
    </w:p>
    <w:p>
      <w:pPr>
        <w:spacing w:after="60"/>
      </w:pPr>
      <w:r>
        <w:rPr>
          <w:rFonts w:ascii="Arial" w:hAnsi="Arial"/>
          <w:i/>
          <w:sz w:val="17"/>
        </w:rPr>
        <w:t>A partir de la Fase 1 y la prueba 4.8, explique por qué un error de 25 mm en un URDF que «sólo se usaba para visualizar» terminó siendo un problema de seguridad del robot real.</w:t>
      </w:r>
    </w:p>
    <w:p>
      <w:pPr>
        <w:spacing w:before="80" w:after="40"/>
      </w:pPr>
      <w:r>
        <w:rPr>
          <w:rFonts w:ascii="Arial" w:hAnsi="Arial"/>
          <w:i/>
          <w:sz w:val="17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9921"/>
            <w:shd w:fill="FAFAFA"/>
          </w:tcPr>
          <w:p>
            <w:pPr>
              <w:spacing w:before="40" w:after="40"/>
            </w:pPr>
            <w:r>
              <w:rPr>
                <w:rFonts w:ascii="Arial" w:hAnsi="Arial"/>
                <w:color w:val="555555"/>
                <w:sz w:val="16"/>
              </w:rPr>
              <w:t>Respuesta Técnica del Equipo:</w:t>
              <w:br/>
              <w:br/>
              <w:br/>
              <w:br/>
              <w:br/>
              <w:br/>
            </w:r>
          </w:p>
        </w:tc>
      </w:tr>
    </w:tbl>
    <w:p>
      <w:pPr>
        <w:pStyle w:val="Heading2"/>
        <w:spacing w:before="160" w:after="60"/>
      </w:pPr>
      <w:r>
        <w:rPr>
          <w:rFonts w:ascii="Arial" w:hAnsi="Arial"/>
          <w:color w:val="1F4E79"/>
        </w:rPr>
        <w:t>Pregunta 3: Velocidad entre Puntos y Velocidad Declarada</w:t>
      </w:r>
    </w:p>
    <w:p>
      <w:pPr>
        <w:spacing w:after="60"/>
      </w:pPr>
      <w:r>
        <w:rPr>
          <w:rFonts w:ascii="Arial" w:hAnsi="Arial"/>
          <w:i/>
          <w:sz w:val="17"/>
        </w:rPr>
        <w:t>Compare las pruebas 4.1 y 4.2. ¿Por qué el ejecutor revisa tanto la velocidad entre puntos como la declarada por MoveIt, si MoveIt ya aplica velocity_scaling?</w:t>
      </w:r>
    </w:p>
    <w:p>
      <w:pPr>
        <w:spacing w:before="80" w:after="40"/>
      </w:pPr>
      <w:r>
        <w:rPr>
          <w:rFonts w:ascii="Arial" w:hAnsi="Arial"/>
          <w:i/>
          <w:sz w:val="17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9921"/>
            <w:shd w:fill="FAFAFA"/>
          </w:tcPr>
          <w:p>
            <w:pPr>
              <w:spacing w:before="40" w:after="40"/>
            </w:pPr>
            <w:r>
              <w:rPr>
                <w:rFonts w:ascii="Arial" w:hAnsi="Arial"/>
                <w:color w:val="555555"/>
                <w:sz w:val="16"/>
              </w:rPr>
              <w:t>Respuesta Técnica del Equipo:</w:t>
              <w:br/>
              <w:br/>
              <w:br/>
              <w:br/>
              <w:br/>
              <w:br/>
            </w:r>
          </w:p>
        </w:tc>
      </w:tr>
    </w:tbl>
    <w:p>
      <w:pPr>
        <w:pStyle w:val="Heading2"/>
        <w:spacing w:before="160" w:after="60"/>
      </w:pPr>
      <w:r>
        <w:rPr>
          <w:rFonts w:ascii="Arial" w:hAnsi="Arial"/>
          <w:color w:val="1F4E79"/>
        </w:rPr>
        <w:t>Pregunta 4: Simulado frente a Real</w:t>
      </w:r>
    </w:p>
    <w:p>
      <w:pPr>
        <w:spacing w:after="60"/>
      </w:pPr>
      <w:r>
        <w:rPr>
          <w:rFonts w:ascii="Arial" w:hAnsi="Arial"/>
          <w:i/>
          <w:sz w:val="17"/>
        </w:rPr>
        <w:t>Compare el desvío final y la duración de la Tabla 3 (driver fake) con los de la Tabla 6 (robot real). ¿Qué fuentes de diferencia existen y cuáles pertenecen al enlace de red (Laboratorio 03, EXPERIMENTO_ENLACE_WIFI_VS_ETHERNET.md)?</w:t>
      </w:r>
    </w:p>
    <w:p>
      <w:pPr>
        <w:spacing w:before="80" w:after="40"/>
      </w:pPr>
      <w:r>
        <w:rPr>
          <w:rFonts w:ascii="Arial" w:hAnsi="Arial"/>
          <w:i/>
          <w:sz w:val="17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9921"/>
            <w:shd w:fill="FAFAFA"/>
          </w:tcPr>
          <w:p>
            <w:pPr>
              <w:spacing w:before="40" w:after="40"/>
            </w:pPr>
            <w:r>
              <w:rPr>
                <w:rFonts w:ascii="Arial" w:hAnsi="Arial"/>
                <w:color w:val="555555"/>
                <w:sz w:val="16"/>
              </w:rPr>
              <w:t>Respuesta Técnica del Equipo:</w:t>
              <w:br/>
              <w:br/>
              <w:br/>
              <w:br/>
              <w:br/>
              <w:br/>
            </w:r>
          </w:p>
        </w:tc>
      </w:tr>
    </w:tbl>
    <w:p>
      <w:pPr>
        <w:pStyle w:val="Heading2"/>
        <w:spacing w:before="160" w:after="60"/>
      </w:pPr>
      <w:r>
        <w:rPr>
          <w:rFonts w:ascii="Arial" w:hAnsi="Arial"/>
          <w:color w:val="1F4E79"/>
        </w:rPr>
        <w:t>Pregunta 5: Planificar desde la Pose Medida</w:t>
      </w:r>
    </w:p>
    <w:p>
      <w:pPr>
        <w:spacing w:after="60"/>
      </w:pPr>
      <w:r>
        <w:rPr>
          <w:rFonts w:ascii="Arial" w:hAnsi="Arial"/>
          <w:i/>
          <w:sz w:val="17"/>
        </w:rPr>
        <w:t>¿Por qué el ejecutor pide cada plan desde la pose medida y no deja que MoveIt use la que conoce? Describa un escenario del laboratorio donde ambas difieran.</w:t>
      </w:r>
    </w:p>
    <w:p>
      <w:pPr>
        <w:spacing w:before="80" w:after="40"/>
      </w:pPr>
      <w:r>
        <w:rPr>
          <w:rFonts w:ascii="Arial" w:hAnsi="Arial"/>
          <w:i/>
          <w:sz w:val="17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9921"/>
            <w:shd w:fill="FAFAFA"/>
          </w:tcPr>
          <w:p>
            <w:pPr>
              <w:spacing w:before="40" w:after="40"/>
            </w:pPr>
            <w:r>
              <w:rPr>
                <w:rFonts w:ascii="Arial" w:hAnsi="Arial"/>
                <w:color w:val="555555"/>
                <w:sz w:val="16"/>
              </w:rPr>
              <w:t>Respuesta Técnica del Equipo:</w:t>
              <w:br/>
              <w:br/>
              <w:br/>
              <w:br/>
              <w:br/>
              <w:br/>
            </w:r>
          </w:p>
        </w:tc>
      </w:tr>
    </w:tbl>
    <w:p>
      <w:pPr>
        <w:pStyle w:val="Heading2"/>
        <w:spacing w:before="160" w:after="60"/>
      </w:pPr>
      <w:r>
        <w:rPr>
          <w:rFonts w:ascii="Arial" w:hAnsi="Arial"/>
          <w:color w:val="1F4E79"/>
        </w:rPr>
        <w:t>Pregunta 6: De max_joint_delta_rad a las Reglas sobre la Trayectoria Completa</w:t>
      </w:r>
    </w:p>
    <w:p>
      <w:pPr>
        <w:spacing w:after="60"/>
      </w:pPr>
      <w:r>
        <w:rPr>
          <w:rFonts w:ascii="Arial" w:hAnsi="Arial"/>
          <w:i/>
          <w:sz w:val="17"/>
        </w:rPr>
        <w:t>max_joint_delta_rad (0.35 rad) no se aplica a los planes de MoveIt. ¿Qué regla lo sustituye y por qué la regla anterior no tiene sentido para una trayectoria de varios puntos?</w:t>
      </w:r>
    </w:p>
    <w:p>
      <w:pPr>
        <w:spacing w:before="80" w:after="40"/>
      </w:pPr>
      <w:r>
        <w:rPr>
          <w:rFonts w:ascii="Arial" w:hAnsi="Arial"/>
          <w:i/>
          <w:sz w:val="17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9921"/>
            <w:shd w:fill="FAFAFA"/>
          </w:tcPr>
          <w:p>
            <w:pPr>
              <w:spacing w:before="40" w:after="40"/>
            </w:pPr>
            <w:r>
              <w:rPr>
                <w:rFonts w:ascii="Arial" w:hAnsi="Arial"/>
                <w:color w:val="555555"/>
                <w:sz w:val="16"/>
              </w:rPr>
              <w:t>Respuesta Técnica del Equipo:</w:t>
              <w:br/>
              <w:br/>
              <w:br/>
              <w:br/>
              <w:br/>
              <w:br/>
            </w:r>
          </w:p>
        </w:tc>
      </w:tr>
    </w:tbl>
    <w:p>
      <w:pPr>
        <w:pStyle w:val="Heading2"/>
        <w:spacing w:before="160" w:after="60"/>
      </w:pPr>
      <w:r>
        <w:rPr>
          <w:rFonts w:ascii="Arial" w:hAnsi="Arial"/>
          <w:color w:val="1F4E79"/>
        </w:rPr>
        <w:t>Pregunta 7: Metas Expresadas en tag_mesa</w:t>
      </w:r>
    </w:p>
    <w:p>
      <w:pPr>
        <w:spacing w:after="60"/>
      </w:pPr>
      <w:r>
        <w:rPr>
          <w:rFonts w:ascii="Arial" w:hAnsi="Arial"/>
          <w:i/>
          <w:sz w:val="17"/>
        </w:rPr>
        <w:t>Una meta de tipo pose en tag_mesa sigue a la mesa si el URDF cambia. ¿Qué pasaría si el tag_mesa físico se mueve 5 cm y el URDF no se actualiza? ¿Qué componente del proyecto podría detectarlo?</w:t>
      </w:r>
    </w:p>
    <w:p>
      <w:pPr>
        <w:spacing w:before="80" w:after="40"/>
      </w:pPr>
      <w:r>
        <w:rPr>
          <w:rFonts w:ascii="Arial" w:hAnsi="Arial"/>
          <w:i/>
          <w:sz w:val="17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9921"/>
            <w:shd w:fill="FAFAFA"/>
          </w:tcPr>
          <w:p>
            <w:pPr>
              <w:spacing w:before="40" w:after="40"/>
            </w:pPr>
            <w:r>
              <w:rPr>
                <w:rFonts w:ascii="Arial" w:hAnsi="Arial"/>
                <w:color w:val="555555"/>
                <w:sz w:val="16"/>
              </w:rPr>
              <w:t>Respuesta Técnica del Equipo:</w:t>
              <w:br/>
              <w:br/>
              <w:br/>
              <w:br/>
              <w:br/>
              <w:br/>
            </w:r>
          </w:p>
        </w:tc>
      </w:tr>
    </w:tbl>
    <w:p>
      <w:pPr>
        <w:pStyle w:val="Heading2"/>
        <w:spacing w:before="160" w:after="60"/>
      </w:pPr>
      <w:r>
        <w:rPr>
          <w:rFonts w:ascii="Arial" w:hAnsi="Arial"/>
          <w:color w:val="1F4E79"/>
        </w:rPr>
        <w:t>Pregunta 8: Alcance del Modo Seco</w:t>
      </w:r>
    </w:p>
    <w:p>
      <w:pPr>
        <w:spacing w:after="60"/>
      </w:pPr>
      <w:r>
        <w:rPr>
          <w:rFonts w:ascii="Arial" w:hAnsi="Arial"/>
          <w:i/>
          <w:sz w:val="17"/>
        </w:rPr>
        <w:t>En modo seco la secuencia se planifica desde la pose final del plan anterior. ¿Qué garantiza y qué no garantiza un modo seco exitoso sobre la ejecución real?</w:t>
      </w:r>
    </w:p>
    <w:p>
      <w:pPr>
        <w:spacing w:before="80" w:after="40"/>
      </w:pPr>
      <w:r>
        <w:rPr>
          <w:rFonts w:ascii="Arial" w:hAnsi="Arial"/>
          <w:i/>
          <w:sz w:val="17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9921"/>
            <w:shd w:fill="FAFAFA"/>
          </w:tcPr>
          <w:p>
            <w:pPr>
              <w:spacing w:before="40" w:after="40"/>
            </w:pPr>
            <w:r>
              <w:rPr>
                <w:rFonts w:ascii="Arial" w:hAnsi="Arial"/>
                <w:color w:val="555555"/>
                <w:sz w:val="16"/>
              </w:rPr>
              <w:t>Respuesta Técnica del Equipo:</w:t>
              <w:br/>
              <w:br/>
              <w:br/>
              <w:br/>
              <w:br/>
              <w:br/>
            </w:r>
          </w:p>
        </w:tc>
      </w:tr>
    </w:tbl>
    <w:p>
      <w:pPr>
        <w:pStyle w:val="Heading2"/>
        <w:spacing w:before="160" w:after="60"/>
      </w:pPr>
      <w:r>
        <w:rPr>
          <w:rFonts w:ascii="Arial" w:hAnsi="Arial"/>
          <w:color w:val="1F4E79"/>
        </w:rPr>
        <w:t>Pregunta 9: Validar También la Geometría</w:t>
      </w:r>
    </w:p>
    <w:p>
      <w:pPr>
        <w:spacing w:after="60"/>
      </w:pPr>
      <w:r>
        <w:rPr>
          <w:rFonts w:ascii="Arial" w:hAnsi="Arial"/>
          <w:i/>
          <w:sz w:val="17"/>
        </w:rPr>
        <w:t>¿Qué haría falta para que moveit_safe_executor validara también la geometría (colisiones) del plan, y por qué no basta con confiar en MoveIt?</w:t>
      </w:r>
    </w:p>
    <w:p>
      <w:pPr>
        <w:spacing w:before="80" w:after="40"/>
      </w:pPr>
      <w:r>
        <w:rPr>
          <w:rFonts w:ascii="Arial" w:hAnsi="Arial"/>
          <w:i/>
          <w:sz w:val="17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9921"/>
            <w:shd w:fill="FAFAFA"/>
          </w:tcPr>
          <w:p>
            <w:pPr>
              <w:spacing w:before="40" w:after="40"/>
            </w:pPr>
            <w:r>
              <w:rPr>
                <w:rFonts w:ascii="Arial" w:hAnsi="Arial"/>
                <w:color w:val="555555"/>
                <w:sz w:val="16"/>
              </w:rPr>
              <w:t>Respuesta Técnica del Equipo:</w:t>
              <w:br/>
              <w:br/>
              <w:br/>
              <w:br/>
              <w:br/>
              <w:br/>
            </w:r>
          </w:p>
        </w:tc>
      </w:tr>
    </w:tbl>
    <w:p>
      <w:pPr>
        <w:pStyle w:val="Heading2"/>
        <w:spacing w:before="160" w:after="60"/>
      </w:pPr>
      <w:r>
        <w:rPr>
          <w:rFonts w:ascii="Arial" w:hAnsi="Arial"/>
          <w:color w:val="1F4E79"/>
        </w:rPr>
        <w:t>Pregunta 10: Conclusiones del Equipo</w:t>
      </w:r>
    </w:p>
    <w:p>
      <w:pPr>
        <w:spacing w:after="60"/>
      </w:pPr>
      <w:r>
        <w:rPr>
          <w:rFonts w:ascii="Arial" w:hAnsi="Arial"/>
          <w:i/>
          <w:sz w:val="17"/>
        </w:rPr>
        <w:t>Redacte tres conclusiones: (1) sobre la separación entre planificar y ejecutar, sustentada en las Tablas 2 y 4; (2) sobre el papel de burger_description como contrato geométrico de la celda; y (3) una conclusión cuantitativa sobre la fidelidad de la ejecución real frente al plan (Tabla 6).</w:t>
      </w:r>
    </w:p>
    <w:p>
      <w:pPr>
        <w:spacing w:before="80" w:after="40"/>
      </w:pPr>
      <w:r>
        <w:rPr>
          <w:rFonts w:ascii="Arial" w:hAnsi="Arial"/>
          <w:i/>
          <w:sz w:val="17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9921"/>
            <w:shd w:fill="FAFAFA"/>
          </w:tcPr>
          <w:p>
            <w:pPr>
              <w:spacing w:before="40" w:after="40"/>
            </w:pPr>
            <w:r>
              <w:rPr>
                <w:rFonts w:ascii="Arial" w:hAnsi="Arial"/>
                <w:color w:val="555555"/>
                <w:sz w:val="16"/>
              </w:rPr>
              <w:t>Respuesta Técnica del Equipo:</w:t>
              <w:br/>
              <w:br/>
              <w:br/>
              <w:br/>
              <w:br/>
              <w:br/>
            </w:r>
          </w:p>
        </w:tc>
      </w:tr>
    </w:tbl>
    <w:p>
      <w:pPr>
        <w:pStyle w:val="Heading1"/>
        <w:spacing w:before="160" w:after="60"/>
      </w:pPr>
      <w:r>
        <w:rPr>
          <w:rFonts w:ascii="Arial" w:hAnsi="Arial"/>
          <w:color w:val="1F4E79"/>
        </w:rPr>
        <w:t>8. Anexo A — Comprobación Individual de Desempeño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D9EAF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Propósito ABET: Este anexo verifica la autoría, comprensión técnica y contribución directa individual de cada estudiante, sustentando la asignación del logro individual en los Student Outcomes evaluados.</w:t>
            </w:r>
          </w:p>
        </w:tc>
      </w:tr>
    </w:tbl>
    <w:p>
      <w:pPr>
        <w:pStyle w:val="Heading2"/>
        <w:spacing w:before="160" w:after="60"/>
      </w:pPr>
      <w:r>
        <w:rPr>
          <w:rFonts w:ascii="Arial" w:hAnsi="Arial"/>
          <w:color w:val="1F4E79"/>
        </w:rPr>
        <w:t>Estudiante 1: __________________________________________________ Código: ____________________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11"/>
        <w:gridCol w:w="4411"/>
      </w:tblGrid>
      <w:tr>
        <w:tc>
          <w:tcPr>
            <w:tcW w:type="dxa" w:w="5511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Pregunta Individual de Verificación</w:t>
            </w:r>
          </w:p>
        </w:tc>
        <w:tc>
          <w:tcPr>
            <w:tcW w:type="dxa" w:w="4411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Respuesta y Evidencia Directa del Estudiante</w:t>
            </w:r>
          </w:p>
        </w:tc>
      </w:tr>
      <w:tr>
        <w:tc>
          <w:tcPr>
            <w:tcW w:type="dxa" w:w="551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1. Rol y tareas técnicas desarrolladas: Describa sus responsabilidades específicas en la práctica (ej. escena y cálculo de la mesa, ejecución del modo seco, pruebas de bloqueo, metas propias, turno en el robot real o registros).</w:t>
            </w:r>
          </w:p>
        </w:tc>
        <w:tc>
          <w:tcPr>
            <w:tcW w:type="dxa" w:w="441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551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2. Planificar frente a ejecutar: Explique por qué move_group se lanza con allow_trajectory_execution: false y qué comprueba moveit_safe_executor que MoveIt no comprueba.</w:t>
            </w:r>
          </w:p>
        </w:tc>
        <w:tc>
          <w:tcPr>
            <w:tcW w:type="dxa" w:w="441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551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3. Lectura de un informe de validación: Tome una meta de la Tabla 3 y explique cada dato del informe (puntos, duración, recorrido y velocidad pico) y la regla o el parámetro que lo limita.</w:t>
            </w:r>
          </w:p>
        </w:tc>
        <w:tc>
          <w:tcPr>
            <w:tcW w:type="dxa" w:w="441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551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4. Diagnóstico de un bloqueo: Elija una prueba de la Tabla 4 que usted ejecutó, identifique la capa que la detuvo y explique por qué esa capa, y no otra, actuó.</w:t>
            </w:r>
          </w:p>
        </w:tc>
        <w:tc>
          <w:tcPr>
            <w:tcW w:type="dxa" w:w="441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551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5. Autoría y reproducibilidad: Identifique qué comandos, filas de tablas, metas de metas_eqNN.yaml, capturas o registros .jsonl fueron ejecutados y documentados directamente por usted.</w:t>
            </w:r>
          </w:p>
        </w:tc>
        <w:tc>
          <w:tcPr>
            <w:tcW w:type="dxa" w:w="441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spacing w:after="60"/>
      </w:pPr>
      <w:r>
        <w:rPr>
          <w:rFonts w:ascii="Arial" w:hAnsi="Arial"/>
          <w:i w:val="0"/>
          <w:sz w:val="18"/>
        </w:rPr>
        <w:t>Estado de comprobación individual Estudiante 1: Verificada ☐     Insuficiente ☐     NA autorizado ☐ Firma del Estudiante 1: ________________________________________</w:t>
      </w:r>
    </w:p>
    <w:p>
      <w:pPr>
        <w:pStyle w:val="Heading2"/>
        <w:spacing w:before="160" w:after="60"/>
      </w:pPr>
      <w:r>
        <w:rPr>
          <w:rFonts w:ascii="Arial" w:hAnsi="Arial"/>
          <w:color w:val="1F4E79"/>
        </w:rPr>
        <w:t>Estudiante 2: __________________________________________________ Código: ____________________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11"/>
        <w:gridCol w:w="4411"/>
      </w:tblGrid>
      <w:tr>
        <w:tc>
          <w:tcPr>
            <w:tcW w:type="dxa" w:w="5511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Pregunta Individual de Verificación</w:t>
            </w:r>
          </w:p>
        </w:tc>
        <w:tc>
          <w:tcPr>
            <w:tcW w:type="dxa" w:w="4411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Respuesta y Evidencia Directa del Estudiante</w:t>
            </w:r>
          </w:p>
        </w:tc>
      </w:tr>
      <w:tr>
        <w:tc>
          <w:tcPr>
            <w:tcW w:type="dxa" w:w="551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1. Rol y tareas técnicas desarrolladas: Describa sus responsabilidades específicas en la práctica (ej. escena y cálculo de la mesa, ejecución del modo seco, pruebas de bloqueo, metas propias, turno en el robot real o registros).</w:t>
            </w:r>
          </w:p>
        </w:tc>
        <w:tc>
          <w:tcPr>
            <w:tcW w:type="dxa" w:w="441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551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2. Planificar frente a ejecutar: Explique por qué move_group se lanza con allow_trajectory_execution: false y qué comprueba moveit_safe_executor que MoveIt no comprueba.</w:t>
            </w:r>
          </w:p>
        </w:tc>
        <w:tc>
          <w:tcPr>
            <w:tcW w:type="dxa" w:w="441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551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3. Lectura de un informe de validación: Tome una meta de la Tabla 3 y explique cada dato del informe (puntos, duración, recorrido y velocidad pico) y la regla o el parámetro que lo limita.</w:t>
            </w:r>
          </w:p>
        </w:tc>
        <w:tc>
          <w:tcPr>
            <w:tcW w:type="dxa" w:w="441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551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4. Diagnóstico de un bloqueo: Elija una prueba de la Tabla 4 que usted ejecutó, identifique la capa que la detuvo y explique por qué esa capa, y no otra, actuó.</w:t>
            </w:r>
          </w:p>
        </w:tc>
        <w:tc>
          <w:tcPr>
            <w:tcW w:type="dxa" w:w="441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551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5. Autoría y reproducibilidad: Identifique qué comandos, filas de tablas, metas de metas_eqNN.yaml, capturas o registros .jsonl fueron ejecutados y documentados directamente por usted.</w:t>
            </w:r>
          </w:p>
        </w:tc>
        <w:tc>
          <w:tcPr>
            <w:tcW w:type="dxa" w:w="441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spacing w:after="60"/>
      </w:pPr>
      <w:r>
        <w:rPr>
          <w:rFonts w:ascii="Arial" w:hAnsi="Arial"/>
          <w:i w:val="0"/>
          <w:sz w:val="18"/>
        </w:rPr>
        <w:t>Estado de comprobación individual Estudiante 2: Verificada ☐     Insuficiente ☐     NA autorizado ☐ Firma del Estudiante 2: ________________________________________</w:t>
      </w:r>
    </w:p>
    <w:p>
      <w:pPr>
        <w:pStyle w:val="Heading1"/>
        <w:spacing w:before="160" w:after="60"/>
      </w:pPr>
      <w:r>
        <w:rPr>
          <w:rFonts w:ascii="Arial" w:hAnsi="Arial"/>
          <w:color w:val="1F4E79"/>
        </w:rPr>
        <w:t>9. Selección del Nivel Alcanzado por Criterio (Rúbricas Docentes)</w:t>
      </w:r>
    </w:p>
    <w:p>
      <w:pPr>
        <w:spacing w:after="60"/>
      </w:pPr>
      <w:r>
        <w:rPr>
          <w:rFonts w:ascii="Arial" w:hAnsi="Arial"/>
          <w:i w:val="0"/>
          <w:sz w:val="18"/>
        </w:rPr>
        <w:t>Marque con una X una sola casilla por criterio y registre el valor entero (0 a 500) dentro de la banda correspondiente.</w:t>
      </w:r>
    </w:p>
    <w:p>
      <w:pPr>
        <w:pStyle w:val="Heading2"/>
        <w:spacing w:before="160" w:after="60"/>
      </w:pPr>
      <w:r>
        <w:rPr>
          <w:rFonts w:ascii="Arial" w:hAnsi="Arial"/>
          <w:color w:val="1F4E79"/>
        </w:rPr>
        <w:t>C1. Escena, cinemática y planificación — Peso 25% — Student Outcome SO1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34"/>
        <w:gridCol w:w="1933"/>
        <w:gridCol w:w="6554"/>
      </w:tblGrid>
      <w:tr>
        <w:tc>
          <w:tcPr>
            <w:tcW w:type="dxa" w:w="1434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Marque</w:t>
            </w:r>
          </w:p>
        </w:tc>
        <w:tc>
          <w:tcPr>
            <w:tcW w:type="dxa" w:w="1933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Nivel</w:t>
            </w:r>
          </w:p>
        </w:tc>
        <w:tc>
          <w:tcPr>
            <w:tcW w:type="dxa" w:w="6554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Evidencia Observable del Nivel</w:t>
            </w:r>
          </w:p>
        </w:tc>
      </w:tr>
      <w:tr>
        <w:tc>
          <w:tcPr>
            <w:tcW w:type="dxa" w:w="143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933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N5 — 475–500</w:t>
            </w:r>
          </w:p>
        </w:tc>
        <w:tc>
          <w:tcPr>
            <w:tcW w:type="dxa" w:w="655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Además de N4, deriva con transformaciones homogéneas la pose de table_link y de tag_mesa en base_link a partir de las articulaciones fijas de la escena, explica por qué 25 mm de error bastan para que MoveIt declare en colisión el estado inicial, y su predicción de aproximacion_eqNN coincide con la pose impresa por el ejecutor.</w:t>
            </w:r>
          </w:p>
        </w:tc>
      </w:tr>
      <w:tr>
        <w:tc>
          <w:tcPr>
            <w:tcW w:type="dxa" w:w="1434"/>
            <w:shd w:fill="F2F2F2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933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N4 — 400–474</w:t>
            </w:r>
          </w:p>
        </w:tc>
        <w:tc>
          <w:tcPr>
            <w:tcW w:type="dxa" w:w="655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Verifica la mesa en el log de escena_moveit y en RViz, calcula correctamente la cara superior de la mesa en las dos versiones de la escena, reproduce el rechazo de la escena con z = 0 (código 1) y predice la pose de aproximacion_eqNN explicando las diferencias. Tablas 2 y 5 completas.</w:t>
            </w:r>
          </w:p>
        </w:tc>
      </w:tr>
      <w:tr>
        <w:tc>
          <w:tcPr>
            <w:tcW w:type="dxa" w:w="143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933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N3 — 300–399</w:t>
            </w:r>
          </w:p>
        </w:tc>
        <w:tc>
          <w:tcPr>
            <w:tcW w:type="dxa" w:w="655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Carga la escena, comprueba la caja en RViz, completa la Tabla 2 con el cálculo de la cara superior de la mesa y registra en la Tabla 5 la pose predicha y la impresa.</w:t>
            </w:r>
          </w:p>
        </w:tc>
      </w:tr>
      <w:tr>
        <w:tc>
          <w:tcPr>
            <w:tcW w:type="dxa" w:w="1434"/>
            <w:shd w:fill="F2F2F2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933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N2 — 150–299</w:t>
            </w:r>
          </w:p>
        </w:tc>
        <w:tc>
          <w:tcPr>
            <w:tcW w:type="dxa" w:w="655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Da por cargada la escena sólo por el código de salida, sin comprobar la caja en RViz; el cálculo de la altura de la mesa es erróneo, o falta la predicción de la Tabla 5.</w:t>
            </w:r>
          </w:p>
        </w:tc>
      </w:tr>
      <w:tr>
        <w:tc>
          <w:tcPr>
            <w:tcW w:type="dxa" w:w="143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933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N1 — 0–149</w:t>
            </w:r>
          </w:p>
        </w:tc>
        <w:tc>
          <w:tcPr>
            <w:tcW w:type="dxa" w:w="655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No carga la escena de burger_description o no presenta evidencia verificable de la Fase 1.</w:t>
            </w:r>
          </w:p>
        </w:tc>
      </w:tr>
    </w:tbl>
    <w:p>
      <w:pPr>
        <w:spacing w:after="60"/>
      </w:pPr>
      <w:r>
        <w:rPr>
          <w:rFonts w:ascii="Arial" w:hAnsi="Arial"/>
          <w:i w:val="0"/>
          <w:sz w:val="18"/>
        </w:rPr>
        <w:t>Nivel C1 marcado: ________      Valor Zubatronic (0–500): ________</w:t>
      </w:r>
    </w:p>
    <w:p>
      <w:pPr>
        <w:pStyle w:val="Heading2"/>
        <w:spacing w:before="160" w:after="60"/>
      </w:pPr>
      <w:r>
        <w:rPr>
          <w:rFonts w:ascii="Arial" w:hAnsi="Arial"/>
          <w:color w:val="1F4E79"/>
        </w:rPr>
        <w:t>C2. Integración de MoveIt 2 con el paquete de referencia — Peso 20% — Student Outcome SO2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3"/>
        <w:gridCol w:w="2092"/>
        <w:gridCol w:w="6276"/>
      </w:tblGrid>
      <w:tr>
        <w:tc>
          <w:tcPr>
            <w:tcW w:type="dxa" w:w="1553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Marque</w:t>
            </w:r>
          </w:p>
        </w:tc>
        <w:tc>
          <w:tcPr>
            <w:tcW w:type="dxa" w:w="2092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Nivel</w:t>
            </w:r>
          </w:p>
        </w:tc>
        <w:tc>
          <w:tcPr>
            <w:tcW w:type="dxa" w:w="6276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Evidencia Observable del Nivel</w:t>
            </w:r>
          </w:p>
        </w:tc>
      </w:tr>
      <w:tr>
        <w:tc>
          <w:tcPr>
            <w:tcW w:type="dxa" w:w="1553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209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N5 — 475–500</w:t>
            </w:r>
          </w:p>
        </w:tc>
        <w:tc>
          <w:tcPr>
            <w:tcW w:type="dxa" w:w="627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Además de N4, explica el flujo plan → validación → confirmación → controlador con los nodos, servicios y acciones que intervienen, y justifica con un caso concreto por qué el ejecutor pide cada plan desde la pose medida.</w:t>
            </w:r>
          </w:p>
        </w:tc>
      </w:tr>
      <w:tr>
        <w:tc>
          <w:tcPr>
            <w:tcW w:type="dxa" w:w="1553"/>
            <w:shd w:fill="F2F2F2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2092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N4 — 400–474</w:t>
            </w:r>
          </w:p>
        </w:tc>
        <w:tc>
          <w:tcPr>
            <w:tcW w:type="dxa" w:w="6276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Demuestra que Execute en RViz no mueve el robot, ejecuta la secuencia por defecto en modo seco y con driver fake, relaciona sobre_tag_mesa con la pose de tag_mesa y completa la Tabla 3 con velocidades pico de hasta 0.35 rad/s y los desvíos finales.</w:t>
            </w:r>
          </w:p>
        </w:tc>
      </w:tr>
      <w:tr>
        <w:tc>
          <w:tcPr>
            <w:tcW w:type="dxa" w:w="1553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209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N3 — 300–399</w:t>
            </w:r>
          </w:p>
        </w:tc>
        <w:tc>
          <w:tcPr>
            <w:tcW w:type="dxa" w:w="627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Levanta MoveIt en modo sólo planificación con el driver fake, ejecuta la secuencia por defecto en modo seco y con driver fake, y completa la Tabla 3.</w:t>
            </w:r>
          </w:p>
        </w:tc>
      </w:tr>
      <w:tr>
        <w:tc>
          <w:tcPr>
            <w:tcW w:type="dxa" w:w="1553"/>
            <w:shd w:fill="F2F2F2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2092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N2 — 150–299</w:t>
            </w:r>
          </w:p>
        </w:tc>
        <w:tc>
          <w:tcPr>
            <w:tcW w:type="dxa" w:w="6276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Ejecuta sólo parte de la secuencia, omite el modo seco antes de habilitar el movimiento o deja la Tabla 3 incompleta.</w:t>
            </w:r>
          </w:p>
        </w:tc>
      </w:tr>
      <w:tr>
        <w:tc>
          <w:tcPr>
            <w:tcW w:type="dxa" w:w="1553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209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N1 — 0–149</w:t>
            </w:r>
          </w:p>
        </w:tc>
        <w:tc>
          <w:tcPr>
            <w:tcW w:type="dxa" w:w="627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No integra MoveIt con moveit_safe_executor, o intenta ejecutar los planes directamente desde RViz o move_group.</w:t>
            </w:r>
          </w:p>
        </w:tc>
      </w:tr>
    </w:tbl>
    <w:p>
      <w:pPr>
        <w:spacing w:after="60"/>
      </w:pPr>
      <w:r>
        <w:rPr>
          <w:rFonts w:ascii="Arial" w:hAnsi="Arial"/>
          <w:i w:val="0"/>
          <w:sz w:val="18"/>
        </w:rPr>
        <w:t>Nivel C2 marcado: ________      Valor Zubatronic (0–500): ________</w:t>
      </w:r>
    </w:p>
    <w:p>
      <w:pPr>
        <w:pStyle w:val="Heading2"/>
        <w:spacing w:before="160" w:after="60"/>
      </w:pPr>
      <w:r>
        <w:rPr>
          <w:rFonts w:ascii="Arial" w:hAnsi="Arial"/>
          <w:color w:val="1F4E79"/>
        </w:rPr>
        <w:t>C3. Validación experimental y diagnóstico de bloqueos — Peso 25% — Student Outcome SO6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6"/>
        <w:gridCol w:w="2069"/>
        <w:gridCol w:w="6310"/>
      </w:tblGrid>
      <w:tr>
        <w:tc>
          <w:tcPr>
            <w:tcW w:type="dxa" w:w="1536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Marque</w:t>
            </w:r>
          </w:p>
        </w:tc>
        <w:tc>
          <w:tcPr>
            <w:tcW w:type="dxa" w:w="2069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Nivel</w:t>
            </w:r>
          </w:p>
        </w:tc>
        <w:tc>
          <w:tcPr>
            <w:tcW w:type="dxa" w:w="6310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Evidencia Observable del Nivel</w:t>
            </w:r>
          </w:p>
        </w:tc>
      </w:tr>
      <w:tr>
        <w:tc>
          <w:tcPr>
            <w:tcW w:type="dxa" w:w="1536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N5 — 475–500</w:t>
            </w:r>
          </w:p>
        </w:tc>
        <w:tc>
          <w:tcPr>
            <w:tcW w:type="dxa" w:w="631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Además de N4, clasifica las ocho pruebas por capa (escena, planificador, validador, habilitación del operador y vigilancia durante la ejecución), argumenta con la prueba 4.8 qué riesgo no cubre el validador y propone una salvaguarda adicional que pueda verificarse.</w:t>
            </w:r>
          </w:p>
        </w:tc>
      </w:tr>
      <w:tr>
        <w:tc>
          <w:tcPr>
            <w:tcW w:type="dxa" w:w="1536"/>
            <w:shd w:fill="F2F2F2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2069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N4 — 400–474</w:t>
            </w:r>
          </w:p>
        </w:tc>
        <w:tc>
          <w:tcPr>
            <w:tcW w:type="dxa" w:w="631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Ejecuta las ocho pruebas 4.1 a 4.8 reduciendo límites, nunca aumentándolos; registra el mensaje exacto y el código de salida de cada una, explica su causa y vuelve a cargar la escena al terminar la prueba 4.8. Tabla 4 completa.</w:t>
            </w:r>
          </w:p>
        </w:tc>
      </w:tr>
      <w:tr>
        <w:tc>
          <w:tcPr>
            <w:tcW w:type="dxa" w:w="1536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N3 — 300–399</w:t>
            </w:r>
          </w:p>
        </w:tc>
        <w:tc>
          <w:tcPr>
            <w:tcW w:type="dxa" w:w="631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Ejecuta al menos seis de las ocho pruebas, incluida la 4.8, con mensaje, código de salida y explicación en la Tabla 4.</w:t>
            </w:r>
          </w:p>
        </w:tc>
      </w:tr>
      <w:tr>
        <w:tc>
          <w:tcPr>
            <w:tcW w:type="dxa" w:w="1536"/>
            <w:shd w:fill="F2F2F2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2069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N2 — 150–299</w:t>
            </w:r>
          </w:p>
        </w:tc>
        <w:tc>
          <w:tcPr>
            <w:tcW w:type="dxa" w:w="631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Ejecuta menos de seis pruebas, parafrasea los mensajes en lugar de copiarlos o sus explicaciones no identifican la regla que actuó.</w:t>
            </w:r>
          </w:p>
        </w:tc>
      </w:tr>
      <w:tr>
        <w:tc>
          <w:tcPr>
            <w:tcW w:type="dxa" w:w="1536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N1 — 0–149</w:t>
            </w:r>
          </w:p>
        </w:tc>
        <w:tc>
          <w:tcPr>
            <w:tcW w:type="dxa" w:w="631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No provoca los bloqueos, o amplía límites para «hacer pasar» un plan.</w:t>
            </w:r>
          </w:p>
        </w:tc>
      </w:tr>
    </w:tbl>
    <w:p>
      <w:pPr>
        <w:spacing w:after="60"/>
      </w:pPr>
      <w:r>
        <w:rPr>
          <w:rFonts w:ascii="Arial" w:hAnsi="Arial"/>
          <w:i w:val="0"/>
          <w:sz w:val="18"/>
        </w:rPr>
        <w:t>Nivel C3 marcado: ________      Valor Zubatronic (0–500): ________</w:t>
      </w:r>
    </w:p>
    <w:p>
      <w:pPr>
        <w:pStyle w:val="Heading2"/>
        <w:spacing w:before="160" w:after="60"/>
      </w:pPr>
      <w:r>
        <w:rPr>
          <w:rFonts w:ascii="Arial" w:hAnsi="Arial"/>
          <w:color w:val="1F4E79"/>
        </w:rPr>
        <w:t>C4. Seguridad en la ejecución real — Peso 20% — Student Outcome SO4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9"/>
        <w:gridCol w:w="2047"/>
        <w:gridCol w:w="6355"/>
      </w:tblGrid>
      <w:tr>
        <w:tc>
          <w:tcPr>
            <w:tcW w:type="dxa" w:w="1519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Marque</w:t>
            </w:r>
          </w:p>
        </w:tc>
        <w:tc>
          <w:tcPr>
            <w:tcW w:type="dxa" w:w="2047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Nivel</w:t>
            </w:r>
          </w:p>
        </w:tc>
        <w:tc>
          <w:tcPr>
            <w:tcW w:type="dxa" w:w="6355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Evidencia Observable del Nivel</w:t>
            </w:r>
          </w:p>
        </w:tc>
      </w:tr>
      <w:tr>
        <w:tc>
          <w:tcPr>
            <w:tcW w:type="dxa" w:w="151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204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N5 — 475–500</w:t>
            </w:r>
          </w:p>
        </w:tc>
        <w:tc>
          <w:tcPr>
            <w:tcW w:type="dxa" w:w="635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Además de N4, compara cuantitativamente el desvío final y el error de seguimiento del robot real con los del driver fake (Tablas 3 y 6) y propone una mejora concreta al protocolo de turnos con MoveIt.</w:t>
            </w:r>
          </w:p>
        </w:tc>
      </w:tr>
      <w:tr>
        <w:tc>
          <w:tcPr>
            <w:tcW w:type="dxa" w:w="1519"/>
            <w:shd w:fill="F2F2F2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204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N4 — 400–474</w:t>
            </w:r>
          </w:p>
        </w:tc>
        <w:tc>
          <w:tcPr>
            <w:tcW w:type="dxa" w:w="635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Ejecuta en el robot real sólo después del modo seco con el robot en la misma pose y revisado por el docente, con autorización verbal, parada de emergencia custodiada, radio libre de 1.2 m y un único ejecutor en el dominio 0; mide la altura de las puntas y completa la Tabla 6.</w:t>
            </w:r>
          </w:p>
        </w:tc>
      </w:tr>
      <w:tr>
        <w:tc>
          <w:tcPr>
            <w:tcW w:type="dxa" w:w="151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204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N3 — 300–399</w:t>
            </w:r>
          </w:p>
        </w:tc>
        <w:tc>
          <w:tcPr>
            <w:tcW w:type="dxa" w:w="635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Cumple el protocolo de turnos (modo seco revisado, autorización verbal y confirmación con si) y registra la Tabla 6.</w:t>
            </w:r>
          </w:p>
        </w:tc>
      </w:tr>
      <w:tr>
        <w:tc>
          <w:tcPr>
            <w:tcW w:type="dxa" w:w="1519"/>
            <w:shd w:fill="F2F2F2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204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N2 — 150–299</w:t>
            </w:r>
          </w:p>
        </w:tc>
        <w:tc>
          <w:tcPr>
            <w:tcW w:type="dxa" w:w="635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Ejecuta sin que el docente revise el modo seco, con el robot en una pose distinta a la del modo seco, o deja la Tabla 6 incompleta.</w:t>
            </w:r>
          </w:p>
        </w:tc>
      </w:tr>
      <w:tr>
        <w:tc>
          <w:tcPr>
            <w:tcW w:type="dxa" w:w="151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204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N1 — 0–149</w:t>
            </w:r>
          </w:p>
        </w:tc>
        <w:tc>
          <w:tcPr>
            <w:tcW w:type="dxa" w:w="635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Ejecuta en el robot fuera del protocolo, lanza un segundo ejecutor o un driver fake en el dominio 0, o modifica límites para el robot real.</w:t>
            </w:r>
          </w:p>
        </w:tc>
      </w:tr>
    </w:tbl>
    <w:p>
      <w:pPr>
        <w:spacing w:after="60"/>
      </w:pPr>
      <w:r>
        <w:rPr>
          <w:rFonts w:ascii="Arial" w:hAnsi="Arial"/>
          <w:i w:val="0"/>
          <w:sz w:val="18"/>
        </w:rPr>
        <w:t>Nivel C4 marcado: ________      Valor Zubatronic (0–500): ________</w:t>
      </w:r>
    </w:p>
    <w:p>
      <w:pPr>
        <w:pStyle w:val="Heading2"/>
        <w:spacing w:before="160" w:after="60"/>
      </w:pPr>
      <w:r>
        <w:rPr>
          <w:rFonts w:ascii="Arial" w:hAnsi="Arial"/>
          <w:color w:val="1F4E79"/>
        </w:rPr>
        <w:t>C5. Trazabilidad y trabajo en equipo — Peso 10% — Student Outcome SO3 / SO5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10"/>
        <w:gridCol w:w="2171"/>
        <w:gridCol w:w="6134"/>
      </w:tblGrid>
      <w:tr>
        <w:tc>
          <w:tcPr>
            <w:tcW w:type="dxa" w:w="1610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Marque</w:t>
            </w:r>
          </w:p>
        </w:tc>
        <w:tc>
          <w:tcPr>
            <w:tcW w:type="dxa" w:w="2171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Nivel</w:t>
            </w:r>
          </w:p>
        </w:tc>
        <w:tc>
          <w:tcPr>
            <w:tcW w:type="dxa" w:w="6134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Evidencia Observable del Nivel</w:t>
            </w:r>
          </w:p>
        </w:tc>
      </w:tr>
      <w:tr>
        <w:tc>
          <w:tcPr>
            <w:tcW w:type="dxa" w:w="161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217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N5 — 475–500</w:t>
            </w:r>
          </w:p>
        </w:tc>
        <w:tc>
          <w:tcPr>
            <w:tcW w:type="dxa" w:w="6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Además de N4, reconstruye el turno de la Fase 6 cruzando real.jsonl con la bolsa lab04_eqNN_real, y el Anexo A demuestra un dominio técnico individual sobresaliente.</w:t>
            </w:r>
          </w:p>
        </w:tc>
      </w:tr>
      <w:tr>
        <w:tc>
          <w:tcPr>
            <w:tcW w:type="dxa" w:w="1610"/>
            <w:shd w:fill="F2F2F2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217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N4 — 400–474</w:t>
            </w:r>
          </w:p>
        </w:tc>
        <w:tc>
          <w:tcPr>
            <w:tcW w:type="dxa" w:w="613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Entrega seco.jsonl, fake.jsonl, real.jsonl, metas_eqNN.yaml y la información de la bolsa lab04_eqNN_real; la Tabla 1 incluye el commit y el resultado de colcon test, y el Anexo A evidencia autoría y comprensión.</w:t>
            </w:r>
          </w:p>
        </w:tc>
      </w:tr>
      <w:tr>
        <w:tc>
          <w:tcPr>
            <w:tcW w:type="dxa" w:w="161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217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N3 — 300–399</w:t>
            </w:r>
          </w:p>
        </w:tc>
        <w:tc>
          <w:tcPr>
            <w:tcW w:type="dxa" w:w="6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Entrega el informe con las Tablas 1 a 6, los registros .jsonl y el Anexo A con respuestas verificables.</w:t>
            </w:r>
          </w:p>
        </w:tc>
      </w:tr>
      <w:tr>
        <w:tc>
          <w:tcPr>
            <w:tcW w:type="dxa" w:w="1610"/>
            <w:shd w:fill="F2F2F2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217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N2 — 150–299</w:t>
            </w:r>
          </w:p>
        </w:tc>
        <w:tc>
          <w:tcPr>
            <w:tcW w:type="dxa" w:w="613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Faltan registros .jsonl o la bolsa, la Tabla 1 está incompleta o el Anexo A tiene respuestas genéricas.</w:t>
            </w:r>
          </w:p>
        </w:tc>
      </w:tr>
      <w:tr>
        <w:tc>
          <w:tcPr>
            <w:tcW w:type="dxa" w:w="161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217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N1 — 0–149</w:t>
            </w:r>
          </w:p>
        </w:tc>
        <w:tc>
          <w:tcPr>
            <w:tcW w:type="dxa" w:w="6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No entrega el informe ni los registros, o el Anexo A demuestra ausencia de participación.</w:t>
            </w:r>
          </w:p>
        </w:tc>
      </w:tr>
    </w:tbl>
    <w:p>
      <w:pPr>
        <w:spacing w:after="60"/>
      </w:pPr>
      <w:r>
        <w:rPr>
          <w:rFonts w:ascii="Arial" w:hAnsi="Arial"/>
          <w:i w:val="0"/>
          <w:sz w:val="18"/>
        </w:rPr>
        <w:t>Nivel C5 marcado: ________      Valor Zubatronic (0–500): ________</w:t>
      </w:r>
    </w:p>
    <w:p>
      <w:pPr>
        <w:pStyle w:val="Heading1"/>
        <w:spacing w:before="160" w:after="60"/>
      </w:pPr>
      <w:r>
        <w:rPr>
          <w:rFonts w:ascii="Arial" w:hAnsi="Arial"/>
          <w:color w:val="1F4E79"/>
        </w:rPr>
        <w:t>10. Consolidado Final de Calificación Académica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4"/>
        <w:gridCol w:w="1582"/>
        <w:gridCol w:w="2058"/>
        <w:gridCol w:w="2058"/>
        <w:gridCol w:w="1650"/>
      </w:tblGrid>
      <w:tr>
        <w:tc>
          <w:tcPr>
            <w:tcW w:type="dxa" w:w="2574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Criterio Evaluado</w:t>
            </w:r>
          </w:p>
        </w:tc>
        <w:tc>
          <w:tcPr>
            <w:tcW w:type="dxa" w:w="1582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Peso Oficial (%)</w:t>
            </w:r>
          </w:p>
        </w:tc>
        <w:tc>
          <w:tcPr>
            <w:tcW w:type="dxa" w:w="2058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Nivel Marcado</w:t>
            </w:r>
          </w:p>
        </w:tc>
        <w:tc>
          <w:tcPr>
            <w:tcW w:type="dxa" w:w="2058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Valor Obtenido (0–500)</w:t>
            </w:r>
          </w:p>
        </w:tc>
        <w:tc>
          <w:tcPr>
            <w:tcW w:type="dxa" w:w="1650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Aporte Ponderado</w:t>
            </w:r>
          </w:p>
        </w:tc>
      </w:tr>
      <w:tr>
        <w:tc>
          <w:tcPr>
            <w:tcW w:type="dxa" w:w="257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C1. Escena, cinemática y planificación</w:t>
            </w:r>
          </w:p>
        </w:tc>
        <w:tc>
          <w:tcPr>
            <w:tcW w:type="dxa" w:w="158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25%</w:t>
            </w:r>
          </w:p>
        </w:tc>
        <w:tc>
          <w:tcPr>
            <w:tcW w:type="dxa" w:w="205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05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257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C2. Integración de MoveIt 2 con el paquete de referencia</w:t>
            </w:r>
          </w:p>
        </w:tc>
        <w:tc>
          <w:tcPr>
            <w:tcW w:type="dxa" w:w="1582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20%</w:t>
            </w:r>
          </w:p>
        </w:tc>
        <w:tc>
          <w:tcPr>
            <w:tcW w:type="dxa" w:w="2058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058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5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257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C3. Validación experimental y diagnóstico de bloqueos</w:t>
            </w:r>
          </w:p>
        </w:tc>
        <w:tc>
          <w:tcPr>
            <w:tcW w:type="dxa" w:w="158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25%</w:t>
            </w:r>
          </w:p>
        </w:tc>
        <w:tc>
          <w:tcPr>
            <w:tcW w:type="dxa" w:w="205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05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257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C4. Seguridad en la ejecución real</w:t>
            </w:r>
          </w:p>
        </w:tc>
        <w:tc>
          <w:tcPr>
            <w:tcW w:type="dxa" w:w="1582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20%</w:t>
            </w:r>
          </w:p>
        </w:tc>
        <w:tc>
          <w:tcPr>
            <w:tcW w:type="dxa" w:w="2058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058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5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257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C5. Trazabilidad y trabajo en equipo</w:t>
            </w:r>
          </w:p>
        </w:tc>
        <w:tc>
          <w:tcPr>
            <w:tcW w:type="dxa" w:w="158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10%</w:t>
            </w:r>
          </w:p>
        </w:tc>
        <w:tc>
          <w:tcPr>
            <w:tcW w:type="dxa" w:w="205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05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257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TOTAL CONSOLIDADO</w:t>
            </w:r>
          </w:p>
        </w:tc>
        <w:tc>
          <w:tcPr>
            <w:tcW w:type="dxa" w:w="1582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100%</w:t>
            </w:r>
          </w:p>
        </w:tc>
        <w:tc>
          <w:tcPr>
            <w:tcW w:type="dxa" w:w="2058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058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5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________ / 500</w:t>
            </w:r>
          </w:p>
        </w:tc>
      </w:tr>
    </w:tbl>
    <w:p>
      <w:r>
        <w:rPr>
          <w:rFonts w:ascii="Courier New" w:hAnsi="Courier New"/>
          <w:sz w:val="17"/>
        </w:rPr>
        <w:t>Nota Académica sobre 5,0 = Nota Consolidada sobre 500 ÷ 100</w:t>
        <w:br/>
        <w:t>Aporte a Laboratorios del Tercer Corte: L₃ = Nota Académica sobre 5,0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33"/>
        <w:gridCol w:w="4388"/>
      </w:tblGrid>
      <w:tr>
        <w:tc>
          <w:tcPr>
            <w:tcW w:type="dxa" w:w="5533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Resultado Oficial de la Actividad</w:t>
            </w:r>
          </w:p>
        </w:tc>
        <w:tc>
          <w:tcPr>
            <w:tcW w:type="dxa" w:w="4388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Registro</w:t>
            </w:r>
          </w:p>
        </w:tc>
      </w:tr>
      <w:tr>
        <w:tc>
          <w:tcPr>
            <w:tcW w:type="dxa" w:w="5533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Nota de Laboratorio 04 sobre 500 puntos</w:t>
            </w:r>
          </w:p>
        </w:tc>
        <w:tc>
          <w:tcPr>
            <w:tcW w:type="dxa" w:w="438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__________ / 500</w:t>
            </w:r>
          </w:p>
        </w:tc>
      </w:tr>
      <w:tr>
        <w:tc>
          <w:tcPr>
            <w:tcW w:type="dxa" w:w="5533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Nota Académica Oficial sobre 5,0</w:t>
            </w:r>
          </w:p>
        </w:tc>
        <w:tc>
          <w:tcPr>
            <w:tcW w:type="dxa" w:w="4388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__________ / 5,0</w:t>
            </w:r>
          </w:p>
        </w:tc>
      </w:tr>
      <w:tr>
        <w:tc>
          <w:tcPr>
            <w:tcW w:type="dxa" w:w="5533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Número de Criterios en N3 o superior (Umbral Individual)</w:t>
            </w:r>
          </w:p>
        </w:tc>
        <w:tc>
          <w:tcPr>
            <w:tcW w:type="dxa" w:w="438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_____ / 5</w:t>
            </w:r>
          </w:p>
        </w:tc>
      </w:tr>
      <w:tr>
        <w:tc>
          <w:tcPr>
            <w:tcW w:type="dxa" w:w="5533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¿Cumple el Umbral Individual de Logro ABET (todos en N3+)?</w:t>
            </w:r>
          </w:p>
        </w:tc>
        <w:tc>
          <w:tcPr>
            <w:tcW w:type="dxa" w:w="4388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SÍ ☐      NO ☐</w:t>
            </w:r>
          </w:p>
        </w:tc>
      </w:tr>
    </w:tbl>
    <w:p>
      <w:pPr>
        <w:pStyle w:val="Heading1"/>
        <w:spacing w:before="160" w:after="60"/>
      </w:pPr>
      <w:r>
        <w:rPr>
          <w:rFonts w:ascii="Arial" w:hAnsi="Arial"/>
          <w:color w:val="1F4E79"/>
        </w:rPr>
        <w:t>11. Consolidación ABET y Cierre de Mejora Continua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64"/>
        <w:gridCol w:w="1650"/>
        <w:gridCol w:w="1650"/>
        <w:gridCol w:w="1650"/>
        <w:gridCol w:w="1264"/>
        <w:gridCol w:w="1650"/>
      </w:tblGrid>
      <w:tr>
        <w:tc>
          <w:tcPr>
            <w:tcW w:type="dxa" w:w="2064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Student Outcome / Indicador Evaluado</w:t>
            </w:r>
          </w:p>
        </w:tc>
        <w:tc>
          <w:tcPr>
            <w:tcW w:type="dxa" w:w="1650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N Estudiantes Evaluables</w:t>
            </w:r>
          </w:p>
        </w:tc>
        <w:tc>
          <w:tcPr>
            <w:tcW w:type="dxa" w:w="1650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N en Nivel N3 o Superior</w:t>
            </w:r>
          </w:p>
        </w:tc>
        <w:tc>
          <w:tcPr>
            <w:tcW w:type="dxa" w:w="1650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Porcentaje de Logro (%)</w:t>
            </w:r>
          </w:p>
        </w:tc>
        <w:tc>
          <w:tcPr>
            <w:tcW w:type="dxa" w:w="1264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Meta Institucional</w:t>
            </w:r>
          </w:p>
        </w:tc>
        <w:tc>
          <w:tcPr>
            <w:tcW w:type="dxa" w:w="1650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Hallazgo Docente</w:t>
            </w:r>
          </w:p>
        </w:tc>
      </w:tr>
      <w:tr>
        <w:tc>
          <w:tcPr>
            <w:tcW w:type="dxa" w:w="206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SO1 / Indicador 1.1 (Escena, Cinemática y Planificación)</w:t>
            </w:r>
          </w:p>
        </w:tc>
        <w:tc>
          <w:tcPr>
            <w:tcW w:type="dxa" w:w="16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6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70%</w:t>
            </w:r>
          </w:p>
        </w:tc>
        <w:tc>
          <w:tcPr>
            <w:tcW w:type="dxa" w:w="16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206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SO2 / Indicador 2.1 (Integración de MoveIt 2 y Contratos ROS 2)</w:t>
            </w:r>
          </w:p>
        </w:tc>
        <w:tc>
          <w:tcPr>
            <w:tcW w:type="dxa" w:w="165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5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5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6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70%</w:t>
            </w:r>
          </w:p>
        </w:tc>
        <w:tc>
          <w:tcPr>
            <w:tcW w:type="dxa" w:w="165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206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SO6 / Indicador 6.4 (Diagnóstico de Bloqueos por Capas)</w:t>
            </w:r>
          </w:p>
        </w:tc>
        <w:tc>
          <w:tcPr>
            <w:tcW w:type="dxa" w:w="16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6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70%</w:t>
            </w:r>
          </w:p>
        </w:tc>
        <w:tc>
          <w:tcPr>
            <w:tcW w:type="dxa" w:w="16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206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SO4 / Indicador 4.1 (Seguridad en la Ejecución Real)</w:t>
            </w:r>
          </w:p>
        </w:tc>
        <w:tc>
          <w:tcPr>
            <w:tcW w:type="dxa" w:w="165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5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5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6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70%</w:t>
            </w:r>
          </w:p>
        </w:tc>
        <w:tc>
          <w:tcPr>
            <w:tcW w:type="dxa" w:w="165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206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SO3 / Indicador 3.1 - 3.3 (Documentación y Trazabilidad)</w:t>
            </w:r>
          </w:p>
        </w:tc>
        <w:tc>
          <w:tcPr>
            <w:tcW w:type="dxa" w:w="16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6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70%</w:t>
            </w:r>
          </w:p>
        </w:tc>
        <w:tc>
          <w:tcPr>
            <w:tcW w:type="dxa" w:w="16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206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SO5 / Indicador 5.1 (Trabajo en Equipo y Roles)</w:t>
            </w:r>
          </w:p>
        </w:tc>
        <w:tc>
          <w:tcPr>
            <w:tcW w:type="dxa" w:w="165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5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5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6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70%</w:t>
            </w:r>
          </w:p>
        </w:tc>
        <w:tc>
          <w:tcPr>
            <w:tcW w:type="dxa" w:w="165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37"/>
        <w:gridCol w:w="4484"/>
      </w:tblGrid>
      <w:tr>
        <w:tc>
          <w:tcPr>
            <w:tcW w:type="dxa" w:w="5437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Campo de Cierre de Ciclo de Mejora Continua</w:t>
            </w:r>
          </w:p>
        </w:tc>
        <w:tc>
          <w:tcPr>
            <w:tcW w:type="dxa" w:w="4484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Registro de Gestión Pedagógica</w:t>
            </w:r>
          </w:p>
        </w:tc>
      </w:tr>
      <w:tr>
        <w:tc>
          <w:tcPr>
            <w:tcW w:type="dxa" w:w="543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Decisión derivada del hallazgo</w:t>
            </w:r>
          </w:p>
        </w:tc>
        <w:tc>
          <w:tcPr>
            <w:tcW w:type="dxa" w:w="448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543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Acción de mejora continua pedagógica y técnica</w:t>
            </w:r>
          </w:p>
        </w:tc>
        <w:tc>
          <w:tcPr>
            <w:tcW w:type="dxa" w:w="448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543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Responsable de la acción</w:t>
            </w:r>
          </w:p>
        </w:tc>
        <w:tc>
          <w:tcPr>
            <w:tcW w:type="dxa" w:w="448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Ing. Henry Roncancio</w:t>
            </w:r>
          </w:p>
        </w:tc>
      </w:tr>
      <w:tr>
        <w:tc>
          <w:tcPr>
            <w:tcW w:type="dxa" w:w="543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Fecha prevista de seguimiento</w:t>
            </w:r>
          </w:p>
        </w:tc>
        <w:tc>
          <w:tcPr>
            <w:tcW w:type="dxa" w:w="448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543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Evidencia de seguimiento</w:t>
            </w:r>
          </w:p>
        </w:tc>
        <w:tc>
          <w:tcPr>
            <w:tcW w:type="dxa" w:w="448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543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Resultado observado en el segundo ciclo</w:t>
            </w:r>
          </w:p>
        </w:tc>
        <w:tc>
          <w:tcPr>
            <w:tcW w:type="dxa" w:w="448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pStyle w:val="Heading1"/>
        <w:spacing w:before="160" w:after="60"/>
      </w:pPr>
      <w:r>
        <w:rPr>
          <w:rFonts w:ascii="Arial" w:hAnsi="Arial"/>
          <w:color w:val="1F4E79"/>
        </w:rPr>
        <w:t>12. Cierre y Firmas de Conformidad</w:t>
      </w:r>
    </w:p>
    <w:p>
      <w:pPr>
        <w:spacing w:after="60"/>
      </w:pPr>
      <w:r>
        <w:rPr>
          <w:rFonts w:ascii="Arial" w:hAnsi="Arial"/>
          <w:i w:val="0"/>
          <w:sz w:val="18"/>
        </w:rPr>
        <w:t>Docente Evaluador: Ing. Henry Roncancio              Fecha de Evaluación: ____________________</w:t>
      </w:r>
    </w:p>
    <w:p>
      <w:pPr>
        <w:spacing w:after="60"/>
      </w:pPr>
      <w:r>
        <w:rPr>
          <w:rFonts w:ascii="Arial" w:hAnsi="Arial"/>
          <w:i w:val="0"/>
          <w:sz w:val="18"/>
        </w:rPr>
        <w:t>Firma del Docente Evaluador: __________________________________________________</w:t>
      </w:r>
    </w:p>
    <w:p>
      <w:pPr>
        <w:spacing w:before="80" w:after="40"/>
      </w:pPr>
      <w:r>
        <w:rPr>
          <w:rFonts w:ascii="Arial" w:hAnsi="Arial"/>
          <w:i/>
          <w:sz w:val="17"/>
        </w:rPr>
        <w:t>Observaciones Finales y Retroalimentación Pedagógica: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9921"/>
            <w:shd w:fill="FAFAFA"/>
          </w:tcPr>
          <w:p>
            <w:pPr>
              <w:spacing w:before="40" w:after="40"/>
            </w:pPr>
            <w:r>
              <w:rPr>
                <w:rFonts w:ascii="Arial" w:hAnsi="Arial"/>
                <w:color w:val="555555"/>
                <w:sz w:val="16"/>
              </w:rPr>
              <w:t>Respuesta Técnica del Equipo:</w:t>
              <w:br/>
              <w:br/>
              <w:br/>
            </w:r>
          </w:p>
        </w:tc>
      </w:tr>
    </w:tbl>
    <w:sectPr w:rsidR="00FC693F" w:rsidRPr="0006063C" w:rsidSect="00034616">
      <w:footerReference w:type="default" r:id="rId9"/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ROB-ROS · Instrumento Único de Evidencia y Evaluación ABET — Lab 04 · 2026-2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Instrumento ABET – Laboratorio 04 – MoveIt 2 y ejecución supervisada del Kinova Gen3</dc:title>
  <dc:subject>ROBOT OPERATING SYSTEM - ROS</dc:subject>
  <dc:creator>Universidad Militar Nueva Granada</dc:creator>
  <cp:keywords/>
  <dc:description>Generado desde INSTRUMENTO_ABET_LAB_04_MOVEIT2_EJECUCION_SEGURA.md con build_instrumento_lab_04.py.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