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2" w:type="pct"/>
        <w:tblInd w:w="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83"/>
        <w:gridCol w:w="2147"/>
        <w:gridCol w:w="2219"/>
      </w:tblGrid>
      <w:tr w:rsidR="00750B95" w:rsidRPr="003A2EBA" w14:paraId="7BC184B8" w14:textId="77777777" w:rsidTr="007359BB">
        <w:trPr>
          <w:trHeight w:val="448"/>
        </w:trPr>
        <w:tc>
          <w:tcPr>
            <w:tcW w:w="2665" w:type="pct"/>
            <w:vMerge w:val="restart"/>
            <w:vAlign w:val="center"/>
          </w:tcPr>
          <w:p w14:paraId="6DD8D64B" w14:textId="77777777" w:rsidR="00750B95" w:rsidRDefault="00750B95" w:rsidP="00750B95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Guía de 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Preparación </w:t>
            </w:r>
          </w:p>
          <w:p w14:paraId="32A1F3E2" w14:textId="77777777" w:rsidR="00750B95" w:rsidRPr="00292D93" w:rsidRDefault="00750B95" w:rsidP="00750B95">
            <w:pPr>
              <w:jc w:val="center"/>
              <w:rPr>
                <w:rFonts w:ascii="Arial" w:hAnsi="Arial" w:cs="Arial"/>
                <w:b/>
                <w:bCs/>
                <w:color w:val="FF0000"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Práctica de </w:t>
            </w:r>
            <w:r w:rsidRPr="005A59F9">
              <w:rPr>
                <w:rFonts w:ascii="Arial" w:hAnsi="Arial" w:cs="Arial"/>
                <w:b/>
                <w:bCs/>
                <w:sz w:val="36"/>
                <w:szCs w:val="36"/>
              </w:rPr>
              <w:t>Laboratorio</w:t>
            </w: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Fecha Emisión:</w:t>
              <w:br/>
              <w:t>2026/09/28</w:t>
            </w:r>
          </w:p>
        </w:tc>
        <w:tc>
          <w:tcPr>
            <w:tcW w:w="1187" w:type="pct"/>
            <w:vAlign w:val="center"/>
          </w:tcPr>
          <w:p w14:paraId="13032C27" w14:textId="77777777" w:rsidR="00750B95" w:rsidRPr="00292D93" w:rsidRDefault="00750B95" w:rsidP="007359BB">
            <w:pPr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lang w:eastAsia="es-CO"/>
              </w:rPr>
              <w:t>GL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</w:t>
            </w:r>
            <w:r>
              <w:rPr>
                <w:rFonts w:ascii="Arial" w:hAnsi="Arial" w:cs="Arial"/>
                <w:b/>
                <w:bCs/>
                <w:lang w:eastAsia="es-CO"/>
              </w:rPr>
              <w:t>AA</w:t>
            </w:r>
            <w:r w:rsidRPr="00CA76DF">
              <w:rPr>
                <w:rFonts w:ascii="Arial" w:hAnsi="Arial" w:cs="Arial"/>
                <w:b/>
                <w:bCs/>
                <w:lang w:eastAsia="es-CO"/>
              </w:rPr>
              <w:t>-F</w:t>
            </w:r>
            <w:r>
              <w:rPr>
                <w:rFonts w:ascii="Arial" w:hAnsi="Arial" w:cs="Arial"/>
                <w:b/>
                <w:bCs/>
                <w:lang w:eastAsia="es-CO"/>
              </w:rPr>
              <w:t>-</w:t>
            </w:r>
            <w:r w:rsidR="00087EFF">
              <w:rPr>
                <w:rFonts w:ascii="Arial" w:hAnsi="Arial" w:cs="Arial"/>
                <w:b/>
                <w:bCs/>
                <w:lang w:eastAsia="es-CO"/>
              </w:rPr>
              <w:t>1</w:t>
            </w:r>
          </w:p>
        </w:tc>
      </w:tr>
      <w:tr w:rsidR="00750B95" w:rsidRPr="003A2EBA" w14:paraId="2201EA9E" w14:textId="77777777" w:rsidTr="007359BB">
        <w:trPr>
          <w:trHeight w:val="458"/>
        </w:trPr>
        <w:tc>
          <w:tcPr>
            <w:tcW w:w="2665" w:type="pct"/>
            <w:vMerge/>
            <w:vAlign w:val="center"/>
          </w:tcPr>
          <w:p w14:paraId="4A0D7BA8" w14:textId="77777777" w:rsidR="00750B95" w:rsidRPr="003A2EBA" w:rsidRDefault="00750B95" w:rsidP="007359BB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148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Revisión No.:</w:t>
              <w:br/>
              <w:t>1</w:t>
            </w:r>
          </w:p>
        </w:tc>
        <w:tc>
          <w:tcPr>
            <w:tcW w:w="1187" w:type="pct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 xml:space="preserve">Página </w:t>
              <w:fldChar w:fldCharType="begin"/>
              <w:instrText xml:space="preserve">PAGE</w:instrText>
              <w:fldChar w:fldCharType="separate"/>
              <w:t>1</w:t>
              <w:fldChar w:fldCharType="end"/>
            </w:r>
            <w:r>
              <w:rPr>
                <w:rFonts w:ascii="Arial" w:hAnsi="Arial"/>
                <w:b/>
                <w:sz w:val="16"/>
              </w:rPr>
              <w:t xml:space="preserve"> de 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8"/>
        </w:rPr>
      </w:r>
    </w:p>
    <w:tbl>
      <w:tblPr>
        <w:tblW w:w="52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58"/>
      </w:tblGrid>
      <w:tr w:rsidR="00087EFF" w:rsidRPr="005A59F9" w14:paraId="6D76A42A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Laboratorio de: INTELIGENCIA ARTIFICIAL</w:t>
            </w:r>
          </w:p>
        </w:tc>
      </w:tr>
      <w:tr w:rsidR="00087EFF" w14:paraId="2886B818" w14:textId="77777777" w:rsidTr="00087EFF">
        <w:tc>
          <w:tcPr>
            <w:tcW w:w="5000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Título de Laboratorio: Práctica IA 01. Embodied AI: razonamiento espacial con Gemini Robotics-ER 2 y localización 3D con la cámara RGB-D del Kinova Gen3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2"/>
        </w:rPr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FE6E64" w:rsidRPr="00B062BA" w14:paraId="70678EE1" w14:textId="77777777" w:rsidTr="00B85B58">
        <w:trPr>
          <w:trHeight w:val="3141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Elaborado por:</w:t>
              <w:br/>
              <w:br/>
              <w:t>Ing. Henry Roncancio</w:t>
              <w:br/>
              <w:t>Docente Asignatura Inteligencia Artificial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Revisado por:</w:t>
              <w:br/>
              <w:br/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Aprobado por:</w:t>
              <w:br/>
              <w:br/>
              <w:t>Decano(a)</w:t>
              <w:br/>
              <w:t>Facultad de Ingeniería</w:t>
            </w:r>
          </w:p>
        </w:tc>
      </w:tr>
    </w:tbl>
    <w:p>
      <w:r>
        <w:br w:type="page"/>
      </w:r>
    </w:p>
    <w:p>
      <w:pPr>
        <w:keepNext/>
        <w:spacing w:before="160" w:after="100"/>
      </w:pPr>
      <w:r>
        <w:rPr>
          <w:rFonts w:ascii="Arial" w:hAnsi="Arial"/>
          <w:b/>
          <w:color w:val="1F4E79"/>
          <w:sz w:val="20"/>
        </w:rPr>
        <w:t>CONTROL DE CAMBIOS DE LA GUÍA DE PRÁCTICA</w:t>
      </w:r>
    </w:p>
    <w:tbl>
      <w:tblPr>
        <w:tblW w:w="906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515"/>
        <w:gridCol w:w="3119"/>
        <w:gridCol w:w="2432"/>
      </w:tblGrid>
      <w:tr w:rsidR="0049678C" w:rsidRPr="00263353" w14:paraId="1A3FFC4D" w14:textId="77777777" w:rsidTr="003110F4">
        <w:trPr>
          <w:tblHeader w:val="true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F07BD" w14:textId="77777777" w:rsidR="0049678C" w:rsidRPr="00263353" w:rsidRDefault="00700ECE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Descripción</w:t>
            </w:r>
            <w:r w:rsidR="0049678C" w:rsidRPr="00263353">
              <w:rPr>
                <w:rFonts w:ascii="Arial" w:hAnsi="Arial" w:cs="Arial"/>
                <w:b/>
              </w:rPr>
              <w:t xml:space="preserve"> del Cambio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8B8ED" w14:textId="77777777" w:rsidR="0049678C" w:rsidRPr="00263353" w:rsidRDefault="003110F4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>Justificación del Cambio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18B7" w14:textId="77777777" w:rsidR="0049678C" w:rsidRPr="00263353" w:rsidRDefault="0049678C" w:rsidP="003110F4">
            <w:pPr>
              <w:numPr>
                <w:ilvl w:val="0"/>
                <w:numId w:val="6"/>
              </w:numPr>
              <w:tabs>
                <w:tab w:val="left" w:pos="0"/>
              </w:tabs>
              <w:suppressAutoHyphens/>
              <w:snapToGrid w:val="0"/>
              <w:jc w:val="center"/>
              <w:rPr>
                <w:rFonts w:ascii="Arial" w:hAnsi="Arial" w:cs="Arial"/>
                <w:b/>
              </w:rPr>
            </w:pPr>
            <w:r w:rsidRPr="00263353">
              <w:rPr>
                <w:rFonts w:ascii="Arial" w:hAnsi="Arial" w:cs="Arial"/>
                <w:b/>
              </w:rPr>
              <w:t xml:space="preserve">Fecha de </w:t>
            </w:r>
            <w:r w:rsidR="003110F4" w:rsidRPr="00263353">
              <w:rPr>
                <w:rFonts w:ascii="Arial" w:hAnsi="Arial" w:cs="Arial"/>
                <w:b/>
              </w:rPr>
              <w:t>Elaboración / Actualización</w:t>
            </w:r>
          </w:p>
        </w:tc>
      </w:tr>
      <w:tr w:rsidR="00BE7280" w:rsidRPr="00263353" w14:paraId="3E2F36AE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Eslabón TF de la cámara en la Ruta B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El driver carga el brazo sin vision:=true y el árbol del robot no conecta camera_link con end_effector_link. La Ruta B remite al Taller URDF y TF2 §11, que explica cómo publicar ese eslabón desde la anfitriona para expresar el objetivo en base_link.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14/10/2026</w:t>
            </w:r>
          </w:p>
        </w:tc>
      </w:tr>
      <w:tr w:rsidR="00BE7280" w:rsidRPr="00263353" w14:paraId="3594A97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Ubicación de la práctica en el Tercer Corte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 práctica se evalúa en el tercer corte: el instrumento ABET registra "Tercer Corte", el aporte L₃ y el nombre de archivo C3_LIA01_G&lt;grupo&gt;_&lt;codigo1&gt;_&lt;codigo2&gt;_v1.docx.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13/10/2026</w:t>
            </w:r>
          </w:p>
        </w:tc>
      </w:tr>
      <w:tr w:rsidR="00BE7280" w:rsidRPr="00263353" w14:paraId="06723AF1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Entrega mediante instrumento ABET único con criterios, indicadores y niveles N1–N5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La plantilla de informe libre no seguía la convención de las demás prácticas. Se reemplaza por INSTRUMENTO_ABET_LAB_IA_01_EMBODIED_AI_GEMINI_ER2.docx, que reúne evidencias E1–E9, tablas, cuestionario, Anexo A individual, rúbricas por criterio en escala 0–500 y consolidación ABET. La tabla de RAE de esta guía muestra ahora los indicadores de desempeño.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13/10/2026</w:t>
            </w:r>
          </w:p>
        </w:tc>
      </w:tr>
      <w:tr w:rsidR="00BE7280" w:rsidRPr="00263353" w14:paraId="7F3FF212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Versión inicial de la práctica y de su plantilla de código e informe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Lleva a laboratorio la propuesta de razonamiento espacial con Gemini Robotics-ER (docs/research/EXPERIMENTO_IA_LOCALIZACION_GEMINI.md, ros2_setup/PROPUESTA_GEMINI_ER.md), actualizada al modelo gemini-robotics-er-2-preview. Ofrece dos rutas equivalentes: A sin ROS 2 (RTSP directo) y B con ROS 2 (driver kinova_vision). Incorpora el registro de la profundidad al marco de color, que la propuesta original omitía, y la calibración de la cámara de color, porque el archivo por defecto del driver para 1920×1080 trae un punto principal imposible (cy = 96.97 px).</w:t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28/09/2026</w:t>
            </w:r>
          </w:p>
        </w:tc>
      </w:tr>
      <w:tr w:rsidR="00BE7280" w:rsidRPr="00263353" w14:paraId="704D4279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B24BEE4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38AB72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504777FA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0FA3F357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40C94C58" w14:textId="77777777"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 w:rsidR="00BE7280" w:rsidRPr="00263353" w14:paraId="64F8F17D" w14:textId="77777777" w:rsidTr="001A7596">
        <w:trPr>
          <w:trHeight w:val="407"/>
        </w:trPr>
        <w:tc>
          <w:tcPr>
            <w:tcW w:w="3515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w="24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FACULTAD O UNIDAD ACADÉMICA: </w:t>
      </w:r>
      <w:r>
        <w:rPr>
          <w:rFonts w:ascii="Arial" w:hAnsi="Arial"/>
          <w:b w:val="0"/>
          <w:sz w:val="18"/>
        </w:rPr>
        <w:t>Facultad de Ingeniería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PROGRAMA: </w:t>
      </w:r>
      <w:r>
        <w:rPr>
          <w:rFonts w:ascii="Arial" w:hAnsi="Arial"/>
          <w:b w:val="0"/>
          <w:sz w:val="18"/>
        </w:rPr>
        <w:t>Ingeniería Mecatrónica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ASIGNATURA: </w:t>
      </w:r>
      <w:r>
        <w:rPr>
          <w:rFonts w:ascii="Arial" w:hAnsi="Arial"/>
          <w:b w:val="0"/>
          <w:sz w:val="18"/>
        </w:rPr>
        <w:t>INTELIGENCIA ARTIFICIAL</w:t>
      </w:r>
    </w:p>
    <w:p>
      <w:pPr>
        <w:keepNext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</w:r>
      <w:r>
        <w:rPr>
          <w:rFonts w:ascii="Arial" w:hAnsi="Arial"/>
          <w:b/>
          <w:sz w:val="18"/>
        </w:rPr>
        <w:t xml:space="preserve">SEMESTRE: </w:t>
      </w:r>
      <w:r>
        <w:rPr>
          <w:rFonts w:ascii="Arial" w:hAnsi="Arial"/>
          <w:b w:val="0"/>
          <w:sz w:val="18"/>
        </w:rPr>
        <w:t>Por definir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INTRODUCCIÓN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¿Qué es Embodied AI?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Un modelo de lenguaje responde preguntas sobre texto; un agente corporizado (embodied) tiene que responderlas en el espacio físico: percibe con sensores, razona sobre objetos reales y propone acciones que un cuerpo (aquí, el brazo Kinova Gen3) podría ejecutar. El ciclo 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PERCEPCIÓN                  RAZONAMIENTO                     ACCIÓN</w:t>
            </w:r>
            <w:r>
              <w:br/>
            </w:r>
            <w:r>
              <w:rPr>
                <w:rFonts w:ascii="Courier New" w:hAnsi="Courier New"/>
                <w:sz w:val="16"/>
              </w:rPr>
              <w:t>cámara RGB-D  ───►  VLM: "¿dónde está?, ¿se puede   ───►  punto 3D, plan de agarre,</w:t>
            </w:r>
            <w:r>
              <w:br/>
            </w:r>
            <w:r>
              <w:rPr>
                <w:rFonts w:ascii="Courier New" w:hAnsi="Courier New"/>
                <w:sz w:val="16"/>
              </w:rPr>
              <w:t>(color + mm)         agarrar?, ¿se cumplió la tarea?"       verificación de éxito</w:t>
            </w:r>
            <w:r>
              <w:br/>
            </w:r>
            <w:r>
              <w:rPr>
                <w:rFonts w:ascii="Courier New" w:hAnsi="Courier New"/>
                <w:sz w:val="16"/>
              </w:rPr>
              <w:t>▲                                                             │</w:t>
            </w:r>
            <w:r>
              <w:br/>
            </w:r>
            <w:r>
              <w:rPr>
                <w:rFonts w:ascii="Courier New" w:hAnsi="Courier New"/>
                <w:sz w:val="16"/>
              </w:rPr>
              <w:t>└──────────────────────── el mundo cambia ◄──────────────────┘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dificultad central no es reconocer el objeto, sino aterrizar (grounding) la respuesta del modelo: pasar de "la caja libre, a la izquierda del termo" a un punto (X, Y, Z) en metros que un planificador de movimiento pueda usar.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Gemini Robotics-ER 2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gemini-robotics-er-2-preview es el modelo visión-lenguaje (VLM) de Google DeepMind especializado en razonamiento corporizado (Embodied Reasoning). Recibe imágenes y texto y devuelve texto, normalmente JSON. Sus capacidades relevantes para esta práctica son: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25"/>
        <w:gridCol w:w="3963"/>
        <w:gridCol w:w="2750"/>
      </w:tblGrid>
      <w:tr>
        <w:trPr>
          <w:cantSplit/>
          <w:tblHeader w:val="true"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Qué devuelve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Tarea en la plantilla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Señalamiento (pointing)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[{"point": [y, x], "label": "..."}]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puntos, propio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Cajas delimitadoras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[{"box_2d": [ymin, xmin, ymax, xmax], "label": "..."}]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cajas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Affordances y seguridad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Punto de agarre, o lista vacía si no es seguro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agarre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Orquestación de tareas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 de pasos estructurado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29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Detección de éxito</w:t>
            </w:r>
          </w:p>
        </w:tc>
        <w:tc>
          <w:tcPr>
            <w:tcW w:type="dxa" w:w="39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Veredicto a partir de imágenes antes/después</w:t>
            </w:r>
          </w:p>
        </w:tc>
        <w:tc>
          <w:tcPr>
            <w:tcW w:type="dxa" w:w="27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exito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Tres detalles de la API que causan la mayoría de los errores: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Las coordenadas vienen normalizadas a 0-1000 y en orden [y, x] (fila, columna), sin importar la resolución de la imagen enviada. Por eso se puede enviar una imagen reducida a 1280 px y aun así ubicar el punto en la imagen original de 1920×1080.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El nivel de razonamiento se controla con thinking_level (low, high, ...). Más razonamiento suele mejorar las preguntas difíciles a costa de latencia y tokens: es una de las variables del experimento.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Es un modelo preview: nombre, cuotas y precios pueden cambiar. Cada llamada tarda segundos, así que nunca se usa dentro de un lazo de control; se consulta una vez por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¿Por qué no YOLO? Un detector entrenado encuentra todas las cajas; no sabe cuál está libre, cuál está abierta ni cuál "pertenece" a quién. La comparación completa está en docs/research/EXPERIMENTO_IA_LOCALIZACION_GEMINI.md §2.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La cámara del Kinova: dos sensores, no uno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módulo de visión de la muñeca tiene dos sensores separados unos milímetros (Laboratorio 02):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9"/>
        <w:gridCol w:w="3402"/>
        <w:gridCol w:w="3447"/>
      </w:tblGrid>
      <w:tr>
        <w:trPr>
          <w:cantSplit/>
          <w:tblHeader w:val="true"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Sensor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Stream RTSP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Formato medido en el laboratorio</w:t>
            </w:r>
          </w:p>
        </w:tc>
      </w:tr>
      <w:tr>
        <w:trPr>
          <w:cantSplit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Color (Omnivision OV5640)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rtsp://192.168.1.10/color (H.264)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1920×1080 RGB, ≈ 30 FPS</w:t>
            </w:r>
          </w:p>
        </w:tc>
      </w:tr>
      <w:tr>
        <w:trPr>
          <w:cantSplit/>
        </w:trPr>
        <w:tc>
          <w:tcPr>
            <w:tcW w:type="dxa" w:w="27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Profundidad (Intel RealSense D410)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rtsp://192.168.1.10/depth (RTP X-GST, solo GStreamer)</w:t>
            </w:r>
          </w:p>
        </w:tc>
        <w:tc>
          <w:tcPr>
            <w:tcW w:type="dxa" w:w="344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480×270 GRAY16_LE, milímetros por píxel, 0 = sin dato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Gemini señala un píxel en la imagen de color, pero la distancia está en la imagen de profundidad, que tiene otra resolución, otro campo de visión y otro origen. Tomar "el mismo píxel escalado" es un error que se mide en la Fase 5.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Geometría: del punto de Gemini al punto 3D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1 — normalizado a píxel (imagen de color de ancho W y alto H):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u = x_n/1000(W-1),       v = y_n/1000(H-1)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2 — registro de la profundidad al marco de color. Cada píxel de profundidad (u_d, v_d) con distancia z_d se lleva a 3D con los intrínsecos de profundidad K_d, se traslada al marco de color con los extrínsecos [R | t] y se proyecta con los intrínsecos de color K_c: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P_d = z_d K_d⁻¹[u_d, v_d, 1],       P_c = R P_d + t,       [u_c, v_c, 1] ~ K_c P_c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Es lo que hace depth_image_proc::RegisterNode en ROS 2; la plantilla lo implementa en registrar_profundidad() con numpy para que ambas rutas usen el mismo código. En el Kinova, R = I y t = (-19.5, -5, 0) mm según el kinova_vision.launch.py oficial.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3 — profundidad robusta: como la profundidad tiene ~16 veces menos píxeles que el color, la imagen registrada queda con huecos. Se toma la mediana de los valores no nulos en una ventana alrededor de (u, v).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Paso 4 — desproyección con el modelo pinhole (f_x, f_y, c_x, c_y del sensor de color):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Arial" w:hAnsi="Arial"/>
          <w:b w:val="0"/>
          <w:i/>
          <w:sz w:val="18"/>
        </w:rPr>
        <w:t>X = ((u - c_x) Z)/f_x,       Y = ((v - c_y) Z)/f_y,       Z = z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resultado está en el marco óptico de la cámara de color: X a la derecha, Y hacia abajo, Z hacia delante.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Los intrínsecos de color por defecto del driver para 1920×1080 no sirven. El archivo default_color_calib_1920x1080.ini de kinova_vision declara cy = 96.97 px en una imagen de 1080 filas (el centro está cerca de 540) y una focal incompatible con la de 640×480. Con esos valores cada punto 3D sale desplazado decenas de centímetros. Por eso la Fase 2 calibra la cámara, y la plantilla advierte si el punto principal cae lejos del centro.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OBJETIVOS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 General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Construir y evaluar experimentalmente un pipeline de Embodied AI que, a partir de una instrucción en lenguaje natural y una captura RGB-D del Kinova Gen3, use Gemini Robotics-ER 2 para identificar objetos por razonamiento espacial y los localice en metros, cuantificando su exactitud semántica, su error geométrico y el costo del razonamiento.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Objetivos Específicos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Adquirir escenas RGB-D del módulo de visión del Kinova por RTSP directo (Ruta A) o desde el driver ROS 2 (Ruta B).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Calibrar y verificar los intrínsecos de la cámara de color, comprobando la calibración con una medida conocida.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Implementar la conversión de coordenadas de Gemini, la lectura robusta de profundidad y la desproyección pinhole, validándolas con pruebas automáticas.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Diseñar prompts que obliguen al modelo a razonar sobre relaciones espaciales, estado y seguridad de los objetos, con salida JSON verificable.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Evaluar exactitud semántica, error 3D, latencia y tokens en función del nivel de razonamiento, y el efecto del registro de profundidad (ablación).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6. Cerrar el ciclo corporizado con un plan de manipulación validado (no ejecutado) y una detección de éxito antes/después.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DESCRIPCIÓN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práctica se realiza en grupos de 2 o 3 personas. Cada grupo elige una ruta; las fases 0, 2 y 4 a 7 son idénticas en ambas y producen las mismas evidencias.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572"/>
        <w:gridCol w:w="3912"/>
      </w:tblGrid>
      <w:tr>
        <w:trPr>
          <w:cantSplit/>
          <w:tblHeader w:val="true"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 A — sin ROS 2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Ruta B — con ROS 2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 quién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Quienes aún no han visto ROS 2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Quienes ya aprobaron los laboratorios 01 y 02 de ROS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Cómo llega la imagen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embodied_sin_ros.py capturar abre el RTSP del robot con OpenCV + GStreamer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nodo embodied_ros2_nodo.py se suscribe al driver kinova_vision de la estación anfitriona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Dónde se trabaja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Capturas guardadas en disco: el análisis no necesita el robot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 vivo, con el mismo ROS_DOMAIN_ID que la anfitriona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TODO a completar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1, 2, 3, 4</w:t>
            </w:r>
          </w:p>
        </w:tc>
        <w:tc>
          <w:tcPr>
            <w:tcW w:type="dxa" w:w="39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1, 2, 3, 4 y 5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  <w:r>
              <w:br/>
            </w:r>
            <w:r>
              <w:rPr>
                <w:rFonts w:ascii="Courier New" w:hAnsi="Courier New"/>
                <w:sz w:val="16"/>
              </w:rPr>
              <w:t>|                                FASES DE LA PRÁCTICA     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0: ENTORNO, CLAVE DE API Y PRUEBA SIN ROBOT       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1: ADQUISICIÓN RGB-D  (Ruta A: RTSP por turnos · Ruta B: driver + nodo ROS 2)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2: CALIBRACIÓN DE LA CÁMARA DE COLOR Y VERIFICACIÓN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3: IMPLEMENTACIÓN DE LOS TODO Y AUTOEVALUACIÓN (pytest)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4: EXPERIMENTO 1 — RAZONAMIENTO SEMÁNTICO-ESPACIAL        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5: EXPERIMENTO 2 — EXACTITUD 3D Y ABLACIÓN DEL REGISTRO DE PROFUNDIDAD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6: EXPERIMENTO 3 — COSTO DEL RAZONAMIENTO (thinking_level)             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|  FASE 7: EXPERIMENTO 4 — CICLO CORPORIZADO: AGARRE, PLAN Y DETECCIÓN DE ÉXITO         |</w:t>
            </w:r>
            <w:r>
              <w:br/>
            </w:r>
            <w:r>
              <w:rPr>
                <w:rFonts w:ascii="Courier New" w:hAnsi="Courier New"/>
                <w:sz w:val="16"/>
              </w:rPr>
              <w:t>+---------------------------------------------------------------------------------------+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Duración: una sesión presencial de 3 horas (turnos de captura de 10 minutos por grupo en la Ruta A) y trabajo autónomo para los experimentos que no requieren el robot.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Código base: plantilla_lab_ia_embodied/. Entrega y evaluación: instrumento ABET único INSTRUMENTO_ABET_LAB_IA_01_EMBODIED_AI_GEMINI_ER2.docx, con el nombre de archivo C3_LIA01_G&lt;grupo&gt;_&lt;codigo1&gt;_&lt;codigo2&gt;_v1.docx.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Resultados de Aprendizaje Evaluables (RAE) y Ponderación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2"/>
        <w:gridCol w:w="4076"/>
        <w:gridCol w:w="1332"/>
        <w:gridCol w:w="1417"/>
      </w:tblGrid>
      <w:tr>
        <w:trPr>
          <w:cantSplit/>
          <w:tblHeader w:val="true"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RAE / Indicador de Desempeño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Ponderación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C1. Implementación del pipeline percepción → razonamiento → geometría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1.1. Aplica principios matemáticos (matrices de transformación homogénea, rotaciones y cuaterniones) para resolver problemas espaciales en robótica.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SO1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C2. Diseño experimental y medición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6.1. Diseña y ejecuta pruebas experimentales con verdad de terreno medida, repeticiones y variables controladas para cuantificar exactitud, latencia y repetibilidad.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SO6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C3. Análisis crítico del modelo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6.4. Interpreta fallas y diagnósticos experimentales aplicando protocolos por capas para aislar errores en hardware y software.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SO6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C4. Informe técnico y comunicación de resultados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3.1 - 3.3. Elabora documentación técnica reproducible y comunica resultados experimentales con métricas y demostraciones.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SO3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C5. Uso responsable de IA, seguridad y trabajo en equipo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4.3. Aplica buenas prácticas en el uso de datos de cámara, operación segura y roles de equipo.</w:t>
              <w:br/>
              <w:t>5.1. Define roles técnicos y coordina la ejecución colaborativa en equipo.</w:t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SO4 / SO5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</w:tr>
      <w:tr>
        <w:trPr>
          <w:cantSplit/>
        </w:trPr>
        <w:tc>
          <w:tcPr>
            <w:tcW w:type="dxa" w:w="28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40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3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100%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Cada criterio se califica en cinco niveles sobre la escala Zubatronic/SGDE (0–500). N3 es el umbral individual de logro y la meta de cohorte es que al menos el 70 % de los estudiantes alcance N3 o superior en cada indicador. La nota sobre 5,0 es el consolidado ponderado sobre 500 dividido entre 100.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8"/>
        <w:gridCol w:w="2268"/>
        <w:gridCol w:w="5352"/>
      </w:tblGrid>
      <w:tr>
        <w:trPr>
          <w:cantSplit/>
          <w:tblHeader w:val="true"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Intervalo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N5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475–500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Excelente: evidencia completa, rigurosa y reproducible, con profundidad analítica sobresaliente.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N4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400–474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Bueno: desempeño correcto con omisiones menores que no comprometen la validez de las mediciones.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N3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300–399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Aceptable: desempeño esencial con evidencia verificable (umbral de logro).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N2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150–299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Parcial: evidencia incompleta, métricas faltantes o conclusiones sin sustento en los datos.</w:t>
            </w:r>
          </w:p>
        </w:tc>
      </w:tr>
      <w:tr>
        <w:trPr>
          <w:cantSplit/>
        </w:trPr>
        <w:tc>
          <w:tcPr>
            <w:tcW w:type="dxa" w:w="20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N1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0–149</w:t>
            </w:r>
          </w:p>
        </w:tc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cumple: evidencia mínima o no funcional; sin evidencia obligatoria se registra 0.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rúbricas con la evidencia observable de cada nivel por criterio están en el instrumento ABET (sección 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Los indicadores 1.1, 3.1 - 3.3, 4.3, 5.1 y 6.4 se citan como aparecen en los instrumentos del programa usados en las demás prácticas; el 6.1 se redactó para esta práctica. Verifíquelos contra el syllabus vigente de Inteligencia Artificial.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MATERIALES Y EQUIPOS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del Laboratorio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04"/>
        <w:gridCol w:w="1979"/>
        <w:gridCol w:w="2455"/>
      </w:tblGrid>
      <w:tr>
        <w:trPr>
          <w:cantSplit/>
          <w:tblHeader w:val="true"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Brazo Kinova Gen3 (6 GDL) con módulo de visión en la muñeca, en pose de observación fija mirando la mesa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Estación anfitriona (Ubuntu 24.04, ROS 2 Jazzy, kinova_vision) cableada al router 192.168.1.1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Router TP-Link AX12, SSID ros2, subred 192.168.1.0/24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Parada de emergencia física verificada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Unidad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Objetos de escena: 2 cajas de hamburguesa (o recipientes), termo o botella, 2 cuadernos, estuche y esferos, bandeja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  <w:tr>
        <w:trPr>
          <w:cantSplit/>
        </w:trPr>
        <w:tc>
          <w:tcPr>
            <w:tcW w:type="dxa" w:w="520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Cinta métrica y regla de 30 cm; hoja A4 blanca con bordes marcados</w:t>
            </w:r>
          </w:p>
        </w:tc>
        <w:tc>
          <w:tcPr>
            <w:tcW w:type="dxa" w:w="197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455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Juego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Equipos del Estudiante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058"/>
        <w:gridCol w:w="2557"/>
      </w:tblGrid>
      <w:tr>
        <w:trPr>
          <w:cantSplit/>
          <w:tblHeader w:val="true"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UNIDAD DE MEDIDA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Portátil con Ubuntu 24.04 (Ruta B: además ROS 2 Jazzy y el perfil CycloneDDS del Laboratorio 02)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Clave personal de la Gemini API (Google AI Studio)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  <w:tr>
        <w:trPr>
          <w:cantSplit/>
        </w:trPr>
        <w:tc>
          <w:tcPr>
            <w:tcW w:type="dxa" w:w="50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Repositorio burger_delivery actualizado (carpeta plantilla_lab_ia_embodied)</w:t>
            </w:r>
          </w:p>
        </w:tc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 grupo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SEGURIDAD, ÉTICA Y USO RESPONSABLE DE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ADVERTENCIA: </w:t>
            </w:r>
            <w:r>
              <w:rPr>
                <w:rFonts w:ascii="Arial" w:hAnsi="Arial"/>
                <w:sz w:val="16"/>
              </w:rPr>
              <w:t>1. El robot NO se mueve durante la práctica. La estación anfitriona lo deja en la pose de observación antes de empezar. El código de los estudiantes solo lee la cámara: no abre sesión de control ni publica trayectorias.</w:t>
              <w:br/>
              <w:t>2. Zona de trabajo: para reorganizar la escena, avise en voz alta y confirme que nadie está operando la anfitriona. Mantenga libre el radio de 1.2 m del brazo cuando esté energizado.</w:t>
              <w:br/>
              <w:t>3. Las imágenes salen del laboratorio. Cada consulta envía la foto a servidores de Google. No capture personas, rostros, carnés ni documentos. En la capa gratuita, los términos de la API permiten que el contenido se use para mejorar los productos: revise los términos vigentes antes de enviar cualquier imagen.</w:t>
              <w:br/>
              <w:t>4. La clave de API es personal. Úsela solo como variable de entorno (GEMINI_API_KEY). Una clave subida a GitHub debe revocarse de inmediato en AI Studio.</w:t>
              <w:br/>
              <w:t>5. Un VLM puede equivocarse con total seguridad. Ningún resultado de esta práctica se envía al robot sin validación humana y geométrica (Fase 7).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PROCEDIMIENTO EXPERIMENTAL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0: Entorno, Clave de API y Prueba sin Robot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Instale el entorno (una vez por portátil) siguiendo plantilla_lab_ia_embodied/README.md §Instalación. El punto clave: OpenCV debe ser el de Ubuntu (python3-opencv), porque el de pip no trae GStreamer y sin él el stream de profundidad no abre (Laboratorio 02, Fase 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venv --system-site-packages ~/venv_embodied</w:t>
            </w:r>
            <w:r>
              <w:br/>
            </w:r>
            <w:r>
              <w:rPr>
                <w:rFonts w:ascii="Courier New" w:hAnsi="Courier New"/>
                <w:sz w:val="16"/>
              </w:rPr>
              <w:t>source ~/venv_embodied/bin/activate</w:t>
            </w:r>
            <w:r>
              <w:br/>
            </w:r>
            <w:r>
              <w:rPr>
                <w:rFonts w:ascii="Courier New" w:hAnsi="Courier New"/>
                <w:sz w:val="16"/>
              </w:rPr>
              <w:t>cd ~/ros2_ws/src/burger_delivery/education/guias_laboratorio/plantilla_lab_ia_embodied</w:t>
            </w:r>
            <w:r>
              <w:br/>
            </w:r>
            <w:r>
              <w:rPr>
                <w:rFonts w:ascii="Courier New" w:hAnsi="Courier New"/>
                <w:sz w:val="16"/>
              </w:rPr>
              <w:t>pip install -r requirements.txt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Genere la clave en Google AI Studio y expórtela en cada terminal: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export GEMINI_API_KEY="su-clave"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Prueba de humo sin robot ni API (valida la instalación):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pytest tests -q   # debe mostrar 9 fallos con NotImplementedError (sus TODO) y 6 aprobadas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Sin cuota de API, cualquier consulta de las fases siguientes puede ejecutarse con una respuesta escrita a mano, por ejemplo --respuesta '[{"point": [500, 500], "label": "centro"}]', para depurar la geometría sin gastar llamadas. Registre la versión de google-genai (pip show google-genai) en la Tabla 1.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1: Adquisición RGB-D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estación anfitriona lleva el brazo a la pose de observación (cámara a unos 50-70 cm de la mesa, mirando hacia abajo) y no lo mueve durante la sesión.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Ruta A — sin ROS 2 (captura por turnos)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IMPORTANTE: </w:t>
            </w:r>
            <w:r>
              <w:rPr>
                <w:rFonts w:ascii="Arial" w:hAnsi="Arial"/>
                <w:sz w:val="16"/>
              </w:rPr>
              <w:t>Un solo consumidor RTSP a la vez. Como se vio en el Laboratorio 02, la cámara puede rechazar streams nuevos si otro proceso la mantiene abierta. Los grupos de la Ruta A capturan por turnos de 10 minutos, con el driver ROS 2 de la anfitriona detenido, y analizan después con los archivos guardados.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Verifique el enlace y la cámara con el visor del Laboratorio 02 (cierre con q):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ping -c 3 192.168.1.10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~/ros2_ws/src/burger_delivery/scripts/test_kinova_camera.py --ip 192.168.1.10 --stream depth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Capture todas las escenas que necesitará en las fases 2 a 7 (lista en la Tabla 2). Cada captura toma unos segundos y guarda color, profundidad de 16 bits y metadatos: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capturar --escena regla    --nota "hoja A4 horizontal, centrada"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embodied_sin_ros.py capturar --escena semantica1 --nota "dos cajas, termo sobre una"</w:t>
            </w:r>
            <w:r>
              <w:br/>
            </w:r>
            <w:r>
              <w:rPr>
                <w:rFonts w:ascii="Courier New" w:hAnsi="Courier New"/>
                <w:sz w:val="16"/>
              </w:rPr>
              <w:t>... una captura por escena de la Tabla 2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Revise en cada capturas/&lt;escena&gt;_meta.json el porcentaje de píxeles de profundidad válidos y el desfase entre color y profundidad. Una escena con menos del 60 % de píxeles válidos se repite (superficies negras o brillantes devuelven 0).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Ruta B — con ROS 2 (en vivo)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La anfitriona lanza el driver con color y profundidad, limitando la frecuencia para no saturar el Wi-Fi (la imagen de profundidad cruda pesa 259 KB por cuadro):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launch kinova_vision kinova_vision.launch.py device:=192.168.1.10 \</w:t>
            </w:r>
            <w:r>
              <w:br/>
            </w:r>
            <w:r>
              <w:rPr>
                <w:rFonts w:ascii="Courier New" w:hAnsi="Courier New"/>
                <w:sz w:val="16"/>
              </w:rPr>
              <w:t>max_color_pub_rate:=10.0 max_depth_pub_rate:=5.0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Cada grupo, con el ROS_DOMAIN_ID, el RMW y el CYCLONEDDS_URI del Laboratorio 02, comprueba los tópicos: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hz /camera/color/image_raw/compressed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hz /camera/depth/image_raw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/camera/depth/camera_info --once --field k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Lance el nodo del grupo y envíe una consulta de prueba: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embodied_ros2_nodo.py --ros-args -p grupo:=G03 -p thinking:=low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pub --once /embodied/consulta std_msgs/msg/String \</w:t>
            </w:r>
            <w:r>
              <w:br/>
            </w:r>
            <w:r>
              <w:rPr>
                <w:rFonts w:ascii="Courier New" w:hAnsi="Courier New"/>
                <w:sz w:val="16"/>
              </w:rPr>
              <w:t>"{data: '{\"tarea\": \"puntos\", \"objeto\": \"la caja de hamburguesa\"}'}"</w:t>
            </w:r>
            <w:r>
              <w:br/>
            </w:r>
            <w:r>
              <w:rPr>
                <w:rFonts w:ascii="Courier New" w:hAnsi="Courier New"/>
                <w:sz w:val="16"/>
              </w:rPr>
              <w:t>ros2 topic echo /embodied/respuesta --once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Para obtener el objetivo en la base del robot (ros2 run tf2_ros tf2_echo base_link objetivo_gemini_0), el árbol TF debe conectar la cámara con el brazo. El driver se lanza sin vision:=true, así que la anfitriona publica una vez el eslabón end_effector_link → camera_link, como se explica en el Taller URDF y TF2 §11.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llamada a Gemini corre en un hilo aparte (_cb_consulta → _trabajar): explique en el informe qué ocurriría con /camera/... si se hiciera dentro del callback.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Guarde las escenas de la Tabla 2 con la tarea especial guardar. El nodo escribe los mismos archivos que capturar de la Ruta A (capturas/&lt;escena&gt;_color.png, _depth.png de 16 bits y _meta.json), así que desde aquí las fases 4 a 7 se ejecutan igual en las dos rutas, con embodied_sin_ros.py consultar sobre las escenas guardadas: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ros2 topic pub --once /embodied/consulta std_msgs/msg/String \</w:t>
            </w:r>
            <w:r>
              <w:br/>
            </w:r>
            <w:r>
              <w:rPr>
                <w:rFonts w:ascii="Courier New" w:hAnsi="Courier New"/>
                <w:sz w:val="16"/>
              </w:rPr>
              <w:t>"{data: '{\"tarea\": \"guardar\", \"escena\": \"semantica1\", \"nota\": \"dos cajas, termo sobre una\"}'}"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consultas en vivo por /embodied/consulta son equivalentes y también escriben en resultados/resultados.csv (columna opcion = B-ROS2).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2: Calibración de la Cámara de Color y Verificación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config_camara_kinova.json trae solo los valores del driver para 640×480 (color) y 480×270 (profundidad). Para la resolución real del robot (1920×1080) hay dos caminos: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Calibración oficial (docente o monitor, una vez): leer_calibracion_kortex.py lee con la Kortex API los intrínsecos de ambos sensores y los extrínsecos, y los escribe en el JSON. El JSON resultante se comparte con todos los grupos.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Calibración rápida (cada grupo): semejanza de triángulos con la escena regla. Con una hoja A4 horizontal (0.297 m) paralela a la imagen, centrada, a una distancia Z medida con cinta desde el frente del módulo de visión: f_x ≈ ((u_2 - u_1) Z)/0.297,       f_y ≈ f_x,       c_x ≈ W/2,       c_y ≈ H/2 Lea las columnas u_1 y u_2 de los bordes de la hoja con cualquier visor que muestre coordenadas del puntero (GIMP, por ejemplo) y ejecute: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calibrar --escena regla --u1 &lt;px&gt; --u2 &lt;px&gt; \</w:t>
            </w:r>
            <w:r>
              <w:br/>
            </w:r>
            <w:r>
              <w:rPr>
                <w:rFonts w:ascii="Courier New" w:hAnsi="Courier New"/>
                <w:sz w:val="16"/>
              </w:rPr>
              <w:t>--ancho-real-m 0.297 --distancia-m &lt;Z medida&gt;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El comando agrega la resolución 1920x1080 al JSON e informa el campo de visión horizontal resultante.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Verificación obligatoria (cierra el lazo): pida a Gemini las dos esquinas superiores de la hoja y compare la distancia 3D calculada con 0.297 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regla --tarea puntos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esquina superior izquierda y la esquina superior derecha de la hoja blanca"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Un error mayor al 5 % indica una calibración o una distancia Z mal medida: repita antes de seguir. Registre todo en la Tabla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CONSEJO: </w:t>
            </w:r>
            <w:r>
              <w:rPr>
                <w:rFonts w:ascii="Arial" w:hAnsi="Arial"/>
                <w:sz w:val="16"/>
              </w:rPr>
              <w:t>En la Ruta B, el nodo usa el mismo JSON (parámetro fuente_intrinsecos). Con -p fuente_intrinsecos:=camera_info usaría los del driver: pruébelo y observe la advertencia sobre cy.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3: Implementación de los TODO y Autoevaluación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Complete, en este orden, las funciones de embodied_comun.py (y embodied_ros2_nodo.py en la Ruta B):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3203"/>
        <w:gridCol w:w="4978"/>
      </w:tblGrid>
      <w:tr>
        <w:trPr>
          <w:cantSplit/>
          <w:tblHeader w:val="true"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TODO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Pista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normalizado_a_pixel(punto_yx, ancho, alto)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primer elemento es y. Valide el rango 0-1000 y lance ValueError si no se cumple.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profundidad_robusta(depth_mm, u, v, ventana)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Recorte una ventana centrada sin salirse de la imagen, descarte los ceros, devuelva la mediana en metros o None.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desproyectar(u, v, z_m, k)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Ecuaciones del paso 4 de la sección 2.4.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NodoEmbodied._publicar(...) (Ruta B)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PointStamped para el primer objeto y un TransformStamped por objeto con child_frame_id = objetivo_gemini_&lt;i&gt; y rotación identidad.</w:t>
            </w:r>
          </w:p>
        </w:tc>
      </w:tr>
      <w:tr>
        <w:trPr>
          <w:cantSplit/>
        </w:trPr>
        <w:tc>
          <w:tcPr>
            <w:tcW w:type="dxa" w:w="14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2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PROMPTS["propio"]</w:t>
            </w:r>
          </w:p>
        </w:tc>
        <w:tc>
          <w:tcPr>
            <w:tcW w:type="dxa" w:w="49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escribe en la Fase 4, cuando ya conozca las escenas.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python3 -m pytest tests -q     # meta: 15 passed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pruebas usan una escena RGB-D sintética (mesa a 0.80 m, caja a 0.60 m) con un punto 3D exacto conocido: test_pipeline_recupera_la_caja exige error &lt; 5 mm y test_sin_registro_falla_en_el_borde demuestra por qué hace falta el registro. Anote el resultado en la Tabla 1.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4: Experimento 1 — Razonamiento Semántico-Espacial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Monte (o use las capturas de) las escenas de la Tabla 4, tomadas de docs/research/EXPERIMENTO_IA_LOCALIZACION_GEMINI.md §7, más una escena de la celda Burger Delivery. Para cada escena: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Escriba antes de consultar cuál es la respuesta correcta (verdad de terreno) marcando el objeto en la imagen.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Consulte con --tarea puntos y la instrucción en lenguaje natural, 3 repeticiones con --thinking 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semantica1 --tarea puntos --grupo G03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caja de hamburguesa que está libre y segura para tomar desde arriba, ignorando la que tiene un objeto encima"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Una respuesta es correcta si el punto cae dentro del objeto esperado en la imagen anotada. Cuente también las respuestas con JSON inválido.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TODO 1: escriba en PROMPTS["propio"] un prompt para la escena Burger Delivery que exija razonamiento relacional (p. ej. "la caja más cercana a la bandeja del carrito") y conserve el formato de salida. Compárelo con una versión ingenua ("señala la caja").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5: Experimento 2 — Exactitud 3D y Ablación del Registro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 posición absoluta de la cámara es difícil de medir con cinta, pero dos magnitudes no dependen del marco de referencia y sí se miden bien: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Distancia entre dos objetos (centros de sus caras superiores), medida con cinta.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• Altura de un objeto sobre la mesa, medida con regla, frente a Z_mesa - Z_objeto con la cámara mirando hacia abajo.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Ubique dos objetos en 5 configuraciones distintas (cerca y lejos del centro de la imagen) y mida la distancia real d entre ellos.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Consulte pidiendo los dos objetos a la vez; la plantilla imprime Distancia 3D entre los dos primeros: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consultar --escena dist1 --tarea puntos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"el centro de la tapa del termo y el centro de la tapa de la caja"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Repita la misma escena con --sin-registro (ablación: la profundidad se reescala sin registrar).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Complete la Tabla 5 con el error absoluto |d_est - d_real| y el error relativo, con y sin registro.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6: Experimento 3 — Costo del Razonamiento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Con una escena difícil de la Fase 4 (la que peor resultado dio), consulte 5 veces por nivel: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for nivel in low high; do for i in 1 2 3 4 5; do</w:t>
            </w:r>
            <w:r>
              <w:br/>
            </w:r>
            <w:r>
              <w:rPr>
                <w:rFonts w:ascii="Courier New" w:hAnsi="Courier New"/>
                <w:sz w:val="16"/>
              </w:rPr>
              <w:t>python3 embodied_sin_ros.py consultar --escena semantica2 --tarea puntos --thinking nivel --grupo G03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"el celular que pertenece a la persona que dejó sus llaves al lado"</w:t>
            </w:r>
            <w:r>
              <w:br/>
            </w:r>
            <w:r>
              <w:rPr>
                <w:rFonts w:ascii="Courier New" w:hAnsi="Courier New"/>
                <w:sz w:val="16"/>
              </w:rPr>
              <w:t>done; done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Los niveles minimal y medium son opcionales: si el modelo rechaza alguno, registre el error como resultado. El CSV ya contiene latencia y tokens de entrada, salida y pensamiento; complete la Tabla 6 con media y desviación estándar por nivel y la tasa de acierto.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Fase 7: Experimento 4 — Ciclo Corporizado: Agarre, Plan y Detección de Éxito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Affordance: consulte --tarea agarre en una escena segura y en una insegura (objeto encima, o una mano cerca). Un buen resultado devuelve un punto de agarre en la primera y lista vacía en la segunda.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Plan: consulte --tarea plan --objeto "llevar la caja libre a la bandeja". La plantilla imprime los pasos sin ejecutarlos. Valide el plan con tres reglas y regístrelo en la Tabla 7: (a) solo usa acciones del vocabulario permitido; (b) cada objetivo existe en objetos; (c) el punto 3D del objeto cae dentro del volumen de trabajo de la mesa (defínalo en el informe).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Detección de éxito: capture la escena antes; una persona del grupo realiza a mano la tarea (o la hace mal a propósito) y capture el después. Pregunte: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6"/>
              </w:rPr>
              <w:t>python3 embodied_sin_ros.py exito --antes exito_antes --despues exito_despues \</w:t>
            </w:r>
            <w:r>
              <w:br/>
            </w:r>
            <w:r>
              <w:rPr>
                <w:rFonts w:ascii="Courier New" w:hAnsi="Courier New"/>
                <w:sz w:val="16"/>
              </w:rPr>
              <w:t>--objeto "la caja libre quedó dentro de la bandeja"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Haga al menos un caso exitoso y uno fallido.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0"/>
      </w:tblGrid>
      <w:tr>
        <w:tc>
          <w:tcPr>
            <w:tcW w:type="dxa" w:w="884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 xml:space="preserve">NOTA: </w:t>
            </w:r>
            <w:r>
              <w:rPr>
                <w:rFonts w:ascii="Arial" w:hAnsi="Arial"/>
                <w:sz w:val="16"/>
              </w:rPr>
              <w:t>Extensión opcional (sin calificación, solo con el docente): con la Ruta B y el TF objetivo_gemini_0 publicado, el docente puede transformar el punto a base_link y enviar la pose de aproximación con los clientes seguros de burger_kinova_reference (Laboratorio 03). Ningún grupo envía trayectorias por su cuenta.</w:t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/>
        <w:spacing w:before="160" w:after="100"/>
      </w:pPr>
      <w:r>
        <w:rPr>
          <w:rFonts w:ascii="Arial" w:hAnsi="Arial"/>
          <w:b/>
          <w:color w:val="1F4E79"/>
          <w:sz w:val="20"/>
        </w:rPr>
        <w:t>RESULTADOS DE LA PRÁCTICA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Las tablas se diligencian en el instrumento ABET de entrega (sección 6), que además pide las evidencias E1–E9 y la declaración de uso de IA generativa (Tabla 8). Aquí se reproducen como referencia para la sesión.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1: Entorno y Autoevaluación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2"/>
        <w:gridCol w:w="4286"/>
      </w:tblGrid>
      <w:tr>
        <w:trPr>
          <w:cantSplit/>
          <w:tblHeader w:val="true"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Ítem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Ruta elegida (A sin ROS 2 / B con ROS 2)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Versión de google-genai y de Python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Modelo usado (gemini-robotics-er-2-preview) y fecha de las consultas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Resultado de python3 -m pytest tests -q (passed / failed)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3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Commit del repositorio del grupo con los TODO resueltos (SHA)</w:t>
            </w:r>
          </w:p>
        </w:tc>
        <w:tc>
          <w:tcPr>
            <w:tcW w:type="dxa" w:w="428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2: Registro de Escenas Capturadas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1089"/>
        <w:gridCol w:w="2387"/>
        <w:gridCol w:w="2081"/>
        <w:gridCol w:w="2030"/>
      </w:tblGrid>
      <w:tr>
        <w:trPr>
          <w:cantSplit/>
          <w:tblHeader w:val="true"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% píxeles de profundidad válidos</w:t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Desfase color-profundidad (ms)</w:t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regla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Hoja A4 horizontal centrada, Z = ____ m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cajas, termo sobre una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celulares, llaves junto a uno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 y cuaderno cerrado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 y dos sueltos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Escena de la celda: cajas, bandeja del carrito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dist1 … dist5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Dos objetos a distancia conocida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0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exito_antes / exito_despues</w:t>
            </w:r>
          </w:p>
        </w:tc>
        <w:tc>
          <w:tcPr>
            <w:tcW w:type="dxa" w:w="108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387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Antes y después de la manipulación manual</w:t>
            </w:r>
          </w:p>
        </w:tc>
        <w:tc>
          <w:tcPr>
            <w:tcW w:type="dxa" w:w="2081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03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3: Calibración de la Cámara de Color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3158"/>
      </w:tblGrid>
      <w:tr>
        <w:trPr>
          <w:cantSplit/>
          <w:tblHeader w:val="true"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Resolución de color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capturas/regla_meta.json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f_x / f_y (px)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Kortex API / calibración rápida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c_x / c_y (px)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Campo de visión horizontal (°)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Salida de calibrar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Distancia 3D entre esquinas de la hoja (m)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--escena regla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Error de verificación respecto a 0.297 m (%)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15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4: Experimento 1 — Razonamiento Semántico-Espacial (thinking = low, 3 repeticiones)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672"/>
        <w:gridCol w:w="1338"/>
        <w:gridCol w:w="1338"/>
        <w:gridCol w:w="1338"/>
        <w:gridCol w:w="1338"/>
        <w:gridCol w:w="1338"/>
      </w:tblGrid>
      <w:tr>
        <w:trPr>
          <w:cantSplit/>
          <w:tblHeader w:val="true"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Instrucción (resumen)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Respuesta esperada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3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JSON inválidos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(s)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 del error</w:t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semantica1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Caja libre, segura para agarre superior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semantica2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Celular del dueño de las llaves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semantica3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Cuaderno abierto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semantica4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Esfero dentro del estuche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(ingenuo)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"Señala la caja"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270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burger (TODO 1)</w:t>
            </w:r>
          </w:p>
        </w:tc>
        <w:tc>
          <w:tcPr>
            <w:tcW w:type="dxa" w:w="167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Prompt propio del grupo</w:t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5: Experimento 2 — Exactitud 3D y Ablación del Registro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276"/>
        <w:gridCol w:w="1599"/>
        <w:gridCol w:w="1276"/>
        <w:gridCol w:w="1599"/>
        <w:gridCol w:w="1276"/>
        <w:gridCol w:w="1276"/>
      </w:tblGrid>
      <w:tr>
        <w:trPr>
          <w:cantSplit/>
          <w:tblHeader w:val="true"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Config.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d_real (m)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con registro (m)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d_est sin registro (m)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Error (mm)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33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 ± σ</w:t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18"/>
        </w:rPr>
        <w:t>Altura de un objeto sobre la mesa: real ______ m · estimada (Z_mesa - Z_objeto) ______ m · error ______ mm.</w:t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6: Experimento 3 — Costo del Razonamiento (5 repeticiones por nivel)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412"/>
        <w:gridCol w:w="1599"/>
        <w:gridCol w:w="1763"/>
        <w:gridCol w:w="1599"/>
        <w:gridCol w:w="1718"/>
      </w:tblGrid>
      <w:tr>
        <w:trPr>
          <w:cantSplit/>
          <w:tblHeader w:val="true"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thinking_level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Aciertos / 5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Latencia media ± σ (s)</w:t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de pensamiento (media)</w:t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totales (media)</w:t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¿El modelo aceptó el nivel?</w:t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low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minimal (opcional)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medium (opcional)</w:t>
            </w:r>
          </w:p>
        </w:tc>
        <w:tc>
          <w:tcPr>
            <w:tcW w:type="dxa" w:w="1412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6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99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1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spacing w:before="100" w:after="60"/>
      </w:pPr>
      <w:r>
        <w:rPr>
          <w:rFonts w:ascii="Arial" w:hAnsi="Arial"/>
          <w:b/>
          <w:color w:val="1F4E79"/>
          <w:sz w:val="18"/>
        </w:rPr>
        <w:t>Tabla 7: Experimento 4 — Ciclo Corporizado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1548"/>
        <w:gridCol w:w="1548"/>
        <w:gridCol w:w="1514"/>
        <w:gridCol w:w="1548"/>
        <w:gridCol w:w="1548"/>
      </w:tblGrid>
      <w:tr>
        <w:trPr>
          <w:cantSplit/>
          <w:tblHeader w:val="true"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Prueba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Escena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del modelo</w:t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¿Correcto?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Comentario</w:t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segura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Punto sobre el objeto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Agarre en escena insegura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Lista vacía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vocabulario permitido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Solo acciones válidas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objetivos existentes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Todos en objetos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Plan: punto dentro del volumen de trabajo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Dentro de los límites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bien hecha)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true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9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Éxito (tarea mal hecha)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exito: false</w:t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Arial" w:hAnsi="Arial"/>
          <w:b w:val="0"/>
          <w:i w:val="0"/>
          <w:sz w:val="4"/>
        </w:rPr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ANÁLISIS DE RESULTADOS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Análisis 1 (Semántica): Con la Tabla 4, ¿en qué tipo de relación (seguridad, pertenencia, estado, contención) falló más el modelo? Proponga una hipótesis y un cambio de prompt que la pruebe.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Análisis 2 (Geometría): Con la Tabla 5, descomponga el error 3D en sus fuentes: error de señalamiento de Gemini (píxeles), calibración, profundidad y registro. ¿Cuál domina? Estime cuántos milímetros produce un error de 10 px a 0.6 m con su f_x.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Análisis 3 (Ablación): ¿Dónde el registro importa más: en el centro o en los bordes de los objetos? Relacione la respuesta con la separación de 19.5 mm entre sensores y con la diferencia de campo de visión.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Análisis 4 (Costo): Con la Tabla 6, ¿vale la pena high para esta tarea? Calcule cuántas decisiones por minuto permite cada nivel y discuta por qué un VLM no puede cerrar un lazo de control de 1 kHz como ros2_control.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Análisis 5 (Corporización): Con la Tabla 7, ¿qué validaciones deterministas son imprescindibles entre la salida de un VLM y un actuador real?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CONCLUSIONES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Conclusión sobre la capacidad de razonamiento espacial zero-shot del modelo frente a un detector clásico, sustentada en la Tabla 4.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Conclusión cuantitativa sobre el error 3D alcanzable con la cámara del Kinova y el papel del registro y la calibración.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Conclusión sobre el compromiso latencia-exactitud del nivel de razonamiento y sus implicaciones de arquitectura.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PREGUNTAS PARA LA DISCUSIÓN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Pregunta 1: ¿Por qué la plantilla envía la imagen reducida a 1280 px y aun así ubica el punto en la imagen de 1920×1080 sin pérdida de exactitud geométrica? ¿Qué sí se pierde al reducirla?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Pregunta 2: profundidad_robusta usa la mediana y no el promedio. Construya un ejemplo numérico de 9 píxeles con un reflejo en el que el promedio falle.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Pregunta 3: ¿Qué pasa con el punto 3D si Gemini señala el borde de la caja en lugar de su centro? ¿Cómo lo detectaría automáticamente con la imagen de profundidad?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Pregunta 4: La salida está en el marco óptico de la cámara. ¿Qué transformación falta para expresarla en base_link, y de qué depende que esa transformación sea correcta mientras el brazo se mueve?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Pregunta 5 (ética): ¿Qué información de la escena podría revelar una imagen enviada a un servicio externo aunque no aparezcan personas? ¿Qué alternativa técnica existiría para no enviar imágenes fuera del laboratorio?</w:t>
      </w:r>
    </w:p>
    <w:p>
      <w:pPr>
        <w:keepNext/>
        <w:pageBreakBefore w:val="0"/>
        <w:spacing w:before="160" w:after="100"/>
      </w:pPr>
      <w:r>
        <w:rPr>
          <w:rFonts w:ascii="Arial" w:hAnsi="Arial"/>
          <w:b/>
          <w:color w:val="1F4E79"/>
          <w:sz w:val="20"/>
        </w:rPr>
        <w:t>BIBLIOGRAFÍA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1. Google DeepMind. (2026). Gemini Robotics ER 2 — Model card. https://deepmind.google/models/model-cards/gemini-robotics-er-2/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2. Google. (2026). Gemini Robotics ER — Gemini API documentation. https://ai.google.dev/gemini-api/docs/robotics-overview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3. Kinova Robotics. (2024). ros2_kortex_vision: ROS 2 driver for the Kinova Gen3 vision module. https://github.com/Kinovarobotics/ros2_kortex_vision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4. Kinova Robotics. (2024). Kinova Gen3 Ultra lightweight robot User Guide. Kinova Inc.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5. Hartley, R., &amp; Zisserman, A. (2004). Multiple View Geometry in Computer Vision (2nd ed.). Cambridge University Press.</w:t>
      </w:r>
    </w:p>
    <w:p>
      <w:pPr>
        <w:keepNext w:val="0"/>
        <w:spacing w:before="0" w:after="80" w:line="240" w:lineRule="auto"/>
        <w:ind w:left="312" w:hanging="255"/>
        <w:jc w:val="left"/>
      </w:pPr>
      <w:r>
        <w:rPr>
          <w:rFonts w:ascii="Arial" w:hAnsi="Arial"/>
          <w:b w:val="0"/>
          <w:i w:val="0"/>
          <w:sz w:val="18"/>
        </w:rPr>
        <w:t>6. Russell, S., &amp; Norvig, P. (2021). Artificial Intelligence: A Modern Approach (4th ed.). Pearson.</w:t>
      </w:r>
    </w:p>
    <w:tbl>
      <w:tblPr>
        <w:tblW w:w="51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9"/>
        <w:gridCol w:w="3198"/>
        <w:gridCol w:w="3078"/>
      </w:tblGrid>
      <w:tr w:rsidR="003E387E" w:rsidRPr="0067062F" w14:paraId="159881DB" w14:textId="77777777" w:rsidTr="007167DB">
        <w:trPr>
          <w:trHeight w:val="432"/>
          <w:cantSplit/>
        </w:trPr>
        <w:tc>
          <w:tcPr>
            <w:tcW w:w="5000" w:type="pct"/>
            <w:gridSpan w:val="3"/>
            <w:vAlign w:val="center"/>
          </w:tcPr>
          <w:p w14:paraId="338F2558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APROBACIÓN GUIA DE LABORATORIO</w:t>
            </w:r>
          </w:p>
        </w:tc>
      </w:tr>
      <w:tr w:rsidR="003E387E" w:rsidRPr="0067062F" w14:paraId="188C47E1" w14:textId="77777777" w:rsidTr="007167DB">
        <w:trPr>
          <w:trHeight w:val="283"/>
          <w:cantSplit/>
        </w:trPr>
        <w:tc>
          <w:tcPr>
            <w:tcW w:w="1646" w:type="pct"/>
            <w:vAlign w:val="center"/>
          </w:tcPr>
          <w:p w14:paraId="16BA6838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 xml:space="preserve">Elaborado </w:t>
            </w:r>
            <w:r>
              <w:rPr>
                <w:rFonts w:ascii="Arial" w:hAnsi="Arial" w:cs="Arial"/>
                <w:b/>
                <w:sz w:val="20"/>
                <w:szCs w:val="20"/>
              </w:rPr>
              <w:t>/ Actualizado</w:t>
            </w:r>
          </w:p>
          <w:p w14:paraId="083CEA47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(Docente)</w:t>
            </w:r>
          </w:p>
        </w:tc>
        <w:tc>
          <w:tcPr>
            <w:tcW w:w="1709" w:type="pct"/>
            <w:vAlign w:val="center"/>
          </w:tcPr>
          <w:p w14:paraId="23F44AE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  <w:lang w:val="pt-BR"/>
              </w:rPr>
              <w:t>Revisado</w:t>
            </w:r>
          </w:p>
          <w:p w14:paraId="6DEB0680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>(Director de programa)</w:t>
            </w:r>
          </w:p>
        </w:tc>
        <w:tc>
          <w:tcPr>
            <w:tcW w:w="1645" w:type="pct"/>
            <w:vAlign w:val="center"/>
          </w:tcPr>
          <w:p w14:paraId="6C655EFC" w14:textId="77777777" w:rsidR="003E387E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062F">
              <w:rPr>
                <w:rFonts w:ascii="Arial" w:hAnsi="Arial" w:cs="Arial"/>
                <w:b/>
                <w:sz w:val="20"/>
                <w:szCs w:val="20"/>
              </w:rPr>
              <w:t>Aprobado</w:t>
            </w:r>
          </w:p>
          <w:p w14:paraId="07F9E329" w14:textId="77777777" w:rsidR="003E387E" w:rsidRPr="0067062F" w:rsidRDefault="003E387E" w:rsidP="007167DB">
            <w:pPr>
              <w:keepNext/>
              <w:tabs>
                <w:tab w:val="num" w:pos="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(Decano facultad)</w:t>
            </w:r>
          </w:p>
        </w:tc>
      </w:tr>
      <w:tr w:rsidR="003E387E" w:rsidRPr="0067062F" w14:paraId="4014B0DC" w14:textId="77777777" w:rsidTr="007167DB">
        <w:trPr>
          <w:trHeight w:val="1474"/>
        </w:trPr>
        <w:tc>
          <w:tcPr>
            <w:tcW w:w="1646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Ing. Henry Roncancio</w:t>
              <w:br/>
              <w:t>Docente Asignatura Inteligencia Artificial</w:t>
            </w:r>
          </w:p>
        </w:tc>
        <w:tc>
          <w:tcPr>
            <w:tcW w:w="1709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Director de Programa</w:t>
              <w:br/>
              <w:t>Ingeniería Mecatrónica</w:t>
            </w:r>
          </w:p>
        </w:tc>
        <w:tc>
          <w:tcPr>
            <w:tcW w:w="1645" w:type="pct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Decano(a)</w:t>
              <w:br/>
              <w:t>Facultad de Ingeniería</w:t>
            </w:r>
          </w:p>
        </w:tc>
      </w:tr>
    </w:tbl>
    <w:sectPr w:rsidR="006B18E3" w:rsidRPr="00E029CA" w:rsidSect="00857A43">
      <w:headerReference w:type="default" r:id="rId7"/>
      <w:footerReference w:type="even" r:id="rId8"/>
      <w:footerReference w:type="default" r:id="rId9"/>
      <w:pgSz w:w="12242" w:h="15842" w:code="1"/>
      <w:pgMar w:top="1418" w:right="1701" w:bottom="1418" w:left="1701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1C91" w14:textId="77777777" w:rsidR="00C24045" w:rsidRDefault="00C24045">
      <w:r>
        <w:separator/>
      </w:r>
    </w:p>
  </w:endnote>
  <w:endnote w:type="continuationSeparator" w:id="0">
    <w:p w14:paraId="6E1E331E" w14:textId="77777777" w:rsidR="00C24045" w:rsidRDefault="00C24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36CF" w14:textId="77777777" w:rsidR="004C3FAE" w:rsidRDefault="004C3FAE" w:rsidP="004146B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9962F6" w14:textId="77777777" w:rsidR="004C3FAE" w:rsidRDefault="004C3FAE" w:rsidP="0011536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29EC" w14:textId="77777777" w:rsidR="004C3FAE" w:rsidRDefault="004C3FAE" w:rsidP="004146B6">
    <w:pPr>
      <w:pStyle w:val="Piedepgina"/>
      <w:framePr w:wrap="around" w:vAnchor="text" w:hAnchor="margin" w:xAlign="right" w:y="1"/>
      <w:spacing w:after="40"/>
      <w:jc w:val="center"/>
      <w:rPr>
        <w:rStyle w:val="Nmerodepgina"/>
      </w:rPr>
    </w:pPr>
    <w:r>
      <w:rPr>
        <w:rFonts w:ascii="Arial" w:hAnsi="Arial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de </w:t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/>
        <w:sz w:val="14"/>
      </w:rPr>
      <w:br/>
      <w:t>El uso no autorizado de su contenido, así como su reproducción total o parcial, estará en contra de los derechos de autor.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DC98" w14:textId="77777777" w:rsidR="00C24045" w:rsidRDefault="00C24045">
      <w:r>
        <w:separator/>
      </w:r>
    </w:p>
  </w:footnote>
  <w:footnote w:type="continuationSeparator" w:id="0">
    <w:p w14:paraId="215D59A4" w14:textId="77777777" w:rsidR="00C24045" w:rsidRDefault="00C24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2FF2" w14:textId="77777777" w:rsidR="004C3FAE" w:rsidRPr="005A59F9" w:rsidRDefault="004C3FAE" w:rsidP="00604BA6">
    <w:pPr>
      <w:pStyle w:val="Encabezado"/>
      <w:tabs>
        <w:tab w:val="num" w:pos="0"/>
      </w:tabs>
      <w:ind w:right="360"/>
      <w:jc w:val="center"/>
      <w:rPr>
        <w:rFonts w:ascii="Arial" w:hAnsi="Arial" w:cs="Arial"/>
        <w:b/>
        <w:sz w:val="28"/>
        <w:szCs w:val="28"/>
      </w:rPr>
    </w:pPr>
    <w:r w:rsidRPr="005A59F9">
      <w:rPr>
        <w:rFonts w:ascii="Arial" w:hAnsi="Arial" w:cs="Arial"/>
        <w:b/>
        <w:sz w:val="28"/>
        <w:szCs w:val="28"/>
      </w:rPr>
      <w:t>UNIVERSIDAD MILITAR NUEVA GRANADA</w:t>
    </w:r>
  </w:p>
  <w:p w14:paraId="2061FFD4" w14:textId="77777777" w:rsidR="004C3FAE" w:rsidRDefault="00263353" w:rsidP="0096522F">
    <w:pPr>
      <w:pStyle w:val="Encabezado"/>
      <w:tabs>
        <w:tab w:val="num" w:pos="0"/>
      </w:tabs>
      <w:jc w:val="center"/>
      <w:rPr>
        <w:rFonts w:cs="Arial"/>
        <w:b/>
      </w:rPr>
    </w:pPr>
    <w:r>
      <w:rPr>
        <w:sz w:val="28"/>
        <w:szCs w:val="28"/>
      </w:rPr>
      <w:pict w14:anchorId="1F3C7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75pt;height:74.25pt">
          <v:imagedata r:id="rId1" o:title="logo umng"/>
        </v:shape>
      </w:pict>
    </w:r>
    <w:r w:rsidR="004C3FAE">
      <w:rPr>
        <w:rFonts w:cs="Arial"/>
        <w:b/>
        <w:sz w:val="20"/>
        <w:szCs w:val="20"/>
      </w:rPr>
      <w:pict w14:anchorId="6DF6DD2E">
        <v:shape id="_x0000_i1026" type="#_x0000_t75" style="width:415pt;height:6.65pt" o:hrpct="0" o:hralign="center" o:hr="t">
          <v:imagedata r:id="rId2" o:title="BD21328_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69A3B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/>
      </w:rPr>
    </w:lvl>
    <w:lvl w:ilvl="2">
      <w:start w:val="1"/>
      <w:numFmt w:val="none"/>
      <w:suff w:val="nothing"/>
      <w:lvlText w:val="1.1."/>
      <w:lvlJc w:val="left"/>
      <w:pPr>
        <w:tabs>
          <w:tab w:val="num" w:pos="357"/>
        </w:tabs>
        <w:ind w:left="357" w:hanging="357"/>
      </w:pPr>
    </w:lvl>
    <w:lvl w:ilvl="3">
      <w:start w:val="1"/>
      <w:numFmt w:val="decimal"/>
      <w:lvlText w:val="%4.1."/>
      <w:lvlJc w:val="left"/>
      <w:pPr>
        <w:tabs>
          <w:tab w:val="num" w:pos="357"/>
        </w:tabs>
        <w:ind w:left="357" w:hanging="357"/>
      </w:pPr>
    </w:lvl>
    <w:lvl w:ilvl="4">
      <w:start w:val="1"/>
      <w:numFmt w:val="decimal"/>
      <w:lvlText w:val="%2.%4.%5..1."/>
      <w:lvlJc w:val="left"/>
      <w:pPr>
        <w:tabs>
          <w:tab w:val="num" w:pos="357"/>
        </w:tabs>
        <w:ind w:left="357" w:hanging="357"/>
      </w:pPr>
    </w:lvl>
    <w:lvl w:ilvl="5">
      <w:start w:val="1"/>
      <w:numFmt w:val="decimal"/>
      <w:lvlText w:val="%2.%4.%5.%6..1."/>
      <w:lvlJc w:val="left"/>
      <w:pPr>
        <w:tabs>
          <w:tab w:val="num" w:pos="357"/>
        </w:tabs>
        <w:ind w:left="357" w:hanging="357"/>
      </w:pPr>
    </w:lvl>
    <w:lvl w:ilvl="6">
      <w:start w:val="1"/>
      <w:numFmt w:val="decimal"/>
      <w:lvlText w:val="%2.%4.%5.%6.%7..1."/>
      <w:lvlJc w:val="left"/>
      <w:pPr>
        <w:tabs>
          <w:tab w:val="num" w:pos="357"/>
        </w:tabs>
        <w:ind w:left="357" w:hanging="357"/>
      </w:pPr>
    </w:lvl>
    <w:lvl w:ilvl="7">
      <w:start w:val="1"/>
      <w:numFmt w:val="decimal"/>
      <w:lvlText w:val=".%4.%5.%6.%7.%8..1."/>
      <w:lvlJc w:val="left"/>
      <w:pPr>
        <w:tabs>
          <w:tab w:val="num" w:pos="357"/>
        </w:tabs>
        <w:ind w:left="357" w:hanging="357"/>
      </w:pPr>
    </w:lvl>
    <w:lvl w:ilvl="8">
      <w:start w:val="1"/>
      <w:numFmt w:val="decimal"/>
      <w:lvlText w:val="%2.%4.%5.%6.%7.%8.%9..1."/>
      <w:lvlJc w:val="left"/>
      <w:pPr>
        <w:tabs>
          <w:tab w:val="num" w:pos="357"/>
        </w:tabs>
        <w:ind w:left="357" w:hanging="357"/>
      </w:pPr>
    </w:lvl>
  </w:abstractNum>
  <w:abstractNum w:abstractNumId="1" w15:restartNumberingAfterBreak="0">
    <w:nsid w:val="05E84325"/>
    <w:multiLevelType w:val="hybridMultilevel"/>
    <w:tmpl w:val="12F4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B64E9"/>
    <w:multiLevelType w:val="hybridMultilevel"/>
    <w:tmpl w:val="31BC8A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A7C"/>
    <w:multiLevelType w:val="multilevel"/>
    <w:tmpl w:val="FF4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55A3"/>
    <w:multiLevelType w:val="hybridMultilevel"/>
    <w:tmpl w:val="F250A11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8606133"/>
    <w:multiLevelType w:val="multilevel"/>
    <w:tmpl w:val="3D7669E6"/>
    <w:lvl w:ilvl="0">
      <w:start w:val="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555F7500"/>
    <w:multiLevelType w:val="hybridMultilevel"/>
    <w:tmpl w:val="AADC29CE"/>
    <w:lvl w:ilvl="0" w:tplc="181A1498">
      <w:start w:val="1"/>
      <w:numFmt w:val="decimal"/>
      <w:pStyle w:val="Ttulo4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BB0FDA"/>
    <w:multiLevelType w:val="hybridMultilevel"/>
    <w:tmpl w:val="9E9C72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9756A"/>
    <w:multiLevelType w:val="multilevel"/>
    <w:tmpl w:val="455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6E9E"/>
    <w:multiLevelType w:val="multilevel"/>
    <w:tmpl w:val="FE9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883"/>
    <w:multiLevelType w:val="multilevel"/>
    <w:tmpl w:val="981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1B65"/>
    <w:multiLevelType w:val="hybridMultilevel"/>
    <w:tmpl w:val="BC02274E"/>
    <w:lvl w:ilvl="0" w:tplc="24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7E3503FB"/>
    <w:multiLevelType w:val="hybridMultilevel"/>
    <w:tmpl w:val="ECB22E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7884588">
    <w:abstractNumId w:val="4"/>
  </w:num>
  <w:num w:numId="2" w16cid:durableId="1133980242">
    <w:abstractNumId w:val="5"/>
  </w:num>
  <w:num w:numId="3" w16cid:durableId="1462191557">
    <w:abstractNumId w:val="7"/>
  </w:num>
  <w:num w:numId="4" w16cid:durableId="1317301039">
    <w:abstractNumId w:val="2"/>
  </w:num>
  <w:num w:numId="5" w16cid:durableId="692075715">
    <w:abstractNumId w:val="6"/>
  </w:num>
  <w:num w:numId="6" w16cid:durableId="1289895213">
    <w:abstractNumId w:val="0"/>
  </w:num>
  <w:num w:numId="7" w16cid:durableId="795174264">
    <w:abstractNumId w:val="12"/>
  </w:num>
  <w:num w:numId="8" w16cid:durableId="1887519278">
    <w:abstractNumId w:val="10"/>
  </w:num>
  <w:num w:numId="9" w16cid:durableId="561521363">
    <w:abstractNumId w:val="3"/>
  </w:num>
  <w:num w:numId="10" w16cid:durableId="772945599">
    <w:abstractNumId w:val="8"/>
  </w:num>
  <w:num w:numId="11" w16cid:durableId="39525686">
    <w:abstractNumId w:val="9"/>
  </w:num>
  <w:num w:numId="12" w16cid:durableId="1186289734">
    <w:abstractNumId w:val="1"/>
  </w:num>
  <w:num w:numId="13" w16cid:durableId="1341010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CO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5810"/>
    <w:rsid w:val="00036F1C"/>
    <w:rsid w:val="00052D13"/>
    <w:rsid w:val="00060E7C"/>
    <w:rsid w:val="00061B2B"/>
    <w:rsid w:val="000848AE"/>
    <w:rsid w:val="00087EFF"/>
    <w:rsid w:val="000C0C3D"/>
    <w:rsid w:val="000E0577"/>
    <w:rsid w:val="000E368C"/>
    <w:rsid w:val="000F5DEC"/>
    <w:rsid w:val="00115369"/>
    <w:rsid w:val="00125374"/>
    <w:rsid w:val="00135810"/>
    <w:rsid w:val="00145BC7"/>
    <w:rsid w:val="001909C3"/>
    <w:rsid w:val="0019741C"/>
    <w:rsid w:val="001A7596"/>
    <w:rsid w:val="001C54AE"/>
    <w:rsid w:val="00202220"/>
    <w:rsid w:val="00226CF2"/>
    <w:rsid w:val="002439A5"/>
    <w:rsid w:val="00263353"/>
    <w:rsid w:val="002842A0"/>
    <w:rsid w:val="002C4911"/>
    <w:rsid w:val="002D119D"/>
    <w:rsid w:val="002D2493"/>
    <w:rsid w:val="003110F4"/>
    <w:rsid w:val="0031144B"/>
    <w:rsid w:val="0034564E"/>
    <w:rsid w:val="003621FB"/>
    <w:rsid w:val="00364C55"/>
    <w:rsid w:val="00365232"/>
    <w:rsid w:val="0036581D"/>
    <w:rsid w:val="00384F81"/>
    <w:rsid w:val="003B1093"/>
    <w:rsid w:val="003B1FCC"/>
    <w:rsid w:val="003D0300"/>
    <w:rsid w:val="003D0442"/>
    <w:rsid w:val="003E387E"/>
    <w:rsid w:val="003F165F"/>
    <w:rsid w:val="00411276"/>
    <w:rsid w:val="004146B6"/>
    <w:rsid w:val="00443EDC"/>
    <w:rsid w:val="00482470"/>
    <w:rsid w:val="0049178D"/>
    <w:rsid w:val="004965CF"/>
    <w:rsid w:val="0049678C"/>
    <w:rsid w:val="004A5808"/>
    <w:rsid w:val="004B24F6"/>
    <w:rsid w:val="004C3FAE"/>
    <w:rsid w:val="004D284E"/>
    <w:rsid w:val="004E2318"/>
    <w:rsid w:val="004E6E05"/>
    <w:rsid w:val="004F4557"/>
    <w:rsid w:val="00526A5E"/>
    <w:rsid w:val="00527447"/>
    <w:rsid w:val="00534C60"/>
    <w:rsid w:val="00536EBC"/>
    <w:rsid w:val="005611F7"/>
    <w:rsid w:val="00566576"/>
    <w:rsid w:val="005A59F9"/>
    <w:rsid w:val="005B03D2"/>
    <w:rsid w:val="005D3300"/>
    <w:rsid w:val="005D4227"/>
    <w:rsid w:val="005E7B2C"/>
    <w:rsid w:val="005F423C"/>
    <w:rsid w:val="00604BA6"/>
    <w:rsid w:val="00612536"/>
    <w:rsid w:val="00630FB8"/>
    <w:rsid w:val="00644560"/>
    <w:rsid w:val="0067062F"/>
    <w:rsid w:val="0067368A"/>
    <w:rsid w:val="006740CD"/>
    <w:rsid w:val="00683144"/>
    <w:rsid w:val="0068744C"/>
    <w:rsid w:val="006962C5"/>
    <w:rsid w:val="006B18E3"/>
    <w:rsid w:val="006C4F4C"/>
    <w:rsid w:val="006D3667"/>
    <w:rsid w:val="006E6E2C"/>
    <w:rsid w:val="00700ECE"/>
    <w:rsid w:val="00713E85"/>
    <w:rsid w:val="007167DB"/>
    <w:rsid w:val="007359BB"/>
    <w:rsid w:val="0074533B"/>
    <w:rsid w:val="00750B95"/>
    <w:rsid w:val="00781B83"/>
    <w:rsid w:val="008015A0"/>
    <w:rsid w:val="00806A14"/>
    <w:rsid w:val="00813769"/>
    <w:rsid w:val="00821CDD"/>
    <w:rsid w:val="00836FAE"/>
    <w:rsid w:val="00837442"/>
    <w:rsid w:val="00846D83"/>
    <w:rsid w:val="00846F03"/>
    <w:rsid w:val="00857A43"/>
    <w:rsid w:val="008630AE"/>
    <w:rsid w:val="00890D09"/>
    <w:rsid w:val="00906354"/>
    <w:rsid w:val="00914B81"/>
    <w:rsid w:val="00961AFD"/>
    <w:rsid w:val="0096522F"/>
    <w:rsid w:val="009702A5"/>
    <w:rsid w:val="009C6847"/>
    <w:rsid w:val="009E61AF"/>
    <w:rsid w:val="009F1C8D"/>
    <w:rsid w:val="00A077AE"/>
    <w:rsid w:val="00A35512"/>
    <w:rsid w:val="00A37C5D"/>
    <w:rsid w:val="00A45B91"/>
    <w:rsid w:val="00A573C7"/>
    <w:rsid w:val="00A94210"/>
    <w:rsid w:val="00AA3A5B"/>
    <w:rsid w:val="00AA50CA"/>
    <w:rsid w:val="00AD3832"/>
    <w:rsid w:val="00AE086C"/>
    <w:rsid w:val="00AE50E6"/>
    <w:rsid w:val="00AF51B0"/>
    <w:rsid w:val="00B112F7"/>
    <w:rsid w:val="00B85B58"/>
    <w:rsid w:val="00B863D6"/>
    <w:rsid w:val="00BA75C5"/>
    <w:rsid w:val="00BE7280"/>
    <w:rsid w:val="00C24045"/>
    <w:rsid w:val="00C46F90"/>
    <w:rsid w:val="00C66007"/>
    <w:rsid w:val="00C77A34"/>
    <w:rsid w:val="00C8650C"/>
    <w:rsid w:val="00C93789"/>
    <w:rsid w:val="00CB4B07"/>
    <w:rsid w:val="00CD611B"/>
    <w:rsid w:val="00D1739D"/>
    <w:rsid w:val="00D204AA"/>
    <w:rsid w:val="00D25247"/>
    <w:rsid w:val="00D354C7"/>
    <w:rsid w:val="00D64754"/>
    <w:rsid w:val="00D83016"/>
    <w:rsid w:val="00DA3A9F"/>
    <w:rsid w:val="00DD0E6C"/>
    <w:rsid w:val="00DE4162"/>
    <w:rsid w:val="00E029CA"/>
    <w:rsid w:val="00E02B2A"/>
    <w:rsid w:val="00E731B9"/>
    <w:rsid w:val="00E80301"/>
    <w:rsid w:val="00EA7345"/>
    <w:rsid w:val="00EE76E2"/>
    <w:rsid w:val="00EF5C0D"/>
    <w:rsid w:val="00F37EAA"/>
    <w:rsid w:val="00F7693A"/>
    <w:rsid w:val="00F946AC"/>
    <w:rsid w:val="00FC4C88"/>
    <w:rsid w:val="00FC699B"/>
    <w:rsid w:val="00FC7C1B"/>
    <w:rsid w:val="00F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5B86F212"/>
  <w15:chartTrackingRefBased/>
  <w15:docId w15:val="{2BB68E45-ED40-4903-A4D3-07A2DA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autoRedefine/>
    <w:qFormat/>
    <w:rsid w:val="005A59F9"/>
    <w:pPr>
      <w:keepNext/>
      <w:tabs>
        <w:tab w:val="left" w:pos="732"/>
      </w:tabs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autoRedefine/>
    <w:qFormat/>
    <w:rsid w:val="005A59F9"/>
    <w:pPr>
      <w:keepNext/>
      <w:tabs>
        <w:tab w:val="num" w:pos="357"/>
      </w:tabs>
      <w:ind w:left="357" w:hanging="357"/>
      <w:jc w:val="both"/>
      <w:outlineLvl w:val="2"/>
    </w:pPr>
    <w:rPr>
      <w:rFonts w:ascii="Arial" w:hAnsi="Arial"/>
      <w:szCs w:val="20"/>
    </w:rPr>
  </w:style>
  <w:style w:type="paragraph" w:styleId="Ttulo4">
    <w:name w:val="heading 4"/>
    <w:basedOn w:val="Normal"/>
    <w:next w:val="Normal"/>
    <w:autoRedefine/>
    <w:qFormat/>
    <w:rsid w:val="003E387E"/>
    <w:pPr>
      <w:keepNext/>
      <w:numPr>
        <w:numId w:val="5"/>
      </w:numPr>
      <w:tabs>
        <w:tab w:val="clear" w:pos="360"/>
        <w:tab w:val="num" w:pos="720"/>
      </w:tabs>
      <w:spacing w:line="360" w:lineRule="auto"/>
      <w:ind w:left="720" w:hanging="720"/>
      <w:jc w:val="both"/>
      <w:outlineLvl w:val="3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1909C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909C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190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E80301"/>
  </w:style>
  <w:style w:type="paragraph" w:styleId="Textodeglobo">
    <w:name w:val="Balloon Text"/>
    <w:basedOn w:val="Normal"/>
    <w:link w:val="TextodegloboCar"/>
    <w:rsid w:val="000F5DEC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0F5DEC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AF51B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51B0"/>
    <w:rPr>
      <w:sz w:val="20"/>
      <w:szCs w:val="20"/>
    </w:rPr>
  </w:style>
  <w:style w:type="character" w:customStyle="1" w:styleId="TextocomentarioCar">
    <w:name w:val="Texto comentario Car"/>
    <w:link w:val="Textocomentario"/>
    <w:rsid w:val="00AF51B0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F51B0"/>
    <w:rPr>
      <w:b/>
      <w:bCs/>
    </w:rPr>
  </w:style>
  <w:style w:type="character" w:customStyle="1" w:styleId="AsuntodelcomentarioCar">
    <w:name w:val="Asunto del comentario Car"/>
    <w:link w:val="Asuntodelcomentario"/>
    <w:rsid w:val="00AF51B0"/>
    <w:rPr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3E387E"/>
    <w:pPr>
      <w:ind w:left="708"/>
    </w:pPr>
  </w:style>
  <w:style w:type="character" w:styleId="Textoennegrita">
    <w:name w:val="Texto en negrita"/>
    <w:uiPriority w:val="22"/>
    <w:qFormat/>
    <w:rsid w:val="003E387E"/>
    <w:rPr>
      <w:b/>
      <w:bCs/>
    </w:rPr>
  </w:style>
  <w:style w:type="paragraph" w:styleId="NormalWeb">
    <w:name w:val="Normal (Web)"/>
    <w:basedOn w:val="Normal"/>
    <w:uiPriority w:val="99"/>
    <w:unhideWhenUsed/>
    <w:rsid w:val="003E387E"/>
    <w:pPr>
      <w:spacing w:before="100" w:beforeAutospacing="1" w:after="100" w:afterAutospacing="1"/>
    </w:pPr>
    <w:rPr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902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MILITAR NUEVA GRANADA</vt:lpstr>
    </vt:vector>
  </TitlesOfParts>
  <Company>UMNG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IA 01 – Embodied AI con Gemini Robotics-ER 2 y Kinova Gen3</dc:title>
  <dc:subject>INTELIGENCIA ARTIFICIAL</dc:subject>
  <dc:creator>Universidad Militar Nueva Granada</dc:creator>
  <cp:keywords/>
  <cp:lastModifiedBy>Henry Antonio Roncancio Velandia</cp:lastModifiedBy>
  <cp:revision>2</cp:revision>
  <cp:lastPrinted>2025-09-28T03:43:00Z</cp:lastPrinted>
  <dcterms:created xsi:type="dcterms:W3CDTF">2026-07-29T21:37:00Z</dcterms:created>
  <dcterms:modified xsi:type="dcterms:W3CDTF">2026-07-29T21:37:00Z</dcterms:modified>
  <dc:description>Generado desde GUIA_LAB_IA_01_EMBODIED_AI_GEMINI_ER2_KINOVA.md con build_guia_lab_ia_01_embodied.py.</dc:description>
</cp:coreProperties>
</file>