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B91" w:rsidRDefault="00874A00">
      <w:pPr>
        <w:rPr>
          <w:rFonts w:ascii="Times New Roman" w:hAnsi="Times New Roman" w:cs="Times New Roman"/>
        </w:rPr>
      </w:pPr>
      <w:r>
        <w:rPr>
          <w:rFonts w:ascii="Times New Roman" w:hAnsi="Times New Roman" w:cs="Times New Roman"/>
        </w:rPr>
        <w:t>Parcial 1 – Análisis Numérico</w:t>
      </w:r>
    </w:p>
    <w:p w:rsidR="00874A00" w:rsidRDefault="00874A00">
      <w:pPr>
        <w:rPr>
          <w:rFonts w:ascii="Times New Roman" w:hAnsi="Times New Roman" w:cs="Times New Roman"/>
        </w:rPr>
      </w:pPr>
      <w:r>
        <w:rPr>
          <w:rFonts w:ascii="Times New Roman" w:hAnsi="Times New Roman" w:cs="Times New Roman"/>
        </w:rPr>
        <w:t>Julio Andrés Mejía Vera</w:t>
      </w:r>
    </w:p>
    <w:p w:rsidR="00B5256B" w:rsidRDefault="00B5256B">
      <w:pPr>
        <w:rPr>
          <w:rFonts w:ascii="Times New Roman" w:hAnsi="Times New Roman" w:cs="Times New Roman"/>
        </w:rPr>
      </w:pPr>
      <w:r>
        <w:rPr>
          <w:rFonts w:ascii="Times New Roman" w:hAnsi="Times New Roman" w:cs="Times New Roman"/>
        </w:rPr>
        <w:t>Ingeniería Industrial e Ingeniería de Sistemas</w:t>
      </w:r>
    </w:p>
    <w:p w:rsidR="00874A00" w:rsidRDefault="00874A00">
      <w:pPr>
        <w:pBdr>
          <w:bottom w:val="thinThickThinMediumGap" w:sz="18" w:space="1" w:color="auto"/>
        </w:pBdr>
      </w:pPr>
      <w:r>
        <w:t>Fecha: 01/03/2019</w:t>
      </w:r>
    </w:p>
    <w:p w:rsidR="00B5256B" w:rsidRDefault="00B5256B">
      <w:pPr>
        <w:pBdr>
          <w:bottom w:val="thinThickThinMediumGap" w:sz="18" w:space="1" w:color="auto"/>
        </w:pBdr>
      </w:pPr>
      <w:r>
        <w:t>Documento. 1019130661</w:t>
      </w:r>
    </w:p>
    <w:p w:rsidR="00874A00" w:rsidRDefault="00874A00" w:rsidP="00874A00">
      <w:pPr>
        <w:jc w:val="center"/>
      </w:pPr>
      <w:r>
        <w:t>Solución</w:t>
      </w:r>
    </w:p>
    <w:p w:rsidR="004559AB" w:rsidRDefault="004559AB" w:rsidP="00B5256B">
      <w:pPr>
        <w:pStyle w:val="Prrafodelista"/>
        <w:numPr>
          <w:ilvl w:val="0"/>
          <w:numId w:val="1"/>
        </w:numPr>
      </w:pPr>
    </w:p>
    <w:p w:rsidR="00874A00" w:rsidRDefault="004F56A4" w:rsidP="004559AB">
      <w:pPr>
        <w:pStyle w:val="Prrafodelista"/>
        <w:numPr>
          <w:ilvl w:val="1"/>
          <w:numId w:val="1"/>
        </w:numPr>
      </w:pPr>
      <w:r>
        <w:t>----</w:t>
      </w:r>
      <w:bookmarkStart w:id="0" w:name="_GoBack"/>
      <w:bookmarkEnd w:id="0"/>
    </w:p>
    <w:p w:rsidR="00DF4BD1" w:rsidRDefault="00DF4BD1" w:rsidP="00B5256B">
      <w:pPr>
        <w:pStyle w:val="Prrafodelista"/>
      </w:pPr>
    </w:p>
    <w:p w:rsidR="00DF4BD1" w:rsidRDefault="00DF4BD1" w:rsidP="004559AB">
      <w:pPr>
        <w:pStyle w:val="Prrafodelista"/>
        <w:numPr>
          <w:ilvl w:val="1"/>
          <w:numId w:val="1"/>
        </w:numPr>
      </w:pPr>
      <w:r>
        <w:t xml:space="preserve">La variación de la solución con respecto a los cambios realizados es de 4.343074%. </w:t>
      </w:r>
      <w:r w:rsidR="00F904D6">
        <w:t xml:space="preserve"> i. La cota para una variación de 0.001 es de 0.01428571%. Lo que indica que el sistema está mal condicionado, ya que, la variación entre el error de la solución y la matriz es significativo.</w:t>
      </w:r>
    </w:p>
    <w:p w:rsidR="004559AB" w:rsidRDefault="004559AB" w:rsidP="004559AB">
      <w:pPr>
        <w:pStyle w:val="Prrafodelista"/>
      </w:pPr>
    </w:p>
    <w:p w:rsidR="004559AB" w:rsidRDefault="004559AB" w:rsidP="004559AB">
      <w:pPr>
        <w:pStyle w:val="Prrafodelista"/>
        <w:ind w:left="1416"/>
      </w:pPr>
      <w:r>
        <w:t xml:space="preserve">Para el cálculo de la variación de la solución lo que se hizo fue solucionar el sistema sin matriz modificada y luego con la matriz modificada. Luego se realiza un vector de error en el cual se almacena el error de la solución por cada variable, luego de esto se calcula la norma del vector de errores y el vector de la solución con la matriz modificada. Luego de esto se calcula dicha variación. </w:t>
      </w:r>
    </w:p>
    <w:p w:rsidR="004559AB" w:rsidRDefault="004559AB" w:rsidP="004559AB">
      <w:pPr>
        <w:pStyle w:val="Prrafodelista"/>
        <w:ind w:left="1416"/>
      </w:pPr>
      <w:r>
        <w:t xml:space="preserve">El procedimiento para la cota es similar solo que se calcula a partir del error máximo que en este caso es de 0.001 y este se divide sobre la norma de la matriz original. </w:t>
      </w:r>
    </w:p>
    <w:p w:rsidR="004559AB" w:rsidRDefault="004559AB" w:rsidP="004559AB">
      <w:pPr>
        <w:pStyle w:val="Prrafodelista"/>
        <w:ind w:left="1416"/>
      </w:pPr>
      <w:r>
        <w:t xml:space="preserve">A </w:t>
      </w:r>
      <w:proofErr w:type="gramStart"/>
      <w:r>
        <w:t>continuación</w:t>
      </w:r>
      <w:proofErr w:type="gramEnd"/>
      <w:r>
        <w:t xml:space="preserve"> se muestra la tabla de errores para la solución de matriz modificada y original. </w:t>
      </w:r>
    </w:p>
    <w:p w:rsidR="004559AB" w:rsidRPr="004559AB" w:rsidRDefault="004559AB" w:rsidP="004559AB">
      <w:pPr>
        <w:pStyle w:val="Prrafodelista"/>
        <w:ind w:left="1416"/>
      </w:pPr>
    </w:p>
    <w:tbl>
      <w:tblPr>
        <w:tblStyle w:val="Tablaconcuadrcula"/>
        <w:tblW w:w="0" w:type="auto"/>
        <w:jc w:val="center"/>
        <w:tblLook w:val="04A0" w:firstRow="1" w:lastRow="0" w:firstColumn="1" w:lastColumn="0" w:noHBand="0" w:noVBand="1"/>
      </w:tblPr>
      <w:tblGrid>
        <w:gridCol w:w="1634"/>
      </w:tblGrid>
      <w:tr w:rsidR="004559AB" w:rsidTr="004559AB">
        <w:trPr>
          <w:trHeight w:val="261"/>
          <w:jc w:val="center"/>
        </w:trPr>
        <w:tc>
          <w:tcPr>
            <w:tcW w:w="1634" w:type="dxa"/>
          </w:tcPr>
          <w:p w:rsidR="004559AB" w:rsidRPr="004559AB" w:rsidRDefault="004559AB" w:rsidP="004559AB">
            <w:pPr>
              <w:pStyle w:val="Prrafodelista"/>
              <w:ind w:left="0"/>
              <w:jc w:val="center"/>
            </w:pPr>
            <w:r w:rsidRPr="004559AB">
              <w:t>0.12605101</w:t>
            </w:r>
          </w:p>
        </w:tc>
      </w:tr>
      <w:tr w:rsidR="004559AB" w:rsidTr="004559AB">
        <w:trPr>
          <w:trHeight w:val="247"/>
          <w:jc w:val="center"/>
        </w:trPr>
        <w:tc>
          <w:tcPr>
            <w:tcW w:w="1634" w:type="dxa"/>
          </w:tcPr>
          <w:p w:rsidR="004559AB" w:rsidRPr="004559AB" w:rsidRDefault="004559AB" w:rsidP="004559AB">
            <w:pPr>
              <w:pStyle w:val="Prrafodelista"/>
              <w:ind w:left="0"/>
              <w:jc w:val="center"/>
            </w:pPr>
            <w:r>
              <w:t>0.01195514</w:t>
            </w:r>
          </w:p>
        </w:tc>
      </w:tr>
      <w:tr w:rsidR="004559AB" w:rsidTr="004559AB">
        <w:trPr>
          <w:trHeight w:val="261"/>
          <w:jc w:val="center"/>
        </w:trPr>
        <w:tc>
          <w:tcPr>
            <w:tcW w:w="1634" w:type="dxa"/>
          </w:tcPr>
          <w:p w:rsidR="004559AB" w:rsidRPr="004559AB" w:rsidRDefault="004559AB" w:rsidP="004559AB">
            <w:pPr>
              <w:pStyle w:val="Prrafodelista"/>
              <w:ind w:left="0"/>
              <w:jc w:val="center"/>
            </w:pPr>
            <w:r>
              <w:t>0.04600205</w:t>
            </w:r>
          </w:p>
        </w:tc>
      </w:tr>
      <w:tr w:rsidR="004559AB" w:rsidTr="004559AB">
        <w:trPr>
          <w:trHeight w:val="247"/>
          <w:jc w:val="center"/>
        </w:trPr>
        <w:tc>
          <w:tcPr>
            <w:tcW w:w="1634" w:type="dxa"/>
          </w:tcPr>
          <w:p w:rsidR="004559AB" w:rsidRPr="004559AB" w:rsidRDefault="004559AB" w:rsidP="004559AB">
            <w:pPr>
              <w:pStyle w:val="Prrafodelista"/>
              <w:ind w:left="0"/>
              <w:jc w:val="center"/>
            </w:pPr>
            <w:r>
              <w:t>0.04600205</w:t>
            </w:r>
          </w:p>
        </w:tc>
      </w:tr>
    </w:tbl>
    <w:p w:rsidR="004559AB" w:rsidRPr="004559AB" w:rsidRDefault="004559AB" w:rsidP="004559AB">
      <w:pPr>
        <w:pStyle w:val="Prrafodelista"/>
        <w:jc w:val="center"/>
        <w:rPr>
          <w:b/>
        </w:rPr>
      </w:pPr>
    </w:p>
    <w:p w:rsidR="004559AB" w:rsidRDefault="004559AB" w:rsidP="004559AB">
      <w:pPr>
        <w:pStyle w:val="Prrafodelista"/>
        <w:jc w:val="center"/>
      </w:pPr>
    </w:p>
    <w:p w:rsidR="00F904D6" w:rsidRDefault="00F904D6" w:rsidP="00F904D6">
      <w:pPr>
        <w:pStyle w:val="Prrafodelista"/>
      </w:pPr>
    </w:p>
    <w:p w:rsidR="00F904D6" w:rsidRDefault="00F904D6" w:rsidP="00F904D6">
      <w:pPr>
        <w:pStyle w:val="Prrafodelista"/>
      </w:pPr>
      <w:r>
        <w:t xml:space="preserve">Código: Ver como anexo en </w:t>
      </w:r>
      <w:proofErr w:type="spellStart"/>
      <w:r>
        <w:t>Github</w:t>
      </w:r>
      <w:proofErr w:type="spellEnd"/>
      <w:r>
        <w:t xml:space="preserve"> como punto</w:t>
      </w:r>
      <w:proofErr w:type="gramStart"/>
      <w:r>
        <w:t>1.R.</w:t>
      </w:r>
      <w:proofErr w:type="gramEnd"/>
      <w:r>
        <w:t xml:space="preserve"> Sección Punto1b.</w:t>
      </w:r>
    </w:p>
    <w:p w:rsidR="004559AB" w:rsidRDefault="004559AB">
      <w:r>
        <w:br w:type="page"/>
      </w:r>
    </w:p>
    <w:p w:rsidR="00F904D6" w:rsidRDefault="00F904D6" w:rsidP="00F904D6">
      <w:pPr>
        <w:pStyle w:val="Prrafodelista"/>
      </w:pPr>
    </w:p>
    <w:p w:rsidR="00F904D6" w:rsidRDefault="001F647A" w:rsidP="00DF4BD1">
      <w:pPr>
        <w:pStyle w:val="Prrafodelista"/>
        <w:numPr>
          <w:ilvl w:val="0"/>
          <w:numId w:val="1"/>
        </w:numPr>
      </w:pPr>
      <w:r>
        <w:t xml:space="preserve"> Para la solución del ejercicio se realizó una gráfica para apoyarse y observar fácilmente los puntos en los cuales la raíz de la función existe.</w:t>
      </w:r>
    </w:p>
    <w:p w:rsidR="001F647A" w:rsidRDefault="001F647A" w:rsidP="001F647A">
      <w:pPr>
        <w:ind w:left="720"/>
      </w:pPr>
      <w:r>
        <w:rPr>
          <w:noProof/>
          <w:lang w:eastAsia="es-CO"/>
        </w:rPr>
        <w:drawing>
          <wp:inline distT="0" distB="0" distL="0" distR="0" wp14:anchorId="62B9130E" wp14:editId="0102E7C7">
            <wp:extent cx="5612130" cy="36029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602990"/>
                    </a:xfrm>
                    <a:prstGeom prst="rect">
                      <a:avLst/>
                    </a:prstGeom>
                  </pic:spPr>
                </pic:pic>
              </a:graphicData>
            </a:graphic>
          </wp:inline>
        </w:drawing>
      </w:r>
    </w:p>
    <w:p w:rsidR="001F647A" w:rsidRDefault="001F647A" w:rsidP="001F647A">
      <w:pPr>
        <w:ind w:left="720"/>
        <w:jc w:val="center"/>
      </w:pPr>
      <w:r>
        <w:t>Gráfica de función G(x) = f(x)+g(x)</w:t>
      </w:r>
    </w:p>
    <w:p w:rsidR="001F647A" w:rsidRDefault="001F647A" w:rsidP="001F647A">
      <w:pPr>
        <w:pStyle w:val="Prrafodelista"/>
        <w:numPr>
          <w:ilvl w:val="1"/>
          <w:numId w:val="1"/>
        </w:numPr>
      </w:pPr>
      <w:r>
        <w:t>Para la implementación y utilización del método se debe tener en cuenta que la función debe ser creciente en el intervalo sobre el cual se desea obtener la raíz.</w:t>
      </w:r>
    </w:p>
    <w:p w:rsidR="001F647A" w:rsidRDefault="001F647A" w:rsidP="001F647A">
      <w:pPr>
        <w:pStyle w:val="Prrafodelista"/>
        <w:numPr>
          <w:ilvl w:val="1"/>
          <w:numId w:val="1"/>
        </w:numPr>
      </w:pPr>
      <w:r>
        <w:t>Para realizar una comparación y determinar la convergencia de cada método se debe graficar e interpolar. Para esto se utilizará la herramienta Excel.</w:t>
      </w:r>
    </w:p>
    <w:p w:rsidR="001F647A" w:rsidRDefault="001F647A" w:rsidP="001F647A">
      <w:pPr>
        <w:pStyle w:val="Prrafodelista"/>
        <w:ind w:left="1440"/>
      </w:pPr>
    </w:p>
    <w:p w:rsidR="001F647A" w:rsidRDefault="001F647A" w:rsidP="001F647A">
      <w:pPr>
        <w:pStyle w:val="Prrafodelista"/>
        <w:ind w:left="1440"/>
      </w:pPr>
      <w:r>
        <w:t xml:space="preserve">Utilizando el método recursivo sobre </w:t>
      </w:r>
      <w:r w:rsidR="00E23F8C">
        <w:t>el intervalo</w:t>
      </w:r>
      <w:r>
        <w:t xml:space="preserve"> </w:t>
      </w:r>
      <w:r w:rsidR="00E23F8C">
        <w:t>[0.5,1.5]</w:t>
      </w:r>
    </w:p>
    <w:tbl>
      <w:tblPr>
        <w:tblW w:w="2400" w:type="dxa"/>
        <w:jc w:val="center"/>
        <w:tblCellMar>
          <w:left w:w="70" w:type="dxa"/>
          <w:right w:w="70" w:type="dxa"/>
        </w:tblCellMar>
        <w:tblLook w:val="04A0" w:firstRow="1" w:lastRow="0" w:firstColumn="1" w:lastColumn="0" w:noHBand="0" w:noVBand="1"/>
      </w:tblPr>
      <w:tblGrid>
        <w:gridCol w:w="1200"/>
        <w:gridCol w:w="1200"/>
      </w:tblGrid>
      <w:tr w:rsidR="001F647A" w:rsidRPr="001F647A" w:rsidTr="00E23F8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rPr>
                <w:rFonts w:ascii="Calibri" w:eastAsia="Times New Roman" w:hAnsi="Calibri" w:cs="Calibri"/>
                <w:color w:val="000000"/>
                <w:lang w:eastAsia="es-CO"/>
              </w:rPr>
            </w:pPr>
            <w:proofErr w:type="spellStart"/>
            <w:r w:rsidRPr="001F647A">
              <w:rPr>
                <w:rFonts w:ascii="Calibri" w:eastAsia="Times New Roman" w:hAnsi="Calibri" w:cs="Calibri"/>
                <w:color w:val="000000"/>
                <w:lang w:eastAsia="es-CO"/>
              </w:rPr>
              <w:t>Iteracion</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rPr>
                <w:rFonts w:ascii="Calibri" w:eastAsia="Times New Roman" w:hAnsi="Calibri" w:cs="Calibri"/>
                <w:color w:val="000000"/>
                <w:lang w:eastAsia="es-CO"/>
              </w:rPr>
            </w:pPr>
            <w:r w:rsidRPr="001F647A">
              <w:rPr>
                <w:rFonts w:ascii="Calibri" w:eastAsia="Times New Roman" w:hAnsi="Calibri" w:cs="Calibri"/>
                <w:color w:val="000000"/>
                <w:lang w:eastAsia="es-CO"/>
              </w:rPr>
              <w:t xml:space="preserve">Error </w:t>
            </w:r>
          </w:p>
        </w:tc>
      </w:tr>
      <w:tr w:rsidR="001F647A" w:rsidRPr="001F647A"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0.872116</w:t>
            </w:r>
          </w:p>
        </w:tc>
      </w:tr>
      <w:tr w:rsidR="001F647A" w:rsidRPr="001F647A"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0.1343148</w:t>
            </w:r>
          </w:p>
        </w:tc>
      </w:tr>
      <w:tr w:rsidR="001F647A" w:rsidRPr="001F647A"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1.27E-05</w:t>
            </w:r>
          </w:p>
        </w:tc>
      </w:tr>
      <w:tr w:rsidR="001F647A" w:rsidRPr="001F647A"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rsidR="001F647A" w:rsidRPr="001F647A" w:rsidRDefault="001F647A" w:rsidP="001F647A">
            <w:pPr>
              <w:spacing w:after="0" w:line="240" w:lineRule="auto"/>
              <w:jc w:val="right"/>
              <w:rPr>
                <w:rFonts w:ascii="Calibri" w:eastAsia="Times New Roman" w:hAnsi="Calibri" w:cs="Calibri"/>
                <w:color w:val="000000"/>
                <w:lang w:eastAsia="es-CO"/>
              </w:rPr>
            </w:pPr>
            <w:r w:rsidRPr="001F647A">
              <w:rPr>
                <w:rFonts w:ascii="Calibri" w:eastAsia="Times New Roman" w:hAnsi="Calibri" w:cs="Calibri"/>
                <w:color w:val="000000"/>
                <w:lang w:eastAsia="es-CO"/>
              </w:rPr>
              <w:t>1.88E-11</w:t>
            </w:r>
          </w:p>
        </w:tc>
      </w:tr>
    </w:tbl>
    <w:p w:rsidR="001F647A" w:rsidRDefault="00E23F8C" w:rsidP="00E23F8C">
      <w:pPr>
        <w:pStyle w:val="Prrafodelista"/>
        <w:ind w:left="1440"/>
        <w:jc w:val="center"/>
      </w:pPr>
      <w:r>
        <w:rPr>
          <w:noProof/>
          <w:lang w:eastAsia="es-CO"/>
        </w:rPr>
        <w:lastRenderedPageBreak/>
        <w:drawing>
          <wp:inline distT="0" distB="0" distL="0" distR="0" wp14:anchorId="61A61490" wp14:editId="4BD7FCE0">
            <wp:extent cx="3990975" cy="2524125"/>
            <wp:effectExtent l="0" t="0" r="952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23F8C" w:rsidRDefault="00E23F8C" w:rsidP="00E23F8C">
      <w:pPr>
        <w:pStyle w:val="Prrafodelista"/>
        <w:ind w:left="1440"/>
      </w:pPr>
    </w:p>
    <w:p w:rsidR="00E23F8C" w:rsidRDefault="00E23F8C" w:rsidP="00E23F8C">
      <w:pPr>
        <w:pStyle w:val="Prrafodelista"/>
        <w:ind w:left="1440"/>
      </w:pPr>
      <w:r>
        <w:t>ii. Utilizando Newton Mejorado</w:t>
      </w:r>
    </w:p>
    <w:tbl>
      <w:tblPr>
        <w:tblW w:w="2400" w:type="dxa"/>
        <w:jc w:val="center"/>
        <w:tblCellMar>
          <w:left w:w="70" w:type="dxa"/>
          <w:right w:w="70" w:type="dxa"/>
        </w:tblCellMar>
        <w:tblLook w:val="04A0" w:firstRow="1" w:lastRow="0" w:firstColumn="1" w:lastColumn="0" w:noHBand="0" w:noVBand="1"/>
      </w:tblPr>
      <w:tblGrid>
        <w:gridCol w:w="1200"/>
        <w:gridCol w:w="1200"/>
      </w:tblGrid>
      <w:tr w:rsidR="00E23F8C" w:rsidRPr="00E23F8C" w:rsidTr="00E23F8C">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rPr>
                <w:rFonts w:ascii="Calibri" w:eastAsia="Times New Roman" w:hAnsi="Calibri" w:cs="Calibri"/>
                <w:color w:val="000000"/>
                <w:lang w:eastAsia="es-CO"/>
              </w:rPr>
            </w:pPr>
            <w:r w:rsidRPr="00E23F8C">
              <w:rPr>
                <w:rFonts w:ascii="Calibri" w:eastAsia="Times New Roman" w:hAnsi="Calibri" w:cs="Calibri"/>
                <w:color w:val="000000"/>
                <w:lang w:eastAsia="es-CO"/>
              </w:rPr>
              <w:t>Iteración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rPr>
                <w:rFonts w:ascii="Calibri" w:eastAsia="Times New Roman" w:hAnsi="Calibri" w:cs="Calibri"/>
                <w:color w:val="000000"/>
                <w:lang w:eastAsia="es-CO"/>
              </w:rPr>
            </w:pPr>
            <w:r w:rsidRPr="00E23F8C">
              <w:rPr>
                <w:rFonts w:ascii="Calibri" w:eastAsia="Times New Roman" w:hAnsi="Calibri" w:cs="Calibri"/>
                <w:color w:val="000000"/>
                <w:lang w:eastAsia="es-CO"/>
              </w:rPr>
              <w:t>Error</w:t>
            </w:r>
          </w:p>
        </w:tc>
      </w:tr>
      <w:tr w:rsidR="00E23F8C" w:rsidRPr="00E23F8C"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1</w:t>
            </w:r>
          </w:p>
        </w:tc>
        <w:tc>
          <w:tcPr>
            <w:tcW w:w="1200" w:type="dxa"/>
            <w:tcBorders>
              <w:top w:val="nil"/>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0.1536676</w:t>
            </w:r>
          </w:p>
        </w:tc>
      </w:tr>
      <w:tr w:rsidR="00E23F8C" w:rsidRPr="00E23F8C"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2</w:t>
            </w:r>
          </w:p>
        </w:tc>
        <w:tc>
          <w:tcPr>
            <w:tcW w:w="1200" w:type="dxa"/>
            <w:tcBorders>
              <w:top w:val="nil"/>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0.093756</w:t>
            </w:r>
          </w:p>
        </w:tc>
      </w:tr>
      <w:tr w:rsidR="00E23F8C" w:rsidRPr="00E23F8C"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3</w:t>
            </w:r>
          </w:p>
        </w:tc>
        <w:tc>
          <w:tcPr>
            <w:tcW w:w="1200" w:type="dxa"/>
            <w:tcBorders>
              <w:top w:val="nil"/>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0.00118946</w:t>
            </w:r>
          </w:p>
        </w:tc>
      </w:tr>
      <w:tr w:rsidR="00E23F8C" w:rsidRPr="00E23F8C"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4</w:t>
            </w:r>
          </w:p>
        </w:tc>
        <w:tc>
          <w:tcPr>
            <w:tcW w:w="1200" w:type="dxa"/>
            <w:tcBorders>
              <w:top w:val="nil"/>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1.13E-08</w:t>
            </w:r>
          </w:p>
        </w:tc>
      </w:tr>
      <w:tr w:rsidR="00E23F8C" w:rsidRPr="00E23F8C" w:rsidTr="00E23F8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5</w:t>
            </w:r>
          </w:p>
        </w:tc>
        <w:tc>
          <w:tcPr>
            <w:tcW w:w="1200" w:type="dxa"/>
            <w:tcBorders>
              <w:top w:val="nil"/>
              <w:left w:val="nil"/>
              <w:bottom w:val="single" w:sz="4" w:space="0" w:color="auto"/>
              <w:right w:val="single" w:sz="4" w:space="0" w:color="auto"/>
            </w:tcBorders>
            <w:shd w:val="clear" w:color="auto" w:fill="auto"/>
            <w:noWrap/>
            <w:vAlign w:val="bottom"/>
            <w:hideMark/>
          </w:tcPr>
          <w:p w:rsidR="00E23F8C" w:rsidRPr="00E23F8C" w:rsidRDefault="00E23F8C" w:rsidP="00E23F8C">
            <w:pPr>
              <w:spacing w:after="0" w:line="240" w:lineRule="auto"/>
              <w:jc w:val="right"/>
              <w:rPr>
                <w:rFonts w:ascii="Calibri" w:eastAsia="Times New Roman" w:hAnsi="Calibri" w:cs="Calibri"/>
                <w:color w:val="000000"/>
                <w:lang w:eastAsia="es-CO"/>
              </w:rPr>
            </w:pPr>
            <w:r w:rsidRPr="00E23F8C">
              <w:rPr>
                <w:rFonts w:ascii="Calibri" w:eastAsia="Times New Roman" w:hAnsi="Calibri" w:cs="Calibri"/>
                <w:color w:val="000000"/>
                <w:lang w:eastAsia="es-CO"/>
              </w:rPr>
              <w:t>6.67E-14</w:t>
            </w:r>
          </w:p>
        </w:tc>
      </w:tr>
    </w:tbl>
    <w:p w:rsidR="00E23F8C" w:rsidRDefault="00E23F8C" w:rsidP="00E23F8C">
      <w:pPr>
        <w:pStyle w:val="Prrafodelista"/>
        <w:ind w:left="1440"/>
      </w:pPr>
    </w:p>
    <w:p w:rsidR="00E23F8C" w:rsidRDefault="00E23F8C" w:rsidP="00E23F8C">
      <w:pPr>
        <w:pStyle w:val="Prrafodelista"/>
        <w:ind w:left="1440"/>
        <w:jc w:val="center"/>
      </w:pPr>
      <w:r>
        <w:rPr>
          <w:noProof/>
          <w:lang w:eastAsia="es-CO"/>
        </w:rPr>
        <w:drawing>
          <wp:inline distT="0" distB="0" distL="0" distR="0" wp14:anchorId="779589CF" wp14:editId="012F8828">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23F8C" w:rsidRDefault="00E23F8C" w:rsidP="00E23F8C">
      <w:pPr>
        <w:pStyle w:val="Prrafodelista"/>
        <w:ind w:left="1440"/>
      </w:pPr>
    </w:p>
    <w:p w:rsidR="00E23F8C" w:rsidRDefault="00E23F8C" w:rsidP="00E23F8C">
      <w:pPr>
        <w:pStyle w:val="Prrafodelista"/>
        <w:ind w:left="1440"/>
      </w:pPr>
      <w:r>
        <w:t xml:space="preserve">Como bien se notar ambos tienen una convergencia cuadrada, sin embargo, el k o constante que acompañan a la convergencia es más pequeño en el método </w:t>
      </w:r>
      <w:proofErr w:type="spellStart"/>
      <w:r>
        <w:t>Aitken</w:t>
      </w:r>
      <w:proofErr w:type="spellEnd"/>
      <w:r>
        <w:t xml:space="preserve">. Por esta razón converge más rápido. </w:t>
      </w:r>
    </w:p>
    <w:p w:rsidR="00782C1B" w:rsidRDefault="00782C1B" w:rsidP="00E23F8C">
      <w:pPr>
        <w:pStyle w:val="Prrafodelista"/>
        <w:ind w:left="1440"/>
      </w:pPr>
    </w:p>
    <w:p w:rsidR="00782C1B" w:rsidRDefault="00782C1B" w:rsidP="00E23F8C">
      <w:pPr>
        <w:pStyle w:val="Prrafodelista"/>
        <w:ind w:left="1440"/>
      </w:pPr>
      <w:r>
        <w:t xml:space="preserve">Código: Ver como Anexo en </w:t>
      </w:r>
      <w:proofErr w:type="spellStart"/>
      <w:r>
        <w:t>Github</w:t>
      </w:r>
      <w:proofErr w:type="spellEnd"/>
      <w:r>
        <w:t>. Punto2.R</w:t>
      </w:r>
    </w:p>
    <w:sectPr w:rsidR="00782C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36AD0"/>
    <w:multiLevelType w:val="hybridMultilevel"/>
    <w:tmpl w:val="2CE24C2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00"/>
    <w:rsid w:val="0000382F"/>
    <w:rsid w:val="001F647A"/>
    <w:rsid w:val="004559AB"/>
    <w:rsid w:val="004F56A4"/>
    <w:rsid w:val="00782C1B"/>
    <w:rsid w:val="00874A00"/>
    <w:rsid w:val="00B5256B"/>
    <w:rsid w:val="00C06B91"/>
    <w:rsid w:val="00DF4BD1"/>
    <w:rsid w:val="00E23F8C"/>
    <w:rsid w:val="00F904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58FC"/>
  <w15:chartTrackingRefBased/>
  <w15:docId w15:val="{5F096160-0E56-4CE4-A078-D336A7C7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256B"/>
    <w:pPr>
      <w:ind w:left="720"/>
      <w:contextualSpacing/>
    </w:pPr>
  </w:style>
  <w:style w:type="table" w:styleId="Tablaconcuadrcula">
    <w:name w:val="Table Grid"/>
    <w:basedOn w:val="Tablanormal"/>
    <w:uiPriority w:val="39"/>
    <w:rsid w:val="00455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45737">
      <w:bodyDiv w:val="1"/>
      <w:marLeft w:val="0"/>
      <w:marRight w:val="0"/>
      <w:marTop w:val="0"/>
      <w:marBottom w:val="0"/>
      <w:divBdr>
        <w:top w:val="none" w:sz="0" w:space="0" w:color="auto"/>
        <w:left w:val="none" w:sz="0" w:space="0" w:color="auto"/>
        <w:bottom w:val="none" w:sz="0" w:space="0" w:color="auto"/>
        <w:right w:val="none" w:sz="0" w:space="0" w:color="auto"/>
      </w:divBdr>
    </w:div>
    <w:div w:id="19053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Convergencia</a:t>
            </a:r>
          </a:p>
        </c:rich>
      </c:tx>
      <c:layout>
        <c:manualLayout>
          <c:xMode val="edge"/>
          <c:yMode val="edge"/>
          <c:x val="0.16003702662167232"/>
          <c:y val="2.61437818798888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1672009748781402"/>
                  <c:y val="-0.724328573129338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Hoja1!$A$2:$A$5</c:f>
              <c:numCache>
                <c:formatCode>General</c:formatCode>
                <c:ptCount val="4"/>
                <c:pt idx="0">
                  <c:v>1</c:v>
                </c:pt>
                <c:pt idx="1">
                  <c:v>2</c:v>
                </c:pt>
                <c:pt idx="2">
                  <c:v>3</c:v>
                </c:pt>
                <c:pt idx="3">
                  <c:v>4</c:v>
                </c:pt>
              </c:numCache>
            </c:numRef>
          </c:xVal>
          <c:yVal>
            <c:numRef>
              <c:f>Hoja1!$B$2:$B$5</c:f>
              <c:numCache>
                <c:formatCode>General</c:formatCode>
                <c:ptCount val="4"/>
                <c:pt idx="0">
                  <c:v>0.872116</c:v>
                </c:pt>
                <c:pt idx="1">
                  <c:v>0.13431480000000001</c:v>
                </c:pt>
                <c:pt idx="2" formatCode="0.00E+00">
                  <c:v>1.26805E-5</c:v>
                </c:pt>
                <c:pt idx="3" formatCode="0.00E+00">
                  <c:v>1.8807180000000001E-11</c:v>
                </c:pt>
              </c:numCache>
            </c:numRef>
          </c:yVal>
          <c:smooth val="0"/>
          <c:extLst>
            <c:ext xmlns:c16="http://schemas.microsoft.com/office/drawing/2014/chart" uri="{C3380CC4-5D6E-409C-BE32-E72D297353CC}">
              <c16:uniqueId val="{00000000-183C-4420-BC6C-CE4ED657176D}"/>
            </c:ext>
          </c:extLst>
        </c:ser>
        <c:dLbls>
          <c:showLegendKey val="0"/>
          <c:showVal val="0"/>
          <c:showCatName val="0"/>
          <c:showSerName val="0"/>
          <c:showPercent val="0"/>
          <c:showBubbleSize val="0"/>
        </c:dLbls>
        <c:axId val="416247032"/>
        <c:axId val="416247688"/>
      </c:scatterChart>
      <c:valAx>
        <c:axId val="416247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247688"/>
        <c:crosses val="autoZero"/>
        <c:crossBetween val="midCat"/>
      </c:valAx>
      <c:valAx>
        <c:axId val="416247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247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Convergencia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7645647419072616"/>
                  <c:y val="-0.782389909594634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xVal>
            <c:numRef>
              <c:f>Hoja1!$G$2:$G$6</c:f>
              <c:numCache>
                <c:formatCode>General</c:formatCode>
                <c:ptCount val="5"/>
                <c:pt idx="0">
                  <c:v>1</c:v>
                </c:pt>
                <c:pt idx="1">
                  <c:v>2</c:v>
                </c:pt>
                <c:pt idx="2">
                  <c:v>3</c:v>
                </c:pt>
                <c:pt idx="3">
                  <c:v>4</c:v>
                </c:pt>
                <c:pt idx="4">
                  <c:v>5</c:v>
                </c:pt>
              </c:numCache>
            </c:numRef>
          </c:xVal>
          <c:yVal>
            <c:numRef>
              <c:f>Hoja1!$H$2:$H$6</c:f>
              <c:numCache>
                <c:formatCode>General</c:formatCode>
                <c:ptCount val="5"/>
                <c:pt idx="0">
                  <c:v>0.15366759999999999</c:v>
                </c:pt>
                <c:pt idx="1">
                  <c:v>9.3756000000000006E-2</c:v>
                </c:pt>
                <c:pt idx="2">
                  <c:v>1.1894642E-3</c:v>
                </c:pt>
                <c:pt idx="3" formatCode="0.00E+00">
                  <c:v>1.125201E-8</c:v>
                </c:pt>
                <c:pt idx="4" formatCode="0.00E+00">
                  <c:v>6.6724399999999995E-14</c:v>
                </c:pt>
              </c:numCache>
            </c:numRef>
          </c:yVal>
          <c:smooth val="0"/>
          <c:extLst>
            <c:ext xmlns:c16="http://schemas.microsoft.com/office/drawing/2014/chart" uri="{C3380CC4-5D6E-409C-BE32-E72D297353CC}">
              <c16:uniqueId val="{00000000-0CD7-4EFA-ADC2-16D11DB145F3}"/>
            </c:ext>
          </c:extLst>
        </c:ser>
        <c:dLbls>
          <c:showLegendKey val="0"/>
          <c:showVal val="0"/>
          <c:showCatName val="0"/>
          <c:showSerName val="0"/>
          <c:showPercent val="0"/>
          <c:showBubbleSize val="0"/>
        </c:dLbls>
        <c:axId val="416254904"/>
        <c:axId val="416257528"/>
      </c:scatterChart>
      <c:valAx>
        <c:axId val="416254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257528"/>
        <c:crosses val="autoZero"/>
        <c:crossBetween val="midCat"/>
      </c:valAx>
      <c:valAx>
        <c:axId val="416257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16254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338</Words>
  <Characters>1862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General</dc:creator>
  <cp:keywords/>
  <dc:description/>
  <cp:lastModifiedBy>Sala General</cp:lastModifiedBy>
  <cp:revision>5</cp:revision>
  <dcterms:created xsi:type="dcterms:W3CDTF">2019-03-01T11:59:00Z</dcterms:created>
  <dcterms:modified xsi:type="dcterms:W3CDTF">2019-03-01T13:47:00Z</dcterms:modified>
</cp:coreProperties>
</file>