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comparativo de modelos preentrenados</w:t>
      </w:r>
    </w:p>
    <w:p>
      <w:pPr>
        <w:jc w:val="center"/>
      </w:pPr>
      <w:r>
        <w:rPr>
          <w:i/>
          <w:sz w:val="22"/>
        </w:rPr>
        <w:t>Proyecto ConectaSegura  Actividad 4 Punto 2</w:t>
      </w:r>
    </w:p>
    <w:p>
      <w:pPr>
        <w:pStyle w:val="Heading1"/>
      </w:pPr>
      <w:r>
        <w:t>Conclusión ejecutiva</w:t>
      </w:r>
    </w:p>
    <w:p>
      <w:r>
        <w:t>XLM-RoBERTa se recomienda como modelo base para el prototipo de ConectaSegura. Obtuvo la mayor exactitud y el mejor F1-score macro en la evaluación con reportes en español sobre llamadas sospechosas. DistilBERT multilingüe es la alternativa más eficiente cuando la prioridad es la velocidad, pero su desempeño predictivo es menor. Ningún modelo alcanzó aún el umbral de F1 macro de 0.80 definido para una posible operación; por ello, la siguiente etapa debe ampliar el conjunto de evaluación y considerar ajuste fino si se confirma el desempeño insuficiente.</w:t>
      </w:r>
    </w:p>
    <w:p>
      <w:pPr>
        <w:pStyle w:val="Heading1"/>
      </w:pPr>
      <w:r>
        <w:t>1. Descripción del caso de uso</w:t>
      </w:r>
    </w:p>
    <w:p>
      <w:r>
        <w:t>ConectaSegura es un proyecto de telecomunicaciones orientado a apoyar la gestión de reportes de llamadas potencialmente fraudulentas. En esta actividad se seleccionó procesamiento de lenguaje natural para clasificar el sentimiento de mensajes escritos por usuarios en tres categorías: negativo, neutral y positivo. La salida sirve para priorizar atención y detectar experiencias negativas asociadas con posibles intentos de fraude; no determina por sí sola que una llamada sea fraudulenta ni activa bloqueos automáticos.</w:t>
      </w:r>
    </w:p>
    <w:p>
      <w:pPr>
        <w:pStyle w:val="Heading1"/>
      </w:pPr>
      <w:r>
        <w:t>2. Ecosistema Hugging Face y criterios de selección</w:t>
      </w:r>
    </w:p>
    <w:p>
      <w:r>
        <w:t>El prototipo utiliza Models para descargar modelos preentrenados, Datasets como referencia para gestionar conjuntos de evaluación y Spaces como opción de despliegue posterior de una demostración. La decisión no se basó únicamente en popularidad: se consideraron idioma, tarea, métricas, latencia, recursos, licencia, facilidad de implementación y posibilidad de reproducir el experimento en Google Colab con GPU.</w:t>
      </w:r>
    </w:p>
    <w:tbl>
      <w:tblPr>
        <w:tblW w:type="auto" w:w="0"/>
        <w:jc w:val="center"/>
        <w:tblLayout w:type="autofit"/>
        <w:tblLook w:firstColumn="1" w:firstRow="1" w:lastColumn="0" w:lastRow="0" w:noHBand="0" w:noVBand="1" w:val="04A0"/>
      </w:tblPr>
      <w:tblGrid>
        <w:gridCol w:w="5040"/>
        <w:gridCol w:w="5040"/>
      </w:tblGrid>
      <w:tr>
        <w:tc>
          <w:tcPr>
            <w:tcW w:type="dxa" w:w="50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Criterio</w:t>
            </w:r>
          </w:p>
        </w:tc>
        <w:tc>
          <w:tcPr>
            <w:tcW w:type="dxa" w:w="50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Aplicación en ConectaSegura</w:t>
            </w:r>
          </w:p>
        </w:tc>
      </w:tr>
      <w:tr>
        <w:tc>
          <w:tcPr>
            <w:tcW w:type="dxa" w:w="5040"/>
            <w:vAlign w:val="center"/>
            <w:tcBorders>
              <w:top w:val="single" w:sz="6" w:color="D9D9D9"/>
              <w:left w:val="single" w:sz="6" w:color="D9D9D9"/>
              <w:bottom w:val="single" w:sz="6" w:color="D9D9D9"/>
              <w:right w:val="single" w:sz="6" w:color="D9D9D9"/>
            </w:tcBorders>
          </w:tcPr>
          <w:p>
            <w:pPr>
              <w:spacing w:after="0"/>
              <w:jc w:val="left"/>
            </w:pPr>
            <w:r/>
            <w:r>
              <w:rPr>
                <w:b w:val="0"/>
                <w:sz w:val="16"/>
              </w:rPr>
              <w:t>Idioma y tarea</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
              <w:rPr>
                <w:b w:val="0"/>
                <w:sz w:val="16"/>
              </w:rPr>
              <w:t>Análisis de sentimiento de textos en español o multilingües.</w:t>
            </w:r>
          </w:p>
        </w:tc>
      </w:tr>
      <w:tr>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
              <w:rPr>
                <w:b w:val="0"/>
                <w:sz w:val="16"/>
              </w:rPr>
              <w:t>Calidad predictiva</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Accuracy, precision macro, recall macro y F1 macro.</w:t>
            </w:r>
          </w:p>
        </w:tc>
      </w:tr>
      <w:tr>
        <w:tc>
          <w:tcPr>
            <w:tcW w:type="dxa" w:w="5040"/>
            <w:vAlign w:val="center"/>
            <w:tcBorders>
              <w:top w:val="single" w:sz="6" w:color="D9D9D9"/>
              <w:left w:val="single" w:sz="6" w:color="D9D9D9"/>
              <w:bottom w:val="single" w:sz="6" w:color="D9D9D9"/>
              <w:right w:val="single" w:sz="6" w:color="D9D9D9"/>
            </w:tcBorders>
          </w:tcPr>
          <w:p>
            <w:pPr>
              <w:spacing w:after="0"/>
              <w:jc w:val="left"/>
            </w:pPr>
            <w:r/>
            <w:r>
              <w:rPr>
                <w:b w:val="0"/>
                <w:sz w:val="16"/>
              </w:rPr>
              <w:t>Eficiencia</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
              <w:rPr>
                <w:b w:val="0"/>
                <w:sz w:val="16"/>
              </w:rPr>
              <w:t>Latencia total y promedio por reporte.</w:t>
            </w:r>
          </w:p>
        </w:tc>
      </w:tr>
      <w:tr>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
              <w:rPr>
                <w:b w:val="0"/>
                <w:sz w:val="16"/>
              </w:rPr>
              <w:t>Recursos</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Ejecución reproducible en Colab con GPU T4 o CPU como alternativa.</w:t>
            </w:r>
          </w:p>
        </w:tc>
      </w:tr>
      <w:tr>
        <w:tc>
          <w:tcPr>
            <w:tcW w:type="dxa" w:w="5040"/>
            <w:vAlign w:val="center"/>
            <w:tcBorders>
              <w:top w:val="single" w:sz="6" w:color="D9D9D9"/>
              <w:left w:val="single" w:sz="6" w:color="D9D9D9"/>
              <w:bottom w:val="single" w:sz="6" w:color="D9D9D9"/>
              <w:right w:val="single" w:sz="6" w:color="D9D9D9"/>
            </w:tcBorders>
          </w:tcPr>
          <w:p>
            <w:pPr>
              <w:spacing w:after="0"/>
              <w:jc w:val="left"/>
            </w:pPr>
            <w:r/>
            <w:r>
              <w:rPr>
                <w:b w:val="0"/>
                <w:sz w:val="16"/>
              </w:rPr>
              <w:t>Riesgo y operación</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
              <w:rPr>
                <w:b w:val="0"/>
                <w:sz w:val="16"/>
              </w:rPr>
              <w:t>Revisión humana de alertas y evaluación de errores por clase.</w:t>
            </w:r>
          </w:p>
        </w:tc>
      </w:tr>
    </w:tbl>
    <w:p>
      <w:pPr>
        <w:spacing w:after="80"/>
      </w:pPr>
    </w:p>
    <w:p>
      <w:r>
        <w:br w:type="page"/>
      </w:r>
    </w:p>
    <w:p>
      <w:pPr>
        <w:pStyle w:val="Heading1"/>
      </w:pPr>
      <w:r>
        <w:t>3. Comparación técnica de los modelos</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Modelo</w:t>
            </w:r>
          </w:p>
        </w:tc>
        <w:tc>
          <w:tcPr>
            <w:tcW w:type="dxa" w:w="14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Tarea</w:t>
            </w:r>
          </w:p>
        </w:tc>
        <w:tc>
          <w:tcPr>
            <w:tcW w:type="dxa" w:w="14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Tamaño aprox.</w:t>
            </w:r>
          </w:p>
        </w:tc>
        <w:tc>
          <w:tcPr>
            <w:tcW w:type="dxa" w:w="14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Licencia</w:t>
            </w:r>
          </w:p>
        </w:tc>
        <w:tc>
          <w:tcPr>
            <w:tcW w:type="dxa" w:w="14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Accuracy</w:t>
            </w:r>
          </w:p>
        </w:tc>
        <w:tc>
          <w:tcPr>
            <w:tcW w:type="dxa" w:w="14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F1 macro</w:t>
            </w:r>
          </w:p>
        </w:tc>
        <w:tc>
          <w:tcPr>
            <w:tcW w:type="dxa" w:w="14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Latencia prom.</w:t>
            </w:r>
          </w:p>
        </w:tc>
      </w:tr>
      <w:tr>
        <w:tc>
          <w:tcPr>
            <w:tcW w:type="dxa" w:w="1440"/>
            <w:vAlign w:val="center"/>
            <w:tcBorders>
              <w:top w:val="single" w:sz="6" w:color="D9D9D9"/>
              <w:left w:val="single" w:sz="6" w:color="D9D9D9"/>
              <w:bottom w:val="single" w:sz="6" w:color="D9D9D9"/>
              <w:right w:val="single" w:sz="6" w:color="D9D9D9"/>
            </w:tcBorders>
          </w:tcPr>
          <w:p>
            <w:pPr>
              <w:spacing w:after="0"/>
              <w:jc w:val="left"/>
            </w:pPr>
            <w:r/>
            <w:r>
              <w:rPr>
                <w:b w:val="0"/>
                <w:sz w:val="16"/>
              </w:rPr>
              <w:t>XLM-RoBERTa</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Sentimiento multilingüe</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279 M</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CC BY 4.0</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0.633</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0.644</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136.71 ms</w:t>
            </w:r>
          </w:p>
        </w:tc>
      </w:tr>
      <w:tr>
        <w:tc>
          <w:tcPr>
            <w:tcW w:type="dxa" w:w="1440"/>
            <w:shd w:fill="EAF2F8"/>
            <w:vAlign w:val="center"/>
            <w:tcBorders>
              <w:top w:val="single" w:sz="6" w:color="D9D9D9"/>
              <w:left w:val="single" w:sz="6" w:color="D9D9D9"/>
              <w:bottom w:val="single" w:sz="6" w:color="D9D9D9"/>
              <w:right w:val="single" w:sz="6" w:color="D9D9D9"/>
            </w:tcBorders>
          </w:tcPr>
          <w:p>
            <w:pPr>
              <w:spacing w:after="0"/>
              <w:jc w:val="left"/>
            </w:pPr>
            <w:r/>
            <w:r>
              <w:rPr>
                <w:b w:val="0"/>
                <w:sz w:val="16"/>
              </w:rPr>
              <w:t>DistilBERT multilingüe</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Sentimiento multilingüe</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135 M</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Apache 2.0</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0.600</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0.576</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29.96 ms</w:t>
            </w:r>
          </w:p>
        </w:tc>
      </w:tr>
      <w:tr>
        <w:tc>
          <w:tcPr>
            <w:tcW w:type="dxa" w:w="1440"/>
            <w:vAlign w:val="center"/>
            <w:tcBorders>
              <w:top w:val="single" w:sz="6" w:color="D9D9D9"/>
              <w:left w:val="single" w:sz="6" w:color="D9D9D9"/>
              <w:bottom w:val="single" w:sz="6" w:color="D9D9D9"/>
              <w:right w:val="single" w:sz="6" w:color="D9D9D9"/>
            </w:tcBorders>
          </w:tcPr>
          <w:p>
            <w:pPr>
              <w:spacing w:after="0"/>
              <w:jc w:val="left"/>
            </w:pPr>
            <w:r/>
            <w:r>
              <w:rPr>
                <w:b w:val="0"/>
                <w:sz w:val="16"/>
              </w:rPr>
              <w:t>RoBERTuito</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Sentimiento en español</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125 M</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MIT</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0.567</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0.570</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
              <w:rPr>
                <w:b w:val="0"/>
                <w:sz w:val="16"/>
              </w:rPr>
              <w:t>78.19 ms</w:t>
            </w:r>
          </w:p>
        </w:tc>
      </w:tr>
    </w:tbl>
    <w:p>
      <w:pPr>
        <w:spacing w:after="80"/>
      </w:pPr>
    </w:p>
    <w:p>
      <w:pPr/>
      <w:r>
        <w:rPr>
          <w:i/>
        </w:rPr>
        <w:t>Nota: el tamaño y la licencia son valores de referencia de las tarjetas de modelo; deben verificarse nuevamente antes de un uso comercial o de producción.</w:t>
      </w:r>
    </w:p>
    <w:p>
      <w:pPr>
        <w:pStyle w:val="Heading1"/>
      </w:pPr>
      <w:r>
        <w:t>4. Análisis de resultados y trade offs</w:t>
      </w:r>
    </w:p>
    <w:p>
      <w:r>
        <w:t>XLM-RoBERTa obtuvo accuracy de 0.633 y F1 macro de 0.644, las cifras más altas de la comparación. Su precision macro de 0.700 y recall macro de 0.633 reflejan una capacidad más equilibrada entre las tres clases. La principal desventaja es su latencia: 136.71 ms por reporte, aproximadamente 4.6 veces mayor que la observada en DistilBERT multilingüe.</w:t>
      </w:r>
    </w:p>
    <w:p>
      <w:r>
        <w:t>DistilBERT multilingüe procesó cada reporte en 29.96 ms y mostró precision macro de 0.700. Es una opción atractiva para escenarios de alto volumen o recursos restringidos, aunque su F1 macro de 0.576 indica que pierde desempeño respecto al modelo recomendado. RoBERTuito alcanzó la precision macro más alta, 0.712, pero su recall macro de 0.567 y F1 macro de 0.570 indican que deja sin identificar una proporción mayor de casos de las clases reales.</w:t>
      </w:r>
    </w:p>
    <w:p>
      <w:pPr>
        <w:pStyle w:val="Heading1"/>
      </w:pPr>
      <w:r>
        <w:t>5. Ajustes mínimos aplicados</w:t>
      </w:r>
    </w:p>
    <w:tbl>
      <w:tblPr>
        <w:tblW w:type="auto" w:w="0"/>
        <w:jc w:val="center"/>
        <w:tblLayout w:type="autofit"/>
        <w:tblLook w:firstColumn="1" w:firstRow="1" w:lastColumn="0" w:lastRow="0" w:noHBand="0" w:noVBand="1" w:val="04A0"/>
      </w:tblPr>
      <w:tblGrid>
        <w:gridCol w:w="5040"/>
        <w:gridCol w:w="5040"/>
      </w:tblGrid>
      <w:tr>
        <w:tc>
          <w:tcPr>
            <w:tcW w:type="dxa" w:w="50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Ajuste</w:t>
            </w:r>
          </w:p>
        </w:tc>
        <w:tc>
          <w:tcPr>
            <w:tcW w:type="dxa" w:w="50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Justificación</w:t>
            </w:r>
          </w:p>
        </w:tc>
      </w:tr>
      <w:tr>
        <w:tc>
          <w:tcPr>
            <w:tcW w:type="dxa" w:w="5040"/>
            <w:vAlign w:val="center"/>
            <w:tcBorders>
              <w:top w:val="single" w:sz="6" w:color="D9D9D9"/>
              <w:left w:val="single" w:sz="6" w:color="D9D9D9"/>
              <w:bottom w:val="single" w:sz="6" w:color="D9D9D9"/>
              <w:right w:val="single" w:sz="6" w:color="D9D9D9"/>
            </w:tcBorders>
          </w:tcPr>
          <w:p>
            <w:pPr>
              <w:spacing w:after="0"/>
              <w:jc w:val="left"/>
            </w:pPr>
            <w:r/>
            <w:r>
              <w:rPr>
                <w:b w:val="0"/>
                <w:sz w:val="16"/>
              </w:rPr>
              <w:t>Uso de GPU</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
              <w:rPr>
                <w:b w:val="0"/>
                <w:sz w:val="16"/>
              </w:rPr>
              <w:t>Reduce el tiempo de inferencia cuando el entorno de Colab la tiene disponible.</w:t>
            </w:r>
          </w:p>
        </w:tc>
      </w:tr>
      <w:tr>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
              <w:rPr>
                <w:b w:val="0"/>
                <w:sz w:val="16"/>
              </w:rPr>
              <w:t>Inferencia por lotes</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Procesa varios reportes por ejecución y reduce sobrecarga.</w:t>
            </w:r>
          </w:p>
        </w:tc>
      </w:tr>
      <w:tr>
        <w:tc>
          <w:tcPr>
            <w:tcW w:type="dxa" w:w="5040"/>
            <w:vAlign w:val="center"/>
            <w:tcBorders>
              <w:top w:val="single" w:sz="6" w:color="D9D9D9"/>
              <w:left w:val="single" w:sz="6" w:color="D9D9D9"/>
              <w:bottom w:val="single" w:sz="6" w:color="D9D9D9"/>
              <w:right w:val="single" w:sz="6" w:color="D9D9D9"/>
            </w:tcBorders>
          </w:tcPr>
          <w:p>
            <w:pPr>
              <w:spacing w:after="0"/>
              <w:jc w:val="left"/>
            </w:pPr>
            <w:r/>
            <w:r>
              <w:rPr>
                <w:b w:val="0"/>
                <w:sz w:val="16"/>
              </w:rPr>
              <w:t>Truncamiento</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
              <w:rPr>
                <w:b w:val="0"/>
                <w:sz w:val="16"/>
              </w:rPr>
              <w:t>Evita errores con mensajes extensos y mantiene tiempo de respuesta controlado.</w:t>
            </w:r>
          </w:p>
        </w:tc>
      </w:tr>
      <w:tr>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
              <w:rPr>
                <w:b w:val="0"/>
                <w:sz w:val="16"/>
              </w:rPr>
              <w:t>Normalización de etiquetas</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Convierte las salidas heterogéneas de los modelos a NEG, NEU y POS para comparar métricas.</w:t>
            </w:r>
          </w:p>
        </w:tc>
      </w:tr>
    </w:tbl>
    <w:p>
      <w:pPr>
        <w:spacing w:after="80"/>
      </w:pPr>
    </w:p>
    <w:p>
      <w:pPr>
        <w:pStyle w:val="Heading1"/>
      </w:pPr>
      <w:r>
        <w:t>6. Modelo recomendado y condiciones de adopción</w:t>
      </w:r>
    </w:p>
    <w:p>
      <w:r>
        <w:t>Se recomienda XLM-RoBERTa como línea base porque maximiza la calidad de clasificación en el conjunto de prueba. La latencia de 136.71 ms es compatible con un proceso de priorización de reportes no crítico en tiempo real, especialmente si se usa inferencia por lotes y GPU. No debe desplegarse como mecanismo autónomo de decisión: su rendimiento actual es inferior al umbral de F1 macro de 0.80 y el conjunto de evaluación es pequeño.</w:t>
      </w:r>
    </w:p>
    <w:p>
      <w:pPr>
        <w:pStyle w:val="Heading1"/>
      </w:pPr>
      <w:r>
        <w:t>7. Umbrales y riesgos</w:t>
      </w:r>
    </w:p>
    <w:tbl>
      <w:tblPr>
        <w:tblW w:type="auto" w:w="0"/>
        <w:jc w:val="center"/>
        <w:tblLayout w:type="autofit"/>
        <w:tblLook w:firstColumn="1" w:firstRow="1" w:lastColumn="0" w:lastRow="0" w:noHBand="0" w:noVBand="1" w:val="04A0"/>
      </w:tblPr>
      <w:tblGrid>
        <w:gridCol w:w="5040"/>
        <w:gridCol w:w="5040"/>
      </w:tblGrid>
      <w:tr>
        <w:tc>
          <w:tcPr>
            <w:tcW w:type="dxa" w:w="50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Elemento</w:t>
            </w:r>
          </w:p>
        </w:tc>
        <w:tc>
          <w:tcPr>
            <w:tcW w:type="dxa" w:w="5040"/>
            <w:shd w:fill="17365D"/>
            <w:vAlign w:val="center"/>
            <w:tcBorders>
              <w:top w:val="single" w:sz="6" w:color="D9D9D9"/>
              <w:left w:val="single" w:sz="6" w:color="D9D9D9"/>
              <w:bottom w:val="single" w:sz="6" w:color="D9D9D9"/>
              <w:right w:val="single" w:sz="6" w:color="D9D9D9"/>
            </w:tcBorders>
          </w:tcPr>
          <w:p>
            <w:pPr>
              <w:spacing w:after="0"/>
              <w:jc w:val="center"/>
            </w:pPr>
            <w:r/>
            <w:r>
              <w:rPr>
                <w:b/>
                <w:color w:val="FFFFFF"/>
                <w:sz w:val="16"/>
              </w:rPr>
              <w:t>Definición para el piloto</w:t>
            </w:r>
          </w:p>
        </w:tc>
      </w:tr>
      <w:tr>
        <w:tc>
          <w:tcPr>
            <w:tcW w:type="dxa" w:w="5040"/>
            <w:vAlign w:val="center"/>
            <w:tcBorders>
              <w:top w:val="single" w:sz="6" w:color="D9D9D9"/>
              <w:left w:val="single" w:sz="6" w:color="D9D9D9"/>
              <w:bottom w:val="single" w:sz="6" w:color="D9D9D9"/>
              <w:right w:val="single" w:sz="6" w:color="D9D9D9"/>
            </w:tcBorders>
          </w:tcPr>
          <w:p>
            <w:pPr>
              <w:spacing w:after="0"/>
              <w:jc w:val="left"/>
            </w:pPr>
            <w:r/>
            <w:r>
              <w:rPr>
                <w:b w:val="0"/>
                <w:sz w:val="16"/>
              </w:rPr>
              <w:t>Umbral de calidad</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
              <w:rPr>
                <w:b w:val="0"/>
                <w:sz w:val="16"/>
              </w:rPr>
              <w:t>F1 macro &gt;= 0.80 y recall de la clase NEG &gt;= 0.80.</w:t>
            </w:r>
          </w:p>
        </w:tc>
      </w:tr>
      <w:tr>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
              <w:rPr>
                <w:b w:val="0"/>
                <w:sz w:val="16"/>
              </w:rPr>
              <w:t>Umbral de eficiencia</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Latencia promedio menor de 500 ms por reporte.</w:t>
            </w:r>
          </w:p>
        </w:tc>
      </w:tr>
      <w:tr>
        <w:tc>
          <w:tcPr>
            <w:tcW w:type="dxa" w:w="5040"/>
            <w:vAlign w:val="center"/>
            <w:tcBorders>
              <w:top w:val="single" w:sz="6" w:color="D9D9D9"/>
              <w:left w:val="single" w:sz="6" w:color="D9D9D9"/>
              <w:bottom w:val="single" w:sz="6" w:color="D9D9D9"/>
              <w:right w:val="single" w:sz="6" w:color="D9D9D9"/>
            </w:tcBorders>
          </w:tcPr>
          <w:p>
            <w:pPr>
              <w:spacing w:after="0"/>
              <w:jc w:val="left"/>
            </w:pPr>
            <w:r/>
            <w:r>
              <w:rPr>
                <w:b w:val="0"/>
                <w:sz w:val="16"/>
              </w:rPr>
              <w:t>Riesgo de datos</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
              <w:rPr>
                <w:b w:val="0"/>
                <w:sz w:val="16"/>
              </w:rPr>
              <w:t>El conjunto pequeño y construido para el prototipo puede no representar lenguaje real, regionalismos o campañas nuevas.</w:t>
            </w:r>
          </w:p>
        </w:tc>
      </w:tr>
      <w:tr>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
              <w:rPr>
                <w:b w:val="0"/>
                <w:sz w:val="16"/>
              </w:rPr>
              <w:t>Riesgo operativo</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center"/>
            </w:pPr>
            <w:r/>
            <w:r>
              <w:rPr>
                <w:b w:val="0"/>
                <w:sz w:val="16"/>
              </w:rPr>
              <w:t>Clasificar un reporte como negativo no prueba fraude; los casos relevantes requieren revisión humana.</w:t>
            </w:r>
          </w:p>
        </w:tc>
      </w:tr>
      <w:tr>
        <w:tc>
          <w:tcPr>
            <w:tcW w:type="dxa" w:w="5040"/>
            <w:vAlign w:val="center"/>
            <w:tcBorders>
              <w:top w:val="single" w:sz="6" w:color="D9D9D9"/>
              <w:left w:val="single" w:sz="6" w:color="D9D9D9"/>
              <w:bottom w:val="single" w:sz="6" w:color="D9D9D9"/>
              <w:right w:val="single" w:sz="6" w:color="D9D9D9"/>
            </w:tcBorders>
          </w:tcPr>
          <w:p>
            <w:pPr>
              <w:spacing w:after="0"/>
              <w:jc w:val="left"/>
            </w:pPr>
            <w:r/>
            <w:r>
              <w:rPr>
                <w:b w:val="0"/>
                <w:sz w:val="16"/>
              </w:rPr>
              <w:t>Mitigación</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
              <w:rPr>
                <w:b w:val="0"/>
                <w:sz w:val="16"/>
              </w:rPr>
              <w:t>Ampliar datos anonimizados, hacer muestreo por segmentos, revisar matriz de confusión y reentrenar solo si se valida la necesidad.</w:t>
            </w:r>
          </w:p>
        </w:tc>
      </w:tr>
    </w:tbl>
    <w:p>
      <w:pPr>
        <w:spacing w:after="80"/>
      </w:pPr>
    </w:p>
    <w:p>
      <w:pPr>
        <w:pStyle w:val="Heading1"/>
      </w:pPr>
      <w:r>
        <w:t>Referencias técnicas</w:t>
      </w:r>
    </w:p>
    <w:p>
      <w:r>
        <w:t>Hugging Face. Tarjetas de modelo: pysentimiento/robertuito-sentiment-analysis; cardiffnlp/twitter-xlm-roberta-base-sentiment; lxyuan/distilbert-base-multilingual-cased-sentiments-student. Consulta para verificación de tarea, licencia y configuración.</w:t>
      </w:r>
    </w:p>
    <w:p>
      <w:r>
        <w:t>Tecmilenio. Tema 9 Selección de modelos preentrenados y Tema 10 Prototipado rápido y documentación técnica.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