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A148C"/>
          <w:sz w:val="32"/>
          <w:szCs w:val="32"/>
        </w:rPr>
        <w:t xml:space="preserve">CREDANZA</w:t>
      </w:r>
    </w:p>
    <w:p>
      <w:pPr>
        <w:spacing w:after="400"/>
      </w:pPr>
      <w:r>
        <w:rPr>
          <w:color w:val="666666"/>
          <w:sz w:val="22"/>
          <w:szCs w:val="22"/>
        </w:rPr>
        <w:t xml:space="preserve">Sistema de Gestión Financiera</w:t>
      </w:r>
    </w:p>
    <w:p>
      <w:pPr>
        <w:pStyle w:val="Title"/>
        <w:spacing w:after="100"/>
      </w:pPr>
      <w:r>
        <w:rPr>
          <w:b/>
          <w:bCs/>
          <w:color w:val="4A148C"/>
          <w:sz w:val="40"/>
          <w:szCs w:val="40"/>
        </w:rPr>
        <w:t xml:space="preserve">Guía de Uso: Carga de Ventas</w:t>
      </w:r>
    </w:p>
    <w:p>
      <w:pPr>
        <w:spacing w:after="600"/>
      </w:pPr>
      <w:r>
        <w:rPr>
          <w:i/>
          <w:iCs/>
          <w:color w:val="7B1FA2"/>
          <w:sz w:val="28"/>
          <w:szCs w:val="28"/>
        </w:rPr>
        <w:t xml:space="preserve">Montos, Cuotas y Tasas de Interés</w:t>
      </w:r>
    </w:p>
    <w:p>
      <w:pPr>
        <w:spacing w:after="150"/>
      </w:pPr>
      <w:r>
        <w:rPr>
          <w:b w:val="false"/>
          <w:bCs w:val="false"/>
          <w:i w:val="false"/>
          <w:iCs w:val="false"/>
          <w:sz w:val="22"/>
          <w:szCs w:val="22"/>
        </w:rPr>
        <w:t xml:space="preserve">Este instructivo explica, en lenguaje simple, cómo completar correctamente los campos de Monto, Cuotas y Tasas al cargar una nueva venta (préstamo) en el sistema, y qué hace cada botón de cálculo disponible en la pantalla.</w:t>
      </w:r>
    </w:p>
    <w:p>
      <w:pPr>
        <w:spacing w:after="150"/>
      </w:pPr>
      <w:r>
        <w:rPr>
          <w:b w:val="false"/>
          <w:bCs w:val="false"/>
          <w:i w:val="false"/>
          <w:iCs w:val="false"/>
          <w:sz w:val="22"/>
          <w:szCs w:val="22"/>
        </w:rPr>
        <w:t xml:space="preserve">No requiere conocimientos técnicos ni de programación: está pensado para quien usa el sistema día a día.</w:t>
      </w:r>
    </w:p>
    <w:p>
      <w:pPr>
        <w:pStyle w:val="Heading1"/>
        <w:spacing w:after="200" w:before="400"/>
      </w:pPr>
      <w:r>
        <w:rPr>
          <w:b/>
          <w:bCs/>
          <w:color w:val="4A148C"/>
        </w:rPr>
        <w:t xml:space="preserve">1. Los datos básicos de la venta</w:t>
      </w:r>
    </w:p>
    <w:p>
      <w:pPr>
        <w:spacing w:after="150"/>
      </w:pPr>
      <w:r>
        <w:rPr>
          <w:b w:val="false"/>
          <w:bCs w:val="false"/>
          <w:i w:val="false"/>
          <w:iCs w:val="false"/>
          <w:sz w:val="22"/>
          <w:szCs w:val="22"/>
        </w:rPr>
        <w:t xml:space="preserve">Toda venta se arma a partir de tres datos que se relacionan entre sí:</w:t>
      </w:r>
    </w:p>
    <w:p>
      <w:pPr>
        <w:pStyle w:val="ListParagraph"/>
        <w:numPr>
          <w:ilvl w:val="0"/>
          <w:numId w:val="1"/>
        </w:numPr>
        <w:spacing w:after="80"/>
      </w:pPr>
      <w:r>
        <w:rPr>
          <w:b/>
          <w:bCs/>
          <w:sz w:val="22"/>
          <w:szCs w:val="22"/>
        </w:rPr>
        <w:t xml:space="preserve">Monto: </w:t>
      </w:r>
      <w:r>
        <w:rPr>
          <w:sz w:val="22"/>
          <w:szCs w:val="22"/>
        </w:rPr>
        <w:t xml:space="preserve"> el capital que se le presta al cliente.</w:t>
      </w:r>
    </w:p>
    <w:p>
      <w:pPr>
        <w:pStyle w:val="ListParagraph"/>
        <w:numPr>
          <w:ilvl w:val="0"/>
          <w:numId w:val="1"/>
        </w:numPr>
        <w:spacing w:after="80"/>
      </w:pPr>
      <w:r>
        <w:rPr>
          <w:b/>
          <w:bCs/>
          <w:sz w:val="22"/>
          <w:szCs w:val="22"/>
        </w:rPr>
        <w:t xml:space="preserve">Cantidad de Cuotas: </w:t>
      </w:r>
      <w:r>
        <w:rPr>
          <w:sz w:val="22"/>
          <w:szCs w:val="22"/>
        </w:rPr>
        <w:t xml:space="preserve"> en cuántos pagos va a devolver ese dinero.</w:t>
      </w:r>
    </w:p>
    <w:p>
      <w:pPr>
        <w:pStyle w:val="ListParagraph"/>
        <w:numPr>
          <w:ilvl w:val="0"/>
          <w:numId w:val="1"/>
        </w:numPr>
        <w:spacing w:after="80"/>
      </w:pPr>
      <w:r>
        <w:rPr>
          <w:b/>
          <w:bCs/>
          <w:sz w:val="22"/>
          <w:szCs w:val="22"/>
        </w:rPr>
        <w:t xml:space="preserve">Valor de Cuota: </w:t>
      </w:r>
      <w:r>
        <w:rPr>
          <w:sz w:val="22"/>
          <w:szCs w:val="22"/>
        </w:rPr>
        <w:t xml:space="preserve"> cuánto paga el cliente en cada cuota.</w:t>
      </w:r>
    </w:p>
    <w:p>
      <w:pPr>
        <w:spacing w:after="150"/>
      </w:pPr>
      <w:r>
        <w:rPr>
          <w:b w:val="false"/>
          <w:bCs w:val="false"/>
          <w:i w:val="false"/>
          <w:iCs w:val="false"/>
          <w:sz w:val="22"/>
          <w:szCs w:val="22"/>
        </w:rPr>
        <w:t xml:space="preserve">El Valor de Cuota es el único de los tres que el sistema puede calcular automáticamente por vos, a partir del Monto, la tasa de interés y la cantidad de cuotas. Más adelante se explica cómo.</w:t>
      </w:r>
    </w:p>
    <w:p>
      <w:pPr>
        <w:pStyle w:val="Heading1"/>
        <w:spacing w:after="200" w:before="400"/>
      </w:pPr>
      <w:r>
        <w:rPr>
          <w:b/>
          <w:bCs/>
          <w:color w:val="4A148C"/>
        </w:rPr>
        <w:t xml:space="preserve">2. Las tasas de interés: TEM, TNA y TEA</w:t>
      </w:r>
    </w:p>
    <w:p>
      <w:pPr>
        <w:spacing w:after="150"/>
      </w:pPr>
      <w:r>
        <w:rPr>
          <w:b w:val="false"/>
          <w:bCs w:val="false"/>
          <w:i w:val="false"/>
          <w:iCs w:val="false"/>
          <w:sz w:val="22"/>
          <w:szCs w:val="22"/>
        </w:rPr>
        <w:t xml:space="preserve">En el formulario vas a ver tres campos de tasa: T.E.M., T.N.A. y T.E.A. No son tres tasas distintas: son la misma tasa de interés, expresada de tres formas diferentes.</w:t>
      </w:r>
    </w:p>
    <w:p>
      <w:pPr>
        <w:pStyle w:val="ListParagraph"/>
        <w:numPr>
          <w:ilvl w:val="0"/>
          <w:numId w:val="1"/>
        </w:numPr>
        <w:spacing w:after="80"/>
      </w:pPr>
      <w:r>
        <w:rPr>
          <w:b/>
          <w:bCs/>
          <w:sz w:val="22"/>
          <w:szCs w:val="22"/>
        </w:rPr>
        <w:t xml:space="preserve">T.E.M.: </w:t>
      </w:r>
      <w:r>
        <w:rPr>
          <w:sz w:val="22"/>
          <w:szCs w:val="22"/>
        </w:rPr>
        <w:t xml:space="preserve"> Tasa Efectiva Mensual. Es la tasa real que se cobra por mes. Es el dato base: todo lo demás se calcula a partir de este número.</w:t>
      </w:r>
    </w:p>
    <w:p>
      <w:pPr>
        <w:pStyle w:val="ListParagraph"/>
        <w:numPr>
          <w:ilvl w:val="0"/>
          <w:numId w:val="1"/>
        </w:numPr>
        <w:spacing w:after="80"/>
      </w:pPr>
      <w:r>
        <w:rPr>
          <w:b/>
          <w:bCs/>
          <w:sz w:val="22"/>
          <w:szCs w:val="22"/>
        </w:rPr>
        <w:t xml:space="preserve">T.N.A.: </w:t>
      </w:r>
      <w:r>
        <w:rPr>
          <w:sz w:val="22"/>
          <w:szCs w:val="22"/>
        </w:rPr>
        <w:t xml:space="preserve"> Tasa Nominal Anual. Es la TEM multiplicada por 12 (una simple proyección anual, sin componer intereses).</w:t>
      </w:r>
    </w:p>
    <w:p>
      <w:pPr>
        <w:pStyle w:val="ListParagraph"/>
        <w:numPr>
          <w:ilvl w:val="0"/>
          <w:numId w:val="1"/>
        </w:numPr>
        <w:spacing w:after="80"/>
      </w:pPr>
      <w:r>
        <w:rPr>
          <w:b/>
          <w:bCs/>
          <w:sz w:val="22"/>
          <w:szCs w:val="22"/>
        </w:rPr>
        <w:t xml:space="preserve">T.E.A.: </w:t>
      </w:r>
      <w:r>
        <w:rPr>
          <w:sz w:val="22"/>
          <w:szCs w:val="22"/>
        </w:rPr>
        <w:t xml:space="preserve"> Tasa Efectiva Anual. Es la tasa real que se paga en un año, considerando que cada mes el interés se compone sobre el saldo (interés sobre interés). Por eso siempre da un número más alto que la TNA.</w:t>
      </w:r>
    </w:p>
    <w:p>
      <w:pPr>
        <w:pBdr>
          <w:left w:val="single" w:color="7B1FA2" w:sz="16" w:space="8"/>
        </w:pBdr>
        <w:spacing w:after="200" w:before="100"/>
        <w:ind w:left="200"/>
      </w:pPr>
      <w:r>
        <w:rPr>
          <w:i/>
          <w:iCs/>
          <w:color w:val="555555"/>
          <w:sz w:val="20"/>
          <w:szCs w:val="20"/>
        </w:rPr>
        <w:t xml:space="preserve">Cargá solo la T.E.M. El sistema calcula automáticamente la T.N.A. y la T.E.A. — no hace falta (ni conviene) tocarlas a mano.</w:t>
      </w:r>
    </w:p>
    <w:p>
      <w:pPr>
        <w:spacing w:after="150"/>
      </w:pPr>
      <w:r>
        <w:rPr>
          <w:b w:val="false"/>
          <w:bCs w:val="false"/>
          <w:i w:val="false"/>
          <w:iCs w:val="false"/>
          <w:sz w:val="22"/>
          <w:szCs w:val="22"/>
        </w:rPr>
        <w:t xml:space="preserve">Ejemplo con una TEM del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shd w:fill="F3E5F5" w:val="clear"/>
            <w:tcMar>
              <w:top w:type="dxa" w:w="100"/>
              <w:left w:type="dxa" w:w="150"/>
              <w:bottom w:type="dxa" w:w="100"/>
              <w:right w:type="dxa" w:w="150"/>
            </w:tcMar>
          </w:tcPr>
          <w:p>
            <w:r>
              <w:rPr>
                <w:b/>
                <w:bCs/>
                <w:color w:val="4A148C"/>
                <w:sz w:val="20"/>
                <w:szCs w:val="20"/>
              </w:rPr>
              <w:t xml:space="preserve">Tasa</w:t>
            </w:r>
          </w:p>
        </w:tc>
        <w:tc>
          <w:tcPr>
            <w:tcW w:type="dxa" w:w="3008"/>
            <w:shd w:fill="F3E5F5" w:val="clear"/>
            <w:tcMar>
              <w:top w:type="dxa" w:w="100"/>
              <w:left w:type="dxa" w:w="150"/>
              <w:bottom w:type="dxa" w:w="100"/>
              <w:right w:type="dxa" w:w="150"/>
            </w:tcMar>
          </w:tcPr>
          <w:p>
            <w:r>
              <w:rPr>
                <w:b/>
                <w:bCs/>
                <w:color w:val="4A148C"/>
                <w:sz w:val="20"/>
                <w:szCs w:val="20"/>
              </w:rPr>
              <w:t xml:space="preserve">Valor</w:t>
            </w:r>
          </w:p>
        </w:tc>
        <w:tc>
          <w:tcPr>
            <w:tcW w:type="dxa" w:w="3008"/>
            <w:shd w:fill="F3E5F5" w:val="clear"/>
            <w:tcMar>
              <w:top w:type="dxa" w:w="100"/>
              <w:left w:type="dxa" w:w="150"/>
              <w:bottom w:type="dxa" w:w="100"/>
              <w:right w:type="dxa" w:w="150"/>
            </w:tcMar>
          </w:tcPr>
          <w:p>
            <w:r>
              <w:rPr>
                <w:b/>
                <w:bCs/>
                <w:color w:val="4A148C"/>
                <w:sz w:val="20"/>
                <w:szCs w:val="20"/>
              </w:rPr>
              <w:t xml:space="preserve">Cómo se obtiene</w:t>
            </w:r>
          </w:p>
        </w:tc>
      </w:tr>
      <w:tr>
        <w:tc>
          <w:tcPr>
            <w:tcW w:type="dxa" w:w="3008"/>
            <w:tcMar>
              <w:top w:type="dxa" w:w="100"/>
              <w:left w:type="dxa" w:w="150"/>
              <w:bottom w:type="dxa" w:w="100"/>
              <w:right w:type="dxa" w:w="150"/>
            </w:tcMar>
          </w:tcPr>
          <w:p>
            <w:r>
              <w:rPr>
                <w:b w:val="false"/>
                <w:bCs w:val="false"/>
                <w:color w:val="222222"/>
                <w:sz w:val="20"/>
                <w:szCs w:val="20"/>
              </w:rPr>
              <w:t xml:space="preserve">T.E.M.</w:t>
            </w:r>
          </w:p>
        </w:tc>
        <w:tc>
          <w:tcPr>
            <w:tcW w:type="dxa" w:w="3008"/>
            <w:tcMar>
              <w:top w:type="dxa" w:w="100"/>
              <w:left w:type="dxa" w:w="150"/>
              <w:bottom w:type="dxa" w:w="100"/>
              <w:right w:type="dxa" w:w="150"/>
            </w:tcMar>
          </w:tcPr>
          <w:p>
            <w:r>
              <w:rPr>
                <w:b w:val="false"/>
                <w:bCs w:val="false"/>
                <w:color w:val="222222"/>
                <w:sz w:val="20"/>
                <w:szCs w:val="20"/>
              </w:rPr>
              <w:t xml:space="preserve">10,00 %</w:t>
            </w:r>
          </w:p>
        </w:tc>
        <w:tc>
          <w:tcPr>
            <w:tcW w:type="dxa" w:w="3008"/>
            <w:tcMar>
              <w:top w:type="dxa" w:w="100"/>
              <w:left w:type="dxa" w:w="150"/>
              <w:bottom w:type="dxa" w:w="100"/>
              <w:right w:type="dxa" w:w="150"/>
            </w:tcMar>
          </w:tcPr>
          <w:p>
            <w:r>
              <w:rPr>
                <w:b w:val="false"/>
                <w:bCs w:val="false"/>
                <w:color w:val="222222"/>
                <w:sz w:val="20"/>
                <w:szCs w:val="20"/>
              </w:rPr>
              <w:t xml:space="preserve">Dato cargado</w:t>
            </w:r>
          </w:p>
        </w:tc>
      </w:tr>
      <w:tr>
        <w:tc>
          <w:tcPr>
            <w:tcW w:type="dxa" w:w="3008"/>
            <w:tcMar>
              <w:top w:type="dxa" w:w="100"/>
              <w:left w:type="dxa" w:w="150"/>
              <w:bottom w:type="dxa" w:w="100"/>
              <w:right w:type="dxa" w:w="150"/>
            </w:tcMar>
          </w:tcPr>
          <w:p>
            <w:r>
              <w:rPr>
                <w:b w:val="false"/>
                <w:bCs w:val="false"/>
                <w:color w:val="222222"/>
                <w:sz w:val="20"/>
                <w:szCs w:val="20"/>
              </w:rPr>
              <w:t xml:space="preserve">T.N.A.</w:t>
            </w:r>
          </w:p>
        </w:tc>
        <w:tc>
          <w:tcPr>
            <w:tcW w:type="dxa" w:w="3008"/>
            <w:tcMar>
              <w:top w:type="dxa" w:w="100"/>
              <w:left w:type="dxa" w:w="150"/>
              <w:bottom w:type="dxa" w:w="100"/>
              <w:right w:type="dxa" w:w="150"/>
            </w:tcMar>
          </w:tcPr>
          <w:p>
            <w:r>
              <w:rPr>
                <w:b w:val="false"/>
                <w:bCs w:val="false"/>
                <w:color w:val="222222"/>
                <w:sz w:val="20"/>
                <w:szCs w:val="20"/>
              </w:rPr>
              <w:t xml:space="preserve">120,00 %</w:t>
            </w:r>
          </w:p>
        </w:tc>
        <w:tc>
          <w:tcPr>
            <w:tcW w:type="dxa" w:w="3008"/>
            <w:tcMar>
              <w:top w:type="dxa" w:w="100"/>
              <w:left w:type="dxa" w:w="150"/>
              <w:bottom w:type="dxa" w:w="100"/>
              <w:right w:type="dxa" w:w="150"/>
            </w:tcMar>
          </w:tcPr>
          <w:p>
            <w:r>
              <w:rPr>
                <w:b w:val="false"/>
                <w:bCs w:val="false"/>
                <w:color w:val="222222"/>
                <w:sz w:val="20"/>
                <w:szCs w:val="20"/>
              </w:rPr>
              <w:t xml:space="preserve">10% × 12</w:t>
            </w:r>
          </w:p>
        </w:tc>
      </w:tr>
      <w:tr>
        <w:tc>
          <w:tcPr>
            <w:tcW w:type="dxa" w:w="3008"/>
            <w:tcMar>
              <w:top w:type="dxa" w:w="100"/>
              <w:left w:type="dxa" w:w="150"/>
              <w:bottom w:type="dxa" w:w="100"/>
              <w:right w:type="dxa" w:w="150"/>
            </w:tcMar>
          </w:tcPr>
          <w:p>
            <w:r>
              <w:rPr>
                <w:b w:val="false"/>
                <w:bCs w:val="false"/>
                <w:color w:val="222222"/>
                <w:sz w:val="20"/>
                <w:szCs w:val="20"/>
              </w:rPr>
              <w:t xml:space="preserve">T.E.A.</w:t>
            </w:r>
          </w:p>
        </w:tc>
        <w:tc>
          <w:tcPr>
            <w:tcW w:type="dxa" w:w="3008"/>
            <w:tcMar>
              <w:top w:type="dxa" w:w="100"/>
              <w:left w:type="dxa" w:w="150"/>
              <w:bottom w:type="dxa" w:w="100"/>
              <w:right w:type="dxa" w:w="150"/>
            </w:tcMar>
          </w:tcPr>
          <w:p>
            <w:r>
              <w:rPr>
                <w:b w:val="false"/>
                <w:bCs w:val="false"/>
                <w:color w:val="222222"/>
                <w:sz w:val="20"/>
                <w:szCs w:val="20"/>
              </w:rPr>
              <w:t xml:space="preserve">213,84 %</w:t>
            </w:r>
          </w:p>
        </w:tc>
        <w:tc>
          <w:tcPr>
            <w:tcW w:type="dxa" w:w="3008"/>
            <w:tcMar>
              <w:top w:type="dxa" w:w="100"/>
              <w:left w:type="dxa" w:w="150"/>
              <w:bottom w:type="dxa" w:w="100"/>
              <w:right w:type="dxa" w:w="150"/>
            </w:tcMar>
          </w:tcPr>
          <w:p>
            <w:r>
              <w:rPr>
                <w:b w:val="false"/>
                <w:bCs w:val="false"/>
                <w:color w:val="222222"/>
                <w:sz w:val="20"/>
                <w:szCs w:val="20"/>
              </w:rPr>
              <w:t xml:space="preserve">(1,10 elevado a 12) − 1</w:t>
            </w:r>
          </w:p>
        </w:tc>
      </w:tr>
    </w:tbl>
    <w:p>
      <w:pPr>
        <w:spacing w:after="150"/>
      </w:pPr>
      <w:r>
        <w:rPr>
          <w:b w:val="false"/>
          <w:bCs w:val="false"/>
          <w:i w:val="false"/>
          <w:iCs w:val="false"/>
          <w:sz w:val="22"/>
          <w:szCs w:val="22"/>
        </w:rPr>
        <w:t xml:space="preserve"/>
      </w:r>
    </w:p>
    <w:p>
      <w:pPr>
        <w:pStyle w:val="Heading1"/>
        <w:spacing w:after="200" w:before="400"/>
      </w:pPr>
      <w:r>
        <w:rPr>
          <w:b/>
          <w:bCs/>
          <w:color w:val="4A148C"/>
        </w:rPr>
        <w:t xml:space="preserve">3. La Tasa Base del producto</w:t>
      </w:r>
    </w:p>
    <w:p>
      <w:pPr>
        <w:spacing w:after="150"/>
      </w:pPr>
      <w:r>
        <w:rPr>
          <w:b w:val="false"/>
          <w:bCs w:val="false"/>
          <w:i w:val="false"/>
          <w:iCs w:val="false"/>
          <w:sz w:val="22"/>
          <w:szCs w:val="22"/>
        </w:rPr>
        <w:t xml:space="preserve">Cada Producto (por ejemplo, "Préstamo") tiene configurada una TEM base en la pantalla de Gestión de Productos. Esa es la tasa "de lista" del producto.</w:t>
      </w:r>
    </w:p>
    <w:p>
      <w:pPr>
        <w:spacing w:after="150"/>
      </w:pPr>
      <w:r>
        <w:rPr>
          <w:b w:val="false"/>
          <w:bCs w:val="false"/>
          <w:i w:val="false"/>
          <w:iCs w:val="false"/>
          <w:sz w:val="22"/>
          <w:szCs w:val="22"/>
        </w:rPr>
        <w:t xml:space="preserve">Cuando elegís un Producto en Nueva Venta, el sistema precarga automáticamente esa TEM base en el formulario. Si la operación necesita una tasa distinta (por ejemplo, una negociación puntual con el cliente), se puede editar el campo T.E.M. manualmente sin problema.</w:t>
      </w:r>
    </w:p>
    <w:p>
      <w:pPr>
        <w:pStyle w:val="Heading1"/>
        <w:spacing w:after="200" w:before="400"/>
      </w:pPr>
      <w:r>
        <w:rPr>
          <w:b/>
          <w:bCs/>
          <w:color w:val="4A148C"/>
        </w:rPr>
        <w:t xml:space="preserve">4. El Plan de Pago (mensual, semanal o diaria)</w:t>
      </w:r>
    </w:p>
    <w:p>
      <w:pPr>
        <w:spacing w:after="150"/>
      </w:pPr>
      <w:r>
        <w:rPr>
          <w:b w:val="false"/>
          <w:bCs w:val="false"/>
          <w:i w:val="false"/>
          <w:iCs w:val="false"/>
          <w:sz w:val="22"/>
          <w:szCs w:val="22"/>
        </w:rPr>
        <w:t xml:space="preserve">El Plan de Pago define cada cuánto tiempo el cliente paga una cuota. No cambia la tasa del producto: el sistema toma siempre la misma TEM base y calcula automáticamente la tasa que corresponde a cada cuota según la frecuencia elegida.</w:t>
      </w:r>
    </w:p>
    <w:p>
      <w:pPr>
        <w:spacing w:after="150"/>
      </w:pPr>
      <w:r>
        <w:rPr>
          <w:b w:val="false"/>
          <w:bCs w:val="false"/>
          <w:i w:val="false"/>
          <w:iCs w:val="false"/>
          <w:sz w:val="22"/>
          <w:szCs w:val="22"/>
        </w:rPr>
        <w:t xml:space="preserve">Por ejemplo, si el plan es semanal, la cuota lleva una tasa proporcionalmente menor a la mensual (porque el plazo entre pagos es más corto), pero ambas provienen de la misma TEM.</w:t>
      </w:r>
    </w:p>
    <w:p>
      <w:pPr>
        <w:pStyle w:val="Heading1"/>
        <w:spacing w:after="200" w:before="400"/>
      </w:pPr>
      <w:r>
        <w:rPr>
          <w:b/>
          <w:bCs/>
          <w:color w:val="4A148C"/>
        </w:rPr>
        <w:t xml:space="preserve">5. Los dos botones de cálculo</w:t>
      </w:r>
    </w:p>
    <w:p>
      <w:pPr>
        <w:pStyle w:val="Heading2"/>
        <w:spacing w:after="150" w:before="300"/>
      </w:pPr>
      <w:r>
        <w:rPr>
          <w:b/>
          <w:bCs/>
          <w:color w:val="7B1FA2"/>
        </w:rPr>
        <w:t xml:space="preserve">Calcular Cuota Sugerida (sistema francés)</w:t>
      </w:r>
    </w:p>
    <w:p>
      <w:pPr>
        <w:spacing w:after="150"/>
      </w:pPr>
      <w:r>
        <w:rPr>
          <w:b w:val="false"/>
          <w:bCs w:val="false"/>
          <w:i w:val="false"/>
          <w:iCs w:val="false"/>
          <w:sz w:val="22"/>
          <w:szCs w:val="22"/>
        </w:rPr>
        <w:t xml:space="preserve">Este es el botón principal. Toma el Monto, la TEM y la Cantidad de Cuotas, y calcula matemáticamente cuál debe ser el Valor de Cuota para que, pagando siempre lo mismo cada vez, el préstamo quede saldado exactamente en la última cuota, respetando la tasa declarada.</w:t>
      </w:r>
    </w:p>
    <w:p>
      <w:pPr>
        <w:spacing w:after="150"/>
      </w:pPr>
      <w:r>
        <w:rPr>
          <w:b w:val="false"/>
          <w:bCs w:val="false"/>
          <w:i w:val="false"/>
          <w:iCs w:val="false"/>
          <w:sz w:val="22"/>
          <w:szCs w:val="22"/>
        </w:rPr>
        <w:t xml:space="preserve">Se lo conoce como "sistema francés": es el método más usado en préstamos con cuota fija. El resultado completa el campo Valor de Cuota automáticamente, y ese valor se puede seguir editando después si hace falta.</w:t>
      </w:r>
    </w:p>
    <w:p>
      <w:pPr>
        <w:pStyle w:val="Heading2"/>
        <w:spacing w:after="150" w:before="300"/>
      </w:pPr>
      <w:r>
        <w:rPr>
          <w:b/>
          <w:bCs/>
          <w:color w:val="7B1FA2"/>
        </w:rPr>
        <w:t xml:space="preserve">Calcular PTF / Interés</w:t>
      </w:r>
    </w:p>
    <w:p>
      <w:pPr>
        <w:spacing w:after="150"/>
      </w:pPr>
      <w:r>
        <w:rPr>
          <w:b w:val="false"/>
          <w:bCs w:val="false"/>
          <w:i w:val="false"/>
          <w:iCs w:val="false"/>
          <w:sz w:val="22"/>
          <w:szCs w:val="22"/>
        </w:rPr>
        <w:t xml:space="preserve">Este botón no calcula la cuota: toma la Cantidad de Cuotas y el Valor de Cuota que ya estén cargados (los haya puesto el botón anterior, o los hayas tipeado vos a mano) y muestra:</w:t>
      </w:r>
    </w:p>
    <w:p>
      <w:pPr>
        <w:pStyle w:val="ListParagraph"/>
        <w:numPr>
          <w:ilvl w:val="0"/>
          <w:numId w:val="1"/>
        </w:numPr>
        <w:spacing w:after="80"/>
      </w:pPr>
      <w:r>
        <w:rPr>
          <w:b/>
          <w:bCs/>
          <w:sz w:val="22"/>
          <w:szCs w:val="22"/>
        </w:rPr>
        <w:t xml:space="preserve">PTF (Precio Total Financiado): </w:t>
      </w:r>
      <w:r>
        <w:rPr>
          <w:sz w:val="22"/>
          <w:szCs w:val="22"/>
        </w:rPr>
        <w:t xml:space="preserve"> cuánto va a pagar el cliente en total por el préstamo (cuotas × valor de cuota).</w:t>
      </w:r>
    </w:p>
    <w:p>
      <w:pPr>
        <w:pStyle w:val="ListParagraph"/>
        <w:numPr>
          <w:ilvl w:val="0"/>
          <w:numId w:val="1"/>
        </w:numPr>
        <w:spacing w:after="80"/>
      </w:pPr>
      <w:r>
        <w:rPr>
          <w:b/>
          <w:bCs/>
          <w:sz w:val="22"/>
          <w:szCs w:val="22"/>
        </w:rPr>
        <w:t xml:space="preserve">Interés (%): </w:t>
      </w:r>
      <w:r>
        <w:rPr>
          <w:sz w:val="22"/>
          <w:szCs w:val="22"/>
        </w:rPr>
        <w:t xml:space="preserve"> qué tasa de interés efectiva resulta de esos números, para que puedas compararla contra la TEM declarada.</w:t>
      </w:r>
    </w:p>
    <w:p>
      <w:pPr>
        <w:spacing w:after="150"/>
      </w:pPr>
      <w:r>
        <w:rPr>
          <w:b w:val="false"/>
          <w:bCs w:val="false"/>
          <w:i w:val="false"/>
          <w:iCs w:val="false"/>
          <w:sz w:val="22"/>
          <w:szCs w:val="22"/>
        </w:rPr>
        <w:t xml:space="preserve">Es útil para revisar cómo queda una operación después de ajustar manualmente el valor de cuota.</w:t>
      </w:r>
    </w:p>
    <w:p>
      <w:pPr>
        <w:pStyle w:val="Heading1"/>
        <w:spacing w:after="200" w:before="400"/>
      </w:pPr>
      <w:r>
        <w:rPr>
          <w:b/>
          <w:bCs/>
          <w:color w:val="4A148C"/>
        </w:rPr>
        <w:t xml:space="preserve">6. El aviso de "Desvío de tasa"</w:t>
      </w:r>
    </w:p>
    <w:p>
      <w:pPr>
        <w:spacing w:after="150"/>
      </w:pPr>
      <w:r>
        <w:rPr>
          <w:b w:val="false"/>
          <w:bCs w:val="false"/>
          <w:i w:val="false"/>
          <w:iCs w:val="false"/>
          <w:sz w:val="22"/>
          <w:szCs w:val="22"/>
        </w:rPr>
        <w:t xml:space="preserve">Si el Valor de Cuota cargado se aparta de lo que la fórmula del sistema francés indicaría para esa TEM (por ejemplo, porque se editó a mano), el sistema lo detecta al momento de guardar la venta.</w:t>
      </w:r>
    </w:p>
    <w:p>
      <w:pPr>
        <w:spacing w:after="150"/>
      </w:pPr>
      <w:r>
        <w:rPr>
          <w:b w:val="false"/>
          <w:bCs w:val="false"/>
          <w:i w:val="false"/>
          <w:iCs w:val="false"/>
          <w:sz w:val="22"/>
          <w:szCs w:val="22"/>
        </w:rPr>
        <w:t xml:space="preserve">Cuando el desvío supera el 1%, aparece un aviso en la pantalla de revisión, mostrando el porcentaje de diferencia y cuál sería la cuota teórica. Este aviso no impide guardar la venta: solo informa, para que la decisión de apartarse de la tasa estándar sea consciente y quede a la vista antes de confirmar.</w:t>
      </w:r>
    </w:p>
    <w:p>
      <w:pPr>
        <w:pStyle w:val="Heading1"/>
        <w:pageBreakBefore/>
        <w:spacing w:after="200" w:before="400"/>
      </w:pPr>
      <w:r>
        <w:rPr>
          <w:b/>
          <w:bCs/>
          <w:color w:val="4A148C"/>
        </w:rPr>
        <w:t xml:space="preserve">7. Ejemplo completo, paso a paso</w:t>
      </w:r>
    </w:p>
    <w:p>
      <w:pPr>
        <w:spacing w:after="150"/>
      </w:pPr>
      <w:r>
        <w:rPr>
          <w:b w:val="false"/>
          <w:bCs w:val="false"/>
          <w:i w:val="false"/>
          <w:iCs w:val="false"/>
          <w:sz w:val="22"/>
          <w:szCs w:val="22"/>
        </w:rPr>
        <w:t xml:space="preserve">Supongamos un préstamo de $1.000.000, a devolver en 3 cuotas mensuales, con el producto "Préstamo" (TEM base 25%).</w:t>
      </w:r>
    </w:p>
    <w:p>
      <w:pPr>
        <w:pStyle w:val="ListParagraph"/>
        <w:numPr>
          <w:ilvl w:val="0"/>
          <w:numId w:val="1"/>
        </w:numPr>
        <w:spacing w:after="80"/>
      </w:pPr>
      <w:r>
        <w:rPr>
          <w:b/>
          <w:bCs/>
          <w:sz w:val="22"/>
          <w:szCs w:val="22"/>
        </w:rPr>
        <w:t xml:space="preserve">Paso 1: </w:t>
      </w:r>
      <w:r>
        <w:rPr>
          <w:sz w:val="22"/>
          <w:szCs w:val="22"/>
        </w:rPr>
        <w:t xml:space="preserve"> al elegir el producto "Préstamo", el campo T.E.M. se completa solo con 25%. La T.N.A. y la T.E.A. se calculan automáticamente.</w:t>
      </w:r>
    </w:p>
    <w:p>
      <w:pPr>
        <w:pStyle w:val="ListParagraph"/>
        <w:numPr>
          <w:ilvl w:val="0"/>
          <w:numId w:val="1"/>
        </w:numPr>
        <w:spacing w:after="80"/>
      </w:pPr>
      <w:r>
        <w:rPr>
          <w:b/>
          <w:bCs/>
          <w:sz w:val="22"/>
          <w:szCs w:val="22"/>
        </w:rPr>
        <w:t xml:space="preserve">Paso 2 — Cargar Monto: </w:t>
      </w:r>
      <w:r>
        <w:rPr>
          <w:sz w:val="22"/>
          <w:szCs w:val="22"/>
        </w:rPr>
        <w:t xml:space="preserve"> $1.000.000.</w:t>
      </w:r>
    </w:p>
    <w:p>
      <w:pPr>
        <w:pStyle w:val="ListParagraph"/>
        <w:numPr>
          <w:ilvl w:val="0"/>
          <w:numId w:val="1"/>
        </w:numPr>
        <w:spacing w:after="80"/>
      </w:pPr>
      <w:r>
        <w:rPr>
          <w:b/>
          <w:bCs/>
          <w:sz w:val="22"/>
          <w:szCs w:val="22"/>
        </w:rPr>
        <w:t xml:space="preserve">Paso 3 — Cargar Cuotas: </w:t>
      </w:r>
      <w:r>
        <w:rPr>
          <w:sz w:val="22"/>
          <w:szCs w:val="22"/>
        </w:rPr>
        <w:t xml:space="preserve"> 3.</w:t>
      </w:r>
    </w:p>
    <w:p>
      <w:pPr>
        <w:pStyle w:val="ListParagraph"/>
        <w:numPr>
          <w:ilvl w:val="0"/>
          <w:numId w:val="1"/>
        </w:numPr>
        <w:spacing w:after="80"/>
      </w:pPr>
      <w:r>
        <w:rPr>
          <w:b/>
          <w:bCs/>
          <w:sz w:val="22"/>
          <w:szCs w:val="22"/>
        </w:rPr>
        <w:t xml:space="preserve">Paso 4 — Apretar "Calcular Cuota Sugerida": </w:t>
      </w:r>
      <w:r>
        <w:rPr>
          <w:sz w:val="22"/>
          <w:szCs w:val="22"/>
        </w:rPr>
        <w:t xml:space="preserve"> el sistema completa el Valor de Cuota con $512.295,08.</w:t>
      </w:r>
    </w:p>
    <w:p>
      <w:pPr>
        <w:pStyle w:val="ListParagraph"/>
        <w:numPr>
          <w:ilvl w:val="0"/>
          <w:numId w:val="1"/>
        </w:numPr>
        <w:spacing w:after="80"/>
      </w:pPr>
      <w:r>
        <w:rPr>
          <w:b/>
          <w:bCs/>
          <w:sz w:val="22"/>
          <w:szCs w:val="22"/>
        </w:rPr>
        <w:t xml:space="preserve">Paso 5 — Apretar "Calcular PTF / Interés": </w:t>
      </w:r>
      <w:r>
        <w:rPr>
          <w:sz w:val="22"/>
          <w:szCs w:val="22"/>
        </w:rPr>
        <w:t xml:space="preserve"> $1.536.885,24, con un interés efectivo de 53,69% para esas 3 cuotas.</w:t>
      </w:r>
    </w:p>
    <w:p>
      <w:pPr>
        <w:pStyle w:val="ListParagraph"/>
        <w:numPr>
          <w:ilvl w:val="0"/>
          <w:numId w:val="1"/>
        </w:numPr>
        <w:spacing w:after="80"/>
      </w:pPr>
      <w:r>
        <w:rPr>
          <w:b/>
          <w:bCs/>
          <w:sz w:val="22"/>
          <w:szCs w:val="22"/>
        </w:rPr>
        <w:t xml:space="preserve">Paso 6 — Guardar: </w:t>
      </w:r>
      <w:r>
        <w:rPr>
          <w:sz w:val="22"/>
          <w:szCs w:val="22"/>
        </w:rPr>
        <w:t xml:space="preserve"> el sistema muestra el resumen final. Si no se tocó el Valor de Cuota a mano, no aparece ningún aviso de desvío.</w:t>
      </w:r>
    </w:p>
    <w:p>
      <w:pPr>
        <w:pStyle w:val="Heading1"/>
        <w:spacing w:after="200" w:before="400"/>
      </w:pPr>
      <w:r>
        <w:rPr>
          <w:b/>
          <w:bCs/>
          <w:color w:val="4A148C"/>
        </w:rPr>
        <w:t xml:space="preserve">8. Preguntas frecuentes</w:t>
      </w:r>
    </w:p>
    <w:p>
      <w:pPr>
        <w:pStyle w:val="Heading2"/>
        <w:spacing w:after="150" w:before="300"/>
      </w:pPr>
      <w:r>
        <w:rPr>
          <w:b/>
          <w:bCs/>
          <w:color w:val="7B1FA2"/>
        </w:rPr>
        <w:t xml:space="preserve">¿Puedo darle a un cliente una tasa distinta a la del producto?</w:t>
      </w:r>
    </w:p>
    <w:p>
      <w:pPr>
        <w:spacing w:after="150"/>
      </w:pPr>
      <w:r>
        <w:rPr>
          <w:b w:val="false"/>
          <w:bCs w:val="false"/>
          <w:i w:val="false"/>
          <w:iCs w:val="false"/>
          <w:sz w:val="22"/>
          <w:szCs w:val="22"/>
        </w:rPr>
        <w:t xml:space="preserve">Sí. El campo T.E.M. se puede editar libremente después de elegir el producto. Es una decisión comercial válida — el sistema solo va a avisar si, además, el Valor de Cuota tampoco coincide matemáticamente con la nueva tasa.</w:t>
      </w:r>
    </w:p>
    <w:p>
      <w:pPr>
        <w:pStyle w:val="Heading2"/>
        <w:spacing w:after="150" w:before="300"/>
      </w:pPr>
      <w:r>
        <w:rPr>
          <w:b/>
          <w:bCs/>
          <w:color w:val="7B1FA2"/>
        </w:rPr>
        <w:t xml:space="preserve">¿Qué pasa si dejo el Valor de Cuota en $0 o vacío?</w:t>
      </w:r>
    </w:p>
    <w:p>
      <w:pPr>
        <w:spacing w:after="150"/>
      </w:pPr>
      <w:r>
        <w:rPr>
          <w:b w:val="false"/>
          <w:bCs w:val="false"/>
          <w:i w:val="false"/>
          <w:iCs w:val="false"/>
          <w:sz w:val="22"/>
          <w:szCs w:val="22"/>
        </w:rPr>
        <w:t xml:space="preserve">El sistema no va a permitir calcular el PTF ni guardar la venta hasta que haya un valor de cuota mayor a cero.</w:t>
      </w:r>
    </w:p>
    <w:p>
      <w:pPr>
        <w:pStyle w:val="Heading2"/>
        <w:spacing w:after="150" w:before="300"/>
      </w:pPr>
      <w:r>
        <w:rPr>
          <w:b/>
          <w:bCs/>
          <w:color w:val="7B1FA2"/>
        </w:rPr>
        <w:t xml:space="preserve">¿Tengo que usar siempre el botón "Calcular Cuota Sugerida"?</w:t>
      </w:r>
    </w:p>
    <w:p>
      <w:pPr>
        <w:spacing w:after="150"/>
      </w:pPr>
      <w:r>
        <w:rPr>
          <w:b w:val="false"/>
          <w:bCs w:val="false"/>
          <w:i w:val="false"/>
          <w:iCs w:val="false"/>
          <w:sz w:val="22"/>
          <w:szCs w:val="22"/>
        </w:rPr>
        <w:t xml:space="preserve">Es lo recomendado para que la cuota sea matemáticamente correcta. Pero si una operación puntual necesita una cuota distinta (por ejemplo, redondeada a un número más cómodo), se puede escribir directamente en el campo Valor de Cuota.</w:t>
      </w:r>
    </w:p>
    <w:p>
      <w:pPr>
        <w:pStyle w:val="Heading2"/>
        <w:spacing w:after="150" w:before="300"/>
      </w:pPr>
      <w:r>
        <w:rPr>
          <w:b/>
          <w:bCs/>
          <w:color w:val="7B1FA2"/>
        </w:rPr>
        <w:t xml:space="preserve">¿Por qué la T.E.A. da un número tan alto?</w:t>
      </w:r>
    </w:p>
    <w:p>
      <w:pPr>
        <w:spacing w:after="150"/>
      </w:pPr>
      <w:r>
        <w:rPr>
          <w:b w:val="false"/>
          <w:bCs w:val="false"/>
          <w:i w:val="false"/>
          <w:iCs w:val="false"/>
          <w:sz w:val="22"/>
          <w:szCs w:val="22"/>
        </w:rPr>
        <w:t xml:space="preserve">Porque compone el interés mes a mes. Con tasas mensuales altas, la proyección anual efectiva crece rápido — es un efecto matemático normal (interés sobre interés), no un error del sistema.</w:t>
      </w:r>
    </w:p>
    <w:p>
      <w:pPr>
        <w:pStyle w:val="Heading1"/>
        <w:spacing w:after="200" w:before="400"/>
      </w:pPr>
      <w:r>
        <w:rPr>
          <w:b/>
          <w:bCs/>
          <w:color w:val="4A148C"/>
        </w:rPr>
        <w:t xml:space="preserve">9. Glosario rápido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F3E5F5" w:val="clear"/>
            <w:tcMar>
              <w:top w:type="dxa" w:w="100"/>
              <w:left w:type="dxa" w:w="150"/>
              <w:bottom w:type="dxa" w:w="100"/>
              <w:right w:type="dxa" w:w="150"/>
            </w:tcMar>
          </w:tcPr>
          <w:p>
            <w:r>
              <w:rPr>
                <w:b/>
                <w:bCs/>
                <w:color w:val="4A148C"/>
                <w:sz w:val="20"/>
                <w:szCs w:val="20"/>
              </w:rPr>
              <w:t xml:space="preserve">Término</w:t>
            </w:r>
          </w:p>
        </w:tc>
        <w:tc>
          <w:tcPr>
            <w:tcW w:type="dxa" w:w="4513"/>
            <w:shd w:fill="F3E5F5" w:val="clear"/>
            <w:tcMar>
              <w:top w:type="dxa" w:w="100"/>
              <w:left w:type="dxa" w:w="150"/>
              <w:bottom w:type="dxa" w:w="100"/>
              <w:right w:type="dxa" w:w="150"/>
            </w:tcMar>
          </w:tcPr>
          <w:p>
            <w:r>
              <w:rPr>
                <w:b/>
                <w:bCs/>
                <w:color w:val="4A148C"/>
                <w:sz w:val="20"/>
                <w:szCs w:val="20"/>
              </w:rPr>
              <w:t xml:space="preserve">Significado</w:t>
            </w:r>
          </w:p>
        </w:tc>
      </w:tr>
      <w:tr>
        <w:tc>
          <w:tcPr>
            <w:tcW w:type="dxa" w:w="4513"/>
            <w:tcMar>
              <w:top w:type="dxa" w:w="100"/>
              <w:left w:type="dxa" w:w="150"/>
              <w:bottom w:type="dxa" w:w="100"/>
              <w:right w:type="dxa" w:w="150"/>
            </w:tcMar>
          </w:tcPr>
          <w:p>
            <w:r>
              <w:rPr>
                <w:b w:val="false"/>
                <w:bCs w:val="false"/>
                <w:color w:val="222222"/>
                <w:sz w:val="20"/>
                <w:szCs w:val="20"/>
              </w:rPr>
              <w:t xml:space="preserve">TEM</w:t>
            </w:r>
          </w:p>
        </w:tc>
        <w:tc>
          <w:tcPr>
            <w:tcW w:type="dxa" w:w="4513"/>
            <w:tcMar>
              <w:top w:type="dxa" w:w="100"/>
              <w:left w:type="dxa" w:w="150"/>
              <w:bottom w:type="dxa" w:w="100"/>
              <w:right w:type="dxa" w:w="150"/>
            </w:tcMar>
          </w:tcPr>
          <w:p>
            <w:r>
              <w:rPr>
                <w:b w:val="false"/>
                <w:bCs w:val="false"/>
                <w:color w:val="222222"/>
                <w:sz w:val="20"/>
                <w:szCs w:val="20"/>
              </w:rPr>
              <w:t xml:space="preserve">Tasa Efectiva Mensual (tasa real por mes)</w:t>
            </w:r>
          </w:p>
        </w:tc>
      </w:tr>
      <w:tr>
        <w:tc>
          <w:tcPr>
            <w:tcW w:type="dxa" w:w="4513"/>
            <w:tcMar>
              <w:top w:type="dxa" w:w="100"/>
              <w:left w:type="dxa" w:w="150"/>
              <w:bottom w:type="dxa" w:w="100"/>
              <w:right w:type="dxa" w:w="150"/>
            </w:tcMar>
          </w:tcPr>
          <w:p>
            <w:r>
              <w:rPr>
                <w:b w:val="false"/>
                <w:bCs w:val="false"/>
                <w:color w:val="222222"/>
                <w:sz w:val="20"/>
                <w:szCs w:val="20"/>
              </w:rPr>
              <w:t xml:space="preserve">TNA</w:t>
            </w:r>
          </w:p>
        </w:tc>
        <w:tc>
          <w:tcPr>
            <w:tcW w:type="dxa" w:w="4513"/>
            <w:tcMar>
              <w:top w:type="dxa" w:w="100"/>
              <w:left w:type="dxa" w:w="150"/>
              <w:bottom w:type="dxa" w:w="100"/>
              <w:right w:type="dxa" w:w="150"/>
            </w:tcMar>
          </w:tcPr>
          <w:p>
            <w:r>
              <w:rPr>
                <w:b w:val="false"/>
                <w:bCs w:val="false"/>
                <w:color w:val="222222"/>
                <w:sz w:val="20"/>
                <w:szCs w:val="20"/>
              </w:rPr>
              <w:t xml:space="preserve">Tasa Nominal Anual (TEM × 12)</w:t>
            </w:r>
          </w:p>
        </w:tc>
      </w:tr>
      <w:tr>
        <w:tc>
          <w:tcPr>
            <w:tcW w:type="dxa" w:w="4513"/>
            <w:tcMar>
              <w:top w:type="dxa" w:w="100"/>
              <w:left w:type="dxa" w:w="150"/>
              <w:bottom w:type="dxa" w:w="100"/>
              <w:right w:type="dxa" w:w="150"/>
            </w:tcMar>
          </w:tcPr>
          <w:p>
            <w:r>
              <w:rPr>
                <w:b w:val="false"/>
                <w:bCs w:val="false"/>
                <w:color w:val="222222"/>
                <w:sz w:val="20"/>
                <w:szCs w:val="20"/>
              </w:rPr>
              <w:t xml:space="preserve">TEA</w:t>
            </w:r>
          </w:p>
        </w:tc>
        <w:tc>
          <w:tcPr>
            <w:tcW w:type="dxa" w:w="4513"/>
            <w:tcMar>
              <w:top w:type="dxa" w:w="100"/>
              <w:left w:type="dxa" w:w="150"/>
              <w:bottom w:type="dxa" w:w="100"/>
              <w:right w:type="dxa" w:w="150"/>
            </w:tcMar>
          </w:tcPr>
          <w:p>
            <w:r>
              <w:rPr>
                <w:b w:val="false"/>
                <w:bCs w:val="false"/>
                <w:color w:val="222222"/>
                <w:sz w:val="20"/>
                <w:szCs w:val="20"/>
              </w:rPr>
              <w:t xml:space="preserve">Tasa Efectiva Anual (interés compuesto)</w:t>
            </w:r>
          </w:p>
        </w:tc>
      </w:tr>
      <w:tr>
        <w:tc>
          <w:tcPr>
            <w:tcW w:type="dxa" w:w="4513"/>
            <w:tcMar>
              <w:top w:type="dxa" w:w="100"/>
              <w:left w:type="dxa" w:w="150"/>
              <w:bottom w:type="dxa" w:w="100"/>
              <w:right w:type="dxa" w:w="150"/>
            </w:tcMar>
          </w:tcPr>
          <w:p>
            <w:r>
              <w:rPr>
                <w:b w:val="false"/>
                <w:bCs w:val="false"/>
                <w:color w:val="222222"/>
                <w:sz w:val="20"/>
                <w:szCs w:val="20"/>
              </w:rPr>
              <w:t xml:space="preserve">PTF</w:t>
            </w:r>
          </w:p>
        </w:tc>
        <w:tc>
          <w:tcPr>
            <w:tcW w:type="dxa" w:w="4513"/>
            <w:tcMar>
              <w:top w:type="dxa" w:w="100"/>
              <w:left w:type="dxa" w:w="150"/>
              <w:bottom w:type="dxa" w:w="100"/>
              <w:right w:type="dxa" w:w="150"/>
            </w:tcMar>
          </w:tcPr>
          <w:p>
            <w:r>
              <w:rPr>
                <w:b w:val="false"/>
                <w:bCs w:val="false"/>
                <w:color w:val="222222"/>
                <w:sz w:val="20"/>
                <w:szCs w:val="20"/>
              </w:rPr>
              <w:t xml:space="preserve">Precio Total Financiado (cuotas × valor de cuota)</w:t>
            </w:r>
          </w:p>
        </w:tc>
      </w:tr>
      <w:tr>
        <w:tc>
          <w:tcPr>
            <w:tcW w:type="dxa" w:w="4513"/>
            <w:tcMar>
              <w:top w:type="dxa" w:w="100"/>
              <w:left w:type="dxa" w:w="150"/>
              <w:bottom w:type="dxa" w:w="100"/>
              <w:right w:type="dxa" w:w="150"/>
            </w:tcMar>
          </w:tcPr>
          <w:p>
            <w:r>
              <w:rPr>
                <w:b w:val="false"/>
                <w:bCs w:val="false"/>
                <w:color w:val="222222"/>
                <w:sz w:val="20"/>
                <w:szCs w:val="20"/>
              </w:rPr>
              <w:t xml:space="preserve">Sistema francés</w:t>
            </w:r>
          </w:p>
        </w:tc>
        <w:tc>
          <w:tcPr>
            <w:tcW w:type="dxa" w:w="4513"/>
            <w:tcMar>
              <w:top w:type="dxa" w:w="100"/>
              <w:left w:type="dxa" w:w="150"/>
              <w:bottom w:type="dxa" w:w="100"/>
              <w:right w:type="dxa" w:w="150"/>
            </w:tcMar>
          </w:tcPr>
          <w:p>
            <w:r>
              <w:rPr>
                <w:b w:val="false"/>
                <w:bCs w:val="false"/>
                <w:color w:val="222222"/>
                <w:sz w:val="20"/>
                <w:szCs w:val="20"/>
              </w:rPr>
              <w:t xml:space="preserve">Método de cuota fija: siempre se paga lo mismo</w:t>
            </w:r>
          </w:p>
        </w:tc>
      </w:tr>
      <w:tr>
        <w:tc>
          <w:tcPr>
            <w:tcW w:type="dxa" w:w="4513"/>
            <w:tcMar>
              <w:top w:type="dxa" w:w="100"/>
              <w:left w:type="dxa" w:w="150"/>
              <w:bottom w:type="dxa" w:w="100"/>
              <w:right w:type="dxa" w:w="150"/>
            </w:tcMar>
          </w:tcPr>
          <w:p>
            <w:r>
              <w:rPr>
                <w:b w:val="false"/>
                <w:bCs w:val="false"/>
                <w:color w:val="222222"/>
                <w:sz w:val="20"/>
                <w:szCs w:val="20"/>
              </w:rPr>
              <w:t xml:space="preserve">Plan de pago</w:t>
            </w:r>
          </w:p>
        </w:tc>
        <w:tc>
          <w:tcPr>
            <w:tcW w:type="dxa" w:w="4513"/>
            <w:tcMar>
              <w:top w:type="dxa" w:w="100"/>
              <w:left w:type="dxa" w:w="150"/>
              <w:bottom w:type="dxa" w:w="100"/>
              <w:right w:type="dxa" w:w="150"/>
            </w:tcMar>
          </w:tcPr>
          <w:p>
            <w:r>
              <w:rPr>
                <w:b w:val="false"/>
                <w:bCs w:val="false"/>
                <w:color w:val="222222"/>
                <w:sz w:val="20"/>
                <w:szCs w:val="20"/>
              </w:rPr>
              <w:t xml:space="preserve">Frecuencia de cobro: mensual, semanal o diaria</w:t>
            </w:r>
          </w:p>
        </w:tc>
      </w:tr>
    </w:tbl>
    <w:p>
      <w:pPr>
        <w:spacing w:before="400"/>
      </w:pPr>
      <w:r>
        <w:t xml:space="preserve"> </w:t>
      </w:r>
    </w:p>
    <w:p>
      <w:r>
        <w:rPr>
          <w:i/>
          <w:iCs/>
          <w:color w:val="666666"/>
          <w:sz w:val="18"/>
          <w:szCs w:val="18"/>
        </w:rPr>
        <w:t xml:space="preserve">CODER 4 — Desarrollo de software para CREDANZA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2026-07-17T15:18:18.784Z</dcterms:created>
  <dcterms:modified xsi:type="dcterms:W3CDTF">2026-07-17T15:18:18.797Z</dcterms:modified>
</cp:coreProperties>
</file>

<file path=docProps/custom.xml><?xml version="1.0" encoding="utf-8"?>
<Properties xmlns="http://schemas.openxmlformats.org/officeDocument/2006/custom-properties" xmlns:vt="http://schemas.openxmlformats.org/officeDocument/2006/docPropsVTypes"/>
</file>