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left"/>
      </w:pPr>
      <w:r>
        <w:rPr>
          <w:rFonts w:ascii="Calibri" w:cs="Calibri" w:eastAsia="Calibri" w:hAnsi="Calibri"/>
          <w:b/>
          <w:bCs/>
          <w:sz w:val="56"/>
          <w:szCs w:val="56"/>
        </w:rPr>
        <w:t xml:space="preserve">Pricing Health Check</w:t>
      </w:r>
    </w:p>
    <w:p>
      <w:pPr>
        <w:spacing w:after="800"/>
      </w:pPr>
      <w:r>
        <w:rPr>
          <w:rFonts w:ascii="Calibri" w:cs="Calibri" w:eastAsia="Calibri" w:hAnsi="Calibri"/>
          <w:color w:val="64748B"/>
          <w:sz w:val="32"/>
          <w:szCs w:val="32"/>
        </w:rPr>
        <w:t xml:space="preserve">Diagnóstico competitivo y plan de acción 90 días</w:t>
      </w:r>
    </w:p>
    <w:p>
      <w:pPr>
        <w:spacing w:after="10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Cliente:  ElectroChile</w:t>
      </w:r>
    </w:p>
    <w:p>
      <w:pPr>
        <w:spacing w:after="100"/>
      </w:pPr>
      <w:r>
        <w:rPr>
          <w:rFonts w:ascii="Calibri" w:cs="Calibri" w:eastAsia="Calibri" w:hAnsi="Calibri"/>
          <w:sz w:val="24"/>
          <w:szCs w:val="24"/>
        </w:rPr>
        <w:t xml:space="preserve">Plataforma:  MercadoLibre Chile (MLC)</w:t>
      </w:r>
    </w:p>
    <w:p>
      <w:pPr>
        <w:spacing w:after="800"/>
      </w:pPr>
      <w:r>
        <w:rPr>
          <w:rFonts w:ascii="Calibri" w:cs="Calibri" w:eastAsia="Calibri" w:hAnsi="Calibri"/>
          <w:sz w:val="24"/>
          <w:szCs w:val="24"/>
        </w:rPr>
        <w:t xml:space="preserve">Categorías:  Audio · Computación · Celulares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4"/>
          <w:szCs w:val="24"/>
        </w:rPr>
        <w:t xml:space="preserve">Julio Pradenas</w:t>
      </w:r>
    </w:p>
    <w:p>
      <w:pPr>
        <w:spacing w:after="6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Data Analyst Pricing</w:t>
      </w:r>
    </w:p>
    <w:p>
      <w:pPr>
        <w:spacing w:after="0"/>
      </w:pPr>
      <w:r>
        <w:rPr>
          <w:rFonts w:ascii="Calibri" w:cs="Calibri" w:eastAsia="Calibri" w:hAnsi="Calibri"/>
          <w:color w:val="64748B"/>
          <w:sz w:val="22"/>
          <w:szCs w:val="22"/>
        </w:rPr>
        <w:t xml:space="preserve">Concepción, Chile · Mayo 2026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 Resumen ejecutivo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ElectroChile compite con 7 productos best-seller en el catálogo unificado de MercadoLibre Chile, distribuidos en las categorías de Audio y Computación. El análisis competitivo realizado sobre 348 ofertas activas, 53 productos del top de cada categoría y 214 sellers únicos arroja un diagnóstico claro: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ElectroChile es el seller más caro o de los más caros en sus 7 productos. Cobra en promedio 165% más que el competidor más barato del mismo SKU. Su win rate de precio mínimo es 0%.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Tres causas estructurales identificadas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5 de 7 productos usan self-shipping (xd_drop_off), donde el win rate observado a nivel de catálogo es solo 3%.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El gap de precio sugiere costos de adquisición no competitivos: el competidor más barato vende a precios cercanos a su costo, lo que sugiere acceso a proveedores con condiciones distintas.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El uso de listing premium (gold_pro) no compensa la base logística incorrecta. Sin MELI Full, el mejor listing no captura Buy Box implícito.</w:t>
      </w:r>
    </w:p>
    <w:p>
      <w:pPr>
        <w:pStyle w:val="Heading3"/>
        <w:spacing w:after="100" w:before="200"/>
      </w:pPr>
      <w:r>
        <w:rPr>
          <w:rFonts w:ascii="Calibri" w:cs="Calibri" w:eastAsia="Calibri" w:hAnsi="Calibri"/>
          <w:b/>
          <w:bCs/>
          <w:color w:val="64748B"/>
          <w:sz w:val="22"/>
          <w:szCs w:val="22"/>
        </w:rPr>
        <w:t xml:space="preserve">Recomendación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Implementar el Escenario A: motor de reglas + alertas Telegram con migración logística a MELI Full y renegociación de costos con proveedores. Inversión total año 1: $1.07M CLP. Retorno proyectado: +$12.6M CLP de margen incremental.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Se descarta explícitamente Thompson Sampling (Escenario B) — la simulación mostró que destruiría $27.5M CLP de margen anual al priorizar volumen sobre rentabilidad. La sofisticación de la herramienta no es la respuesta.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 Metodología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2.1  Fuentes de datos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Se utilizó exclusivamente la API pública oficial de MercadoLibre, accedida con credenciales de aplicación cliente_credentials. Todos los datos son del catálogo público abierto a cualquier desarrollador autorizado.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Endpoints consultados: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/highlights/MLC/category/{id} — productos best-seller por categoría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/products/{id} — metadata del producto del catálogo unificado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/products/{id}/items — ofertas competitivas asociadas a un producto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/categories/{id} — taxonomía de categorías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2.2  Alcance del dataset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Métrica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Categorías analizadas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 (Celulares, Audio, Computación)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Productos del catálogo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53 best-sellers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Ofertas analizadas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348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Sellers únicos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214</w:t>
            </w:r>
          </w:p>
        </w:tc>
      </w:tr>
      <w:tr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Snapshot fecha</w:t>
            </w:r>
          </w:p>
        </w:tc>
        <w:tc>
          <w:tcPr>
            <w:tcW w:type="dxa" w:w="46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 mayo 2026</w:t>
            </w:r>
          </w:p>
        </w:tc>
      </w:tr>
    </w:tbl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2.3  Limitaciones declaradas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Para mantener honestidad metodológica, declaramos las siguientes limitaciones: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 API pública no devuelve sold_quantity ni visitas individuales. Como proxy de demanda relativa se utilizó la posición en el ranking de best-sellers.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Las elasticidades calculadas son descriptivas, no causales. Para estimación causal se requiere instrumentación de tracking propio (Google Analytics, conversiones).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 simulación de escenarios usa un modelo de mercado calibrado heurísticamente con los win rates observados por logistic_type, no con elasticidad estimada.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Las proyecciones de ROI extrapolan 90 días a 360 días, lo que ignora estacionalidad (Cyber Monday, Navidad, año escolar).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El costo de adquisición se asume como 80% del precio mediano competitivo. Este supuesto debe validarse con el cliente.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 Diagnóstico cuantitativo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3.1  Densidad competitiva por categoría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La estructura competitiva de MLC es muy desigual entre categorías: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2340"/>
        <w:gridCol w:w="1560"/>
        <w:gridCol w:w="78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Categoría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Mediana competidores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Máximo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Patrón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Celulares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15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Dormido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Audio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19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25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Activo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Computación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20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5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28</w:t>
            </w:r>
          </w:p>
        </w:tc>
        <w:tc>
          <w:tcPr>
            <w:tcW w:type="dxa" w:w="78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Activo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5143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Figura 1. Distribución del número de competidores por producto, separada por categoría.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3.2  Brechas de precio entre sellers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Para los 39 productos con 2 o más sellers compitiendo, la brecha mediana de precio es 71%. Esto significa que en el producto típico, el seller más caro cobra 71% más que el más barato del mismo SKU exacto.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Los casos extremos son materiales de venta directos: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Pasta Térmica Arctic MX-4: gap 340% — el seller más caro cobra 4.4x el precio del más barato.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Impresora HP Smart Tank: $138.500 vs $499.990 (diferencia $361.490 CLP por la misma impresora).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Mouse Logitech M280: 22 sellers compitiendo, gap 152%.</w:t>
      </w:r>
    </w:p>
    <w:p>
      <w:pPr>
        <w:spacing w:after="200" w:before="200"/>
        <w:jc w:val="center"/>
      </w:pPr>
      <w:r>
        <w:drawing>
          <wp:inline distT="0" distB="0" distL="0" distR="0">
            <wp:extent cx="5143500" cy="2571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Figura 2. Distribución del spread de precio (max−min)/min por categoría.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3.3  Tienda Oficial vs Seller PYME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Las Tiendas Oficiales dominan el pricing competitivo: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Win rate de precio mínimo: Tienda Oficial 32.4% vs Seller PYME 10.2%.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Cuando no ganan, las oficiales están a 18% del mínimo en mediana, los PYME a 47%.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El 70% de los sellers competidores son PYME (sin tienda oficial).</w:t>
      </w:r>
    </w:p>
    <w:p>
      <w:pPr>
        <w:spacing w:after="200" w:before="200"/>
        <w:jc w:val="center"/>
      </w:pPr>
      <w:r>
        <w:drawing>
          <wp:inline distT="0" distB="0" distL="0" distR="0">
            <wp:extent cx="51435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Figura 3. Distribución de la distancia al precio mínimo y win rate por tipo de seller.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3.4  Logística como variable competitiva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El tipo de logística es el predictor más fuerte del win rate observado: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1560"/>
        <w:gridCol w:w="2340"/>
        <w:gridCol w:w="2340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 de logística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Ofertas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Win rate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 mediano al min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MELI Full (fulfillment)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106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39.6%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4.3%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Drop-off (puntos retiro)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7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42.9%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3.7%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Cross-docking (MELI recoge)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68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10.3%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25.5%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Self-shipping (seller envía)</w:t>
            </w:r>
          </w:p>
        </w:tc>
        <w:tc>
          <w:tcPr>
            <w:tcW w:type="dxa" w:w="156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165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3.0%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40.0%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5143500" cy="2286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28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Figura 4. Win rate de precio mínimo por tipo de logística.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 ElectroChile en contexto competitivo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ElectroChile (seller_id 1310149720) opera con 7 productos best-seller distribuidos en las categorías Audio y Computación. El detalle de su posicionamiento competitivo: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404"/>
        <w:gridCol w:w="1404"/>
        <w:gridCol w:w="936"/>
        <w:gridCol w:w="1872"/>
      </w:tblGrid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Producto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Hero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Min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Logística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Pasta Térmica Arctic MX-4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$11.980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$2.723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+340%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Self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Audífonos Bluetooth Blik Soul250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$31.490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$9.990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+215%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Xiaomi Redmi Buds 6 Play Rosa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$33.590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$12.272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+174%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Self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Mouse Logitech M280 Gris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$29.990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$11.900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+152%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Self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Audífonos Redmi Buds 6 Active Pink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$45.140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$20.990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+115%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Self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Amazon Echo Dot 5th Gen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$99.990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$52.990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+89%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Full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Sony PlayStation DualSense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$110.228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$65.524</w:t>
            </w:r>
          </w:p>
        </w:tc>
        <w:tc>
          <w:tcPr>
            <w:tcW w:type="dxa" w:w="93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+68%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DC2626"/>
                <w:sz w:val="20"/>
                <w:szCs w:val="20"/>
              </w:rPr>
              <w:t xml:space="preserve">Self</w:t>
            </w:r>
          </w:p>
        </w:tc>
      </w:tr>
    </w:tbl>
    <w:p>
      <w:pPr>
        <w:spacing w:after="200" w:before="200"/>
        <w:jc w:val="center"/>
      </w:pPr>
      <w:r>
        <w:drawing>
          <wp:inline distT="0" distB="0" distL="0" distR="0">
            <wp:extent cx="5143500" cy="2667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Figura 5. ElectroChile (rojo) versus competidores (gris) en cada producto.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 Escenarios de repricing evaluados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Se simularon tres escenarios de repricing sobre los 7 productos de ElectroChile, durante 90 días con 5 oportunidades de venta diarias por producto. El modelo de mercado utilizado es una función logística calibrada con los win rates observados por logistic_type.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5.1  Escenario A — Reglas + alertas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Motor de reglas determinísticas que sugiere precio según el tipo de logística del seller y el precio mínimo del producto. Las recomendaciones se envían vía bot Telegram al seller, quien aprueba manualmente cada cambio. Costo operacional anual: $570.000 CLP. Lift proyectado: +20% margen sobre status quo.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5.2  Escenario B — Thompson Sampling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Bandit Thompson Sampling sobre 4 puntos de precio: 1.00x, 1.05x, 1.15x y 1.30x del precio mínimo competitivo. El bandit explora y converge al brazo con mayor recompensa observada.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Resultado de la simulación: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Volumen de ventas: +280% vs status quo (1.487 vs 391 ventas en 90 días).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Margen total: −38% vs status quo ($10.1M vs $16.4M).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El bandit converge al brazo más bajo (1.05x) porque maximiza probabilidad de venta.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Anualizado: −$27.5M CLP vs status quo después de costos.</w:t>
      </w:r>
    </w:p>
    <w:p>
      <w:pPr>
        <w:spacing w:after="200" w:before="200"/>
        <w:jc w:val="center"/>
      </w:pPr>
      <w:r>
        <w:drawing>
          <wp:inline distT="0" distB="0" distL="0" distR="0">
            <wp:extent cx="5143500" cy="2190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  <w:jc w:val="center"/>
      </w:pPr>
      <w:r>
        <w:rPr>
          <w:rFonts w:ascii="Calibri" w:cs="Calibri" w:eastAsia="Calibri" w:hAnsi="Calibri"/>
          <w:i/>
          <w:iCs/>
          <w:color w:val="64748B"/>
          <w:sz w:val="18"/>
          <w:szCs w:val="18"/>
        </w:rPr>
        <w:t xml:space="preserve">Figura 6. La trampa del repricing agresivo: más ventas, menos margen.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5.3  Escenario C — Tool comercial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Integración con plataforma comercial de repricing (Prisync, RepricerExpress) vía API MELI. Costo $150-300 USD/mes. Lift proyectado similar a A (+25%) pero con mejor experiencia de usuario y menor mantenimiento técnico.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5.4  Comparativa de ROI año 1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340"/>
        <w:gridCol w:w="1872"/>
        <w:gridCol w:w="2028"/>
      </w:tblGrid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Escenario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Margen anual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Costo anual</w:t>
            </w:r>
          </w:p>
        </w:tc>
        <w:tc>
          <w:tcPr>
            <w:tcW w:type="dxa" w:w="2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Δ vs status quo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Status quo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$65.7M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—</w:t>
            </w:r>
          </w:p>
        </w:tc>
        <w:tc>
          <w:tcPr>
            <w:tcW w:type="dxa" w:w="2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$0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E293B"/>
                <w:sz w:val="20"/>
                <w:szCs w:val="20"/>
              </w:rPr>
              <w:t xml:space="preserve">A · Reglas + alertas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$78.8M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$570k</w:t>
            </w:r>
          </w:p>
        </w:tc>
        <w:tc>
          <w:tcPr>
            <w:tcW w:type="dxa" w:w="2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+$12.6M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B · Thompson Sampling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$40.5M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$2.28M</w:t>
            </w:r>
          </w:p>
        </w:tc>
        <w:tc>
          <w:tcPr>
            <w:tcW w:type="dxa" w:w="2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−$27.5M</w:t>
            </w:r>
          </w:p>
        </w:tc>
      </w:tr>
      <w:tr>
        <w:tc>
          <w:tcPr>
            <w:tcW w:type="dxa" w:w="312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C · Tool comercial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$82.1M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$2.57M</w:t>
            </w:r>
          </w:p>
        </w:tc>
        <w:tc>
          <w:tcPr>
            <w:tcW w:type="dxa" w:w="2028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6A34A"/>
                <w:sz w:val="20"/>
                <w:szCs w:val="20"/>
              </w:rPr>
              <w:t xml:space="preserve">+$13.9M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 Recomendación: Escenario A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Recomendamos implementar el Escenario A. Razones: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Genera +$12.6M CLP año 1 con riesgo bajo y costo operativo mínimo.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Mantiene aprobación humana en cada cambio durante los primeros 30 días, reduciendo riesgo de errores.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4.5x más barato que el Escenario C para entregar lift comparable.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B se descarta: pierde margen porque el costo de adquisición de ElectroChile no permite competir agresivamente.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6.1  Pre-requisitos no negociables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Antes de cualquier sistema de repricing, ElectroChile debe ejecutar tres acciones: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Renegociar costos de adquisición con proveedores en al menos 3 SKUs prioritarios. Sin esto, el repricing es destructivo (Escenario B lo demostró).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Migrar 5 productos de self-shipping a MELI Full. El lift estimado en win rate es de +30 puntos.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Instrumentar tracking propio (Google Analytics 4, conversiones por listing). Sin esto ninguna decisión de pricing es validable.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 Roadmap de implementación 90 días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7.1  Mes 1 — Diagnóstico, infraestructura, motor v1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 1: Kickoff, levantamiento de costos reales, baseline.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 2: Setup técnico (acceso API, bot Telegram, repo Git).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 3: Negociación con proveedores.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 4: Motor de reglas v1 operando con aprobación manual.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7.2  Mes 2 — MELI Full y tracking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Semanas 5-6: Migrar 5 productos a Full por lotes.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 7: Instrumentar GA4 + dashboard Looker.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 8: Primera revisión KPIs, ajuste motor a v1.1.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7.3  Mes 3 — Operación y decisión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Semanas 9-10: Auto-aplicación parcial de cambios menores.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 11: Análisis de impacto formal.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Semana 12: Decisión continuar / escalar / cancelar.</w:t>
      </w:r>
    </w:p>
    <w:p>
      <w:pPr>
        <w:pStyle w:val="Heading2"/>
        <w:spacing w:after="160" w:before="280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7.4  KPIs medibles a 90 días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744"/>
        <w:gridCol w:w="1872"/>
        <w:gridCol w:w="2340"/>
        <w:gridCol w:w="1404"/>
      </w:tblGrid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Hoy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 90 días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1E293B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Crítico para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Win rate de precio mínimo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DC2626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≥ 15%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Repricing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Productos en MELI Full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2 / 7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5 / 7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Logística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Margen total mensual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$1.4M CLP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$1.6M-$1.8M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ROI</w:t>
            </w:r>
          </w:p>
        </w:tc>
      </w:tr>
      <w:tr>
        <w:tc>
          <w:tcPr>
            <w:tcW w:type="dxa" w:w="374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Recomendaciones aplicadas</w:t>
            </w:r>
          </w:p>
        </w:tc>
        <w:tc>
          <w:tcPr>
            <w:tcW w:type="dxa" w:w="1872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0%</w:t>
            </w:r>
          </w:p>
        </w:tc>
        <w:tc>
          <w:tcPr>
            <w:tcW w:type="dxa" w:w="234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6A34A"/>
                <w:sz w:val="20"/>
                <w:szCs w:val="20"/>
              </w:rPr>
              <w:t xml:space="preserve">≥ 60%</w:t>
            </w:r>
          </w:p>
        </w:tc>
        <w:tc>
          <w:tcPr>
            <w:tcW w:type="dxa" w:w="1404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7F2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1E293B"/>
                <w:sz w:val="20"/>
                <w:szCs w:val="20"/>
              </w:rPr>
              <w:t xml:space="preserve">Adherencia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 Caveats y limitaciones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Este reporte se entrega con honestidad metodológica explícita. Los números proyectados deben interpretarse en su contexto: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Los lifts de los Escenarios A (+20%) y C (+25%) son supuestos no validados. Requieren tracking real para confirmar.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 extrapolación 90d → 360d asume estacionalidad uniforme, lo cual es falso. Cyber Monday, Navidad y vuelta a clases tienen efectos estacionales que no se modelaron.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El supuesto de costo de adquisición (80% del precio mediano competitivo) puede ser optimista o pesimista según el seller. Validar en Semana 1 del proyecto.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 simulación opera con 5 visitas/día por producto. El tráfico real puede ser distinto y debe medirse en Semana 7 con GA4 instrumentado.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Las elasticidades estimadas en el análisis son descriptivas, no causales. Para estimación causal robusta se recomienda una segunda fase con metodología Double Machine Learning sobre datos propios del seller.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 Próximos pasos para el cliente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Confirmar disponibilidad de costos de adquisición por SKU (semana 1 lo bloquea todo).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Asignar 1 persona del equipo del seller como contraparte (1-2 horas por semana).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Aprobar acceso de lectura del consultor a la cuenta de MELI.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Calendarizar reunión de kickoff (90 minutos).</w:t>
      </w:r>
    </w:p>
    <w:p>
      <w:pPr>
        <w:pStyle w:val="Heading1"/>
        <w:spacing w:after="20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Anexo A — Repositorio del análisis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Todo el código, datos crudos y notebooks de análisis están disponibles públicamente en GitHub:</w:t>
      </w:r>
    </w:p>
    <w:p>
      <w:pPr>
        <w:spacing w:after="80" w:before="80" w:line="320"/>
      </w:pPr>
      <w:r>
        <w:rPr>
          <w:rFonts w:ascii="Calibri" w:cs="Calibri" w:eastAsia="Calibri" w:hAnsi="Calibri"/>
          <w:i/>
          <w:iCs/>
          <w:color w:val="2563EB"/>
          <w:sz w:val="22"/>
          <w:szCs w:val="22"/>
        </w:rPr>
        <w:t xml:space="preserve">https://github.com/JulioPradenas/pricing-health-check-mlc</w:t>
      </w:r>
    </w:p>
    <w:p>
      <w:pPr>
        <w:spacing w:after="80" w:before="80" w:line="320"/>
      </w:pPr>
      <w:r>
        <w:rPr>
          <w:rFonts w:ascii="Calibri" w:cs="Calibri" w:eastAsia="Calibri" w:hAnsi="Calibri"/>
          <w:sz w:val="22"/>
          <w:szCs w:val="22"/>
        </w:rPr>
        <w:t xml:space="preserve">Estructura del repositorio: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src/ingestion — cliente Python para API MELI con auth, retry, rate limiting.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notebooks/01_eda.ipynb — análisis exploratorio del catálogo.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notebooks/02_elasticity.ipynb — elasticidad descriptiva con caveats.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notebooks/03_repricing_simulation.ipynb — simulación de los 3 escenarios.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data/raw — snapshots versionados del catálogo.</w:t>
      </w:r>
    </w:p>
    <w:p>
      <w:pPr>
        <w:pStyle w:val="ListParagraph"/>
        <w:numPr>
          <w:ilvl w:val="0"/>
          <w:numId w:val="2"/>
        </w:numPr>
        <w:spacing w:after="40" w:before="40" w:line="300"/>
      </w:pPr>
      <w:r>
        <w:rPr>
          <w:rFonts w:ascii="Calibri" w:cs="Calibri" w:eastAsia="Calibri" w:hAnsi="Calibri"/>
          <w:sz w:val="22"/>
          <w:szCs w:val="22"/>
        </w:rPr>
        <w:t xml:space="preserve">deliverables — figuras, pitch deck y este reporte.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64748B"/>
        <w:sz w:val="18"/>
        <w:szCs w:val="18"/>
      </w:rPr>
      <w:t xml:space="preserve">Pricing Health Check  ·  ElectroChile  ·  Pág. </w:t>
    </w:r>
    <w:r>
      <w:rPr>
        <w:rFonts w:ascii="Calibri" w:cs="Calibri" w:eastAsia="Calibri" w:hAnsi="Calibri"/>
        <w:color w:val="64748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Calibri" w:cs="Calibri" w:eastAsia="Calibri" w:hAnsi="Calibri"/>
      <w:b/>
      <w:bCs/>
      <w:color w:val="1E29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Calibri" w:cs="Calibri" w:eastAsia="Calibri" w:hAnsi="Calibri"/>
      <w:b/>
      <w:bCs/>
      <w:color w:val="1E293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Calibri" w:cs="Calibri" w:eastAsia="Calibri" w:hAnsi="Calibri"/>
      <w:b/>
      <w:bCs/>
      <w:color w:val="64748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520151f099172a208bb2bd4de4ab3b972f189e5a.png"/><Relationship Id="rId9" Type="http://schemas.openxmlformats.org/officeDocument/2006/relationships/image" Target="media/d2f8cee74eb9889d219bd49b034807cf713f909b.png"/><Relationship Id="rId10" Type="http://schemas.openxmlformats.org/officeDocument/2006/relationships/image" Target="media/22c3ff897831f37d4816cc965b521bda28e0694a.png"/><Relationship Id="rId11" Type="http://schemas.openxmlformats.org/officeDocument/2006/relationships/image" Target="media/1592747f9ac4d798c9528998f734ba86b04734ac.png"/><Relationship Id="rId12" Type="http://schemas.openxmlformats.org/officeDocument/2006/relationships/image" Target="media/086daa179a5c42fddbc0bc7e0e4ba8d22fa4860a.png"/><Relationship Id="rId13" Type="http://schemas.openxmlformats.org/officeDocument/2006/relationships/image" Target="media/e18df4414b4f388a2586e23158da666d32379d8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Pricing Health Check ElectroChile</dc:title>
  <dc:creator>Julio Pradenas</dc:creator>
  <cp:lastModifiedBy>Un-named</cp:lastModifiedBy>
  <cp:revision>1</cp:revision>
  <dcterms:created xsi:type="dcterms:W3CDTF">2026-05-08T21:48:48.614Z</dcterms:created>
  <dcterms:modified xsi:type="dcterms:W3CDTF">2026-05-08T21:48:48.615Z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