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F07CC4" w14:textId="77777777" w:rsidR="00D61758" w:rsidRDefault="00D61758" w:rsidP="00D61758">
      <w:pPr>
        <w:pStyle w:val="Textoindependiente"/>
        <w:ind w:left="198"/>
        <w:rPr>
          <w:rFonts w:ascii="Times New Roman"/>
          <w:sz w:val="20"/>
        </w:rPr>
      </w:pPr>
      <w:r>
        <w:rPr>
          <w:rFonts w:ascii="Times New Roman"/>
          <w:noProof/>
          <w:sz w:val="20"/>
        </w:rPr>
        <mc:AlternateContent>
          <mc:Choice Requires="wps">
            <w:drawing>
              <wp:inline distT="0" distB="0" distL="0" distR="0" wp14:anchorId="54020AB1" wp14:editId="6D611DA3">
                <wp:extent cx="6576059" cy="2648585"/>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76059" cy="2648585"/>
                        </a:xfrm>
                        <a:prstGeom prst="rect">
                          <a:avLst/>
                        </a:prstGeom>
                        <a:solidFill>
                          <a:srgbClr val="93EAFC"/>
                        </a:solidFill>
                      </wps:spPr>
                      <wps:txbx>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wps:txbx>
                      <wps:bodyPr wrap="square" lIns="0" tIns="0" rIns="0" bIns="0" rtlCol="0">
                        <a:noAutofit/>
                      </wps:bodyPr>
                    </wps:wsp>
                  </a:graphicData>
                </a:graphic>
              </wp:inline>
            </w:drawing>
          </mc:Choice>
          <mc:Fallback>
            <w:pict>
              <v:shapetype w14:anchorId="54020AB1" id="_x0000_t202" coordsize="21600,21600" o:spt="202" path="m,l,21600r21600,l21600,xe">
                <v:stroke joinstyle="miter"/>
                <v:path gradientshapeok="t" o:connecttype="rect"/>
              </v:shapetype>
              <v:shape id="Textbox 1" o:spid="_x0000_s1026" type="#_x0000_t202" style="width:517.8pt;height:2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" fillcolor="#93eafc" stroked="f">
                <v:textbox inset="0,0,0,0">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v:textbox>
                <w10:anchorlock/>
              </v:shape>
            </w:pict>
          </mc:Fallback>
        </mc:AlternateContent>
      </w:r>
    </w:p>
    <w:p w14:paraId="12EF50A9" w14:textId="49C43B9A" w:rsidR="00D61758" w:rsidRDefault="00C57447" w:rsidP="00D61758">
      <w:pPr>
        <w:pStyle w:val="Textoindependiente"/>
        <w:spacing w:before="9"/>
        <w:rPr>
          <w:rFonts w:ascii="Times New Roman"/>
          <w:sz w:val="20"/>
        </w:rPr>
      </w:pPr>
      <w:r>
        <w:rPr>
          <w:rFonts w:ascii="Times New Roman"/>
          <w:noProof/>
          <w:sz w:val="20"/>
        </w:rPr>
        <mc:AlternateContent>
          <mc:Choice Requires="wps">
            <w:drawing>
              <wp:anchor distT="0" distB="0" distL="0" distR="0" simplePos="0" relativeHeight="251660288" behindDoc="1" locked="0" layoutInCell="1" allowOverlap="1" wp14:anchorId="70D44096" wp14:editId="7C44ABEB">
                <wp:simplePos x="0" y="0"/>
                <wp:positionH relativeFrom="page">
                  <wp:posOffset>3225800</wp:posOffset>
                </wp:positionH>
                <wp:positionV relativeFrom="paragraph">
                  <wp:posOffset>170815</wp:posOffset>
                </wp:positionV>
                <wp:extent cx="3931920" cy="560705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31920" cy="5607050"/>
                        </a:xfrm>
                        <a:prstGeom prst="rect">
                          <a:avLst/>
                        </a:prstGeom>
                        <a:solidFill>
                          <a:schemeClr val="bg1">
                            <a:lumMod val="85000"/>
                          </a:schemeClr>
                        </a:solidFill>
                      </wps:spPr>
                      <wps:txbx>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wps:txbx>
                      <wps:bodyPr wrap="square" lIns="0" tIns="0" rIns="0" bIns="0" rtlCol="0">
                        <a:noAutofit/>
                      </wps:bodyPr>
                    </wps:wsp>
                  </a:graphicData>
                </a:graphic>
                <wp14:sizeRelV relativeFrom="margin">
                  <wp14:pctHeight>0</wp14:pctHeight>
                </wp14:sizeRelV>
              </wp:anchor>
            </w:drawing>
          </mc:Choice>
          <mc:Fallback>
            <w:pict>
              <v:shape w14:anchorId="70D44096" id="Textbox 3" o:spid="_x0000_s1027" type="#_x0000_t202" style="position:absolute;left:0;text-align:left;margin-left:254pt;margin-top:13.45pt;width:309.6pt;height:441.5pt;z-index:-25165619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" fillcolor="#d8d8d8 [2732]" stroked="f">
                <v:textbox inset="0,0,0,0">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v:textbox>
                <w10:wrap type="topAndBottom" anchorx="page"/>
              </v:shape>
            </w:pict>
          </mc:Fallback>
        </mc:AlternateContent>
      </w:r>
      <w:r>
        <w:rPr>
          <w:rFonts w:ascii="Times New Roman"/>
          <w:noProof/>
          <w:sz w:val="20"/>
        </w:rPr>
        <w:drawing>
          <wp:anchor distT="0" distB="0" distL="0" distR="0" simplePos="0" relativeHeight="251659264" behindDoc="1" locked="0" layoutInCell="1" allowOverlap="1" wp14:anchorId="41BAE14A" wp14:editId="265C2A2E">
            <wp:simplePos x="0" y="0"/>
            <wp:positionH relativeFrom="page">
              <wp:posOffset>655320</wp:posOffset>
            </wp:positionH>
            <wp:positionV relativeFrom="paragraph">
              <wp:posOffset>170815</wp:posOffset>
            </wp:positionV>
            <wp:extent cx="2273935" cy="5193030"/>
            <wp:effectExtent l="0" t="0" r="0" b="762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273935" cy="5193030"/>
                    </a:xfrm>
                    <a:prstGeom prst="rect">
                      <a:avLst/>
                    </a:prstGeom>
                  </pic:spPr>
                </pic:pic>
              </a:graphicData>
            </a:graphic>
            <wp14:sizeRelV relativeFrom="margin">
              <wp14:pctHeight>0</wp14:pctHeight>
            </wp14:sizeRelV>
          </wp:anchor>
        </w:drawing>
      </w:r>
    </w:p>
    <w:p w14:paraId="01F614A0" w14:textId="77777777" w:rsidR="00D61758" w:rsidRDefault="00D61758" w:rsidP="00D61758">
      <w:pPr>
        <w:pStyle w:val="Textoindependiente"/>
        <w:rPr>
          <w:rFonts w:ascii="Times New Roman"/>
          <w:sz w:val="20"/>
        </w:rPr>
        <w:sectPr w:rsidR="00D61758" w:rsidSect="00D61758">
          <w:pgSz w:w="12240" w:h="15840"/>
          <w:pgMar w:top="600" w:right="0" w:bottom="280" w:left="720" w:header="720" w:footer="720" w:gutter="0"/>
          <w:cols w:space="720"/>
        </w:sectPr>
      </w:pPr>
    </w:p>
    <w:p w14:paraId="5881FE90" w14:textId="77777777" w:rsidR="00D61758" w:rsidRDefault="00D61758" w:rsidP="00D61758">
      <w:pPr>
        <w:pStyle w:val="Textoindependiente"/>
        <w:spacing w:before="162"/>
        <w:rPr>
          <w:rFonts w:ascii="Times New Roman"/>
          <w:sz w:val="20"/>
        </w:rPr>
      </w:pPr>
    </w:p>
    <w:p w14:paraId="0E0FBC40" w14:textId="77777777" w:rsidR="00D61758" w:rsidRDefault="00D61758" w:rsidP="00D61758">
      <w:pPr>
        <w:pStyle w:val="Textoindependiente"/>
        <w:ind w:left="929"/>
        <w:rPr>
          <w:rFonts w:ascii="Times New Roman"/>
          <w:sz w:val="20"/>
        </w:rPr>
      </w:pPr>
      <w:r>
        <w:rPr>
          <w:rFonts w:ascii="Times New Roman"/>
          <w:noProof/>
          <w:sz w:val="20"/>
        </w:rPr>
        <w:drawing>
          <wp:inline distT="0" distB="0" distL="0" distR="0" wp14:anchorId="441B9B46" wp14:editId="7220ADAF">
            <wp:extent cx="842390" cy="30632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842390" cy="306324"/>
                    </a:xfrm>
                    <a:prstGeom prst="rect">
                      <a:avLst/>
                    </a:prstGeom>
                  </pic:spPr>
                </pic:pic>
              </a:graphicData>
            </a:graphic>
          </wp:inline>
        </w:drawing>
      </w:r>
    </w:p>
    <w:p w14:paraId="0CB596E1" w14:textId="77777777" w:rsidR="00D61758" w:rsidRDefault="00D61758" w:rsidP="00D61758">
      <w:pPr>
        <w:pStyle w:val="Textoindependiente"/>
        <w:spacing w:before="57" w:line="291" w:lineRule="exact"/>
      </w:pPr>
      <w:r>
        <w:t>Esta</w:t>
      </w:r>
      <w:r>
        <w:rPr>
          <w:spacing w:val="32"/>
        </w:rPr>
        <w:t xml:space="preserve"> </w:t>
      </w:r>
      <w:r>
        <w:t>obra</w:t>
      </w:r>
      <w:r>
        <w:rPr>
          <w:spacing w:val="33"/>
        </w:rPr>
        <w:t xml:space="preserve"> </w:t>
      </w:r>
      <w:r>
        <w:t>está</w:t>
      </w:r>
      <w:r>
        <w:rPr>
          <w:spacing w:val="33"/>
        </w:rPr>
        <w:t xml:space="preserve"> </w:t>
      </w:r>
      <w:r>
        <w:t>sujeta</w:t>
      </w:r>
      <w:r>
        <w:rPr>
          <w:spacing w:val="32"/>
        </w:rPr>
        <w:t xml:space="preserve"> </w:t>
      </w:r>
      <w:r>
        <w:t>a</w:t>
      </w:r>
      <w:r>
        <w:rPr>
          <w:spacing w:val="33"/>
        </w:rPr>
        <w:t xml:space="preserve"> </w:t>
      </w:r>
      <w:r>
        <w:t>una</w:t>
      </w:r>
      <w:r>
        <w:rPr>
          <w:spacing w:val="33"/>
        </w:rPr>
        <w:t xml:space="preserve"> </w:t>
      </w:r>
      <w:r>
        <w:t>licencia</w:t>
      </w:r>
      <w:r>
        <w:rPr>
          <w:spacing w:val="32"/>
        </w:rPr>
        <w:t xml:space="preserve"> </w:t>
      </w:r>
      <w:r>
        <w:t>de</w:t>
      </w:r>
      <w:r>
        <w:rPr>
          <w:spacing w:val="32"/>
        </w:rPr>
        <w:t xml:space="preserve"> </w:t>
      </w:r>
      <w:r>
        <w:rPr>
          <w:spacing w:val="-2"/>
        </w:rPr>
        <w:t>Reconocimiento</w:t>
      </w:r>
    </w:p>
    <w:p w14:paraId="2D69EEFC" w14:textId="2B196D94" w:rsidR="00D61758" w:rsidRDefault="00B42546" w:rsidP="00D61758">
      <w:pPr>
        <w:pStyle w:val="Textoindependiente"/>
        <w:spacing w:line="291" w:lineRule="exact"/>
        <w:rPr>
          <w:spacing w:val="-2"/>
          <w:w w:val="120"/>
        </w:rPr>
      </w:pPr>
      <w:hyperlink r:id="rId10" w:history="1">
        <w:r w:rsidR="00D61758" w:rsidRPr="00D56E03">
          <w:rPr>
            <w:rStyle w:val="Hipervnculo"/>
            <w:w w:val="115"/>
          </w:rPr>
          <w:t>https://creativecommons.org/licenses/by-</w:t>
        </w:r>
        <w:r w:rsidR="00D61758" w:rsidRPr="00D56E03">
          <w:rPr>
            <w:rStyle w:val="Hipervnculo"/>
            <w:spacing w:val="-2"/>
            <w:w w:val="120"/>
          </w:rPr>
          <w:t>nc/3.0/es/</w:t>
        </w:r>
      </w:hyperlink>
    </w:p>
    <w:p w14:paraId="48F71758" w14:textId="098D9D03" w:rsidR="00D61758" w:rsidRDefault="00D61758" w:rsidP="00D61758">
      <w:pPr>
        <w:pStyle w:val="Textoindependiente"/>
        <w:spacing w:line="291" w:lineRule="exact"/>
        <w:rPr>
          <w:spacing w:val="-2"/>
          <w:w w:val="120"/>
        </w:rPr>
      </w:pPr>
    </w:p>
    <w:p w14:paraId="18CD3231" w14:textId="130B3AD3" w:rsidR="00D61758" w:rsidRDefault="00D61758" w:rsidP="00D61758">
      <w:pPr>
        <w:pStyle w:val="Textoindependiente"/>
        <w:spacing w:line="291" w:lineRule="exact"/>
        <w:rPr>
          <w:spacing w:val="-2"/>
          <w:w w:val="120"/>
        </w:rPr>
      </w:pPr>
    </w:p>
    <w:p w14:paraId="30DC6CE5" w14:textId="134A6888" w:rsidR="00D61758" w:rsidRDefault="00D61758" w:rsidP="00D61758">
      <w:pPr>
        <w:pStyle w:val="Textoindependiente"/>
        <w:spacing w:line="291" w:lineRule="exact"/>
        <w:rPr>
          <w:spacing w:val="-2"/>
          <w:w w:val="120"/>
        </w:rPr>
      </w:pPr>
    </w:p>
    <w:p w14:paraId="2898ECFE" w14:textId="0DC89FF9" w:rsidR="00D61758" w:rsidRDefault="00D61758" w:rsidP="00D61758">
      <w:pPr>
        <w:pStyle w:val="Textoindependiente"/>
        <w:spacing w:line="291" w:lineRule="exact"/>
        <w:rPr>
          <w:spacing w:val="-2"/>
          <w:w w:val="120"/>
        </w:rPr>
      </w:pPr>
    </w:p>
    <w:p w14:paraId="64ADC2CF" w14:textId="7488F510" w:rsidR="00D61758" w:rsidRDefault="00D61758" w:rsidP="00D61758">
      <w:pPr>
        <w:pStyle w:val="Textoindependiente"/>
        <w:spacing w:line="291" w:lineRule="exact"/>
        <w:rPr>
          <w:spacing w:val="-2"/>
          <w:w w:val="120"/>
        </w:rPr>
      </w:pPr>
    </w:p>
    <w:p w14:paraId="452E539C" w14:textId="1D4A579F" w:rsidR="00D61758" w:rsidRDefault="00D61758" w:rsidP="00D61758">
      <w:pPr>
        <w:pStyle w:val="Textoindependiente"/>
        <w:spacing w:line="291" w:lineRule="exact"/>
        <w:rPr>
          <w:spacing w:val="-2"/>
          <w:w w:val="120"/>
        </w:rPr>
      </w:pPr>
    </w:p>
    <w:p w14:paraId="48104155" w14:textId="32A73A2A" w:rsidR="00D61758" w:rsidRDefault="00D61758" w:rsidP="00D61758">
      <w:pPr>
        <w:pStyle w:val="Textoindependiente"/>
        <w:spacing w:line="291" w:lineRule="exact"/>
        <w:rPr>
          <w:spacing w:val="-2"/>
          <w:w w:val="120"/>
        </w:rPr>
      </w:pPr>
    </w:p>
    <w:p w14:paraId="546F2065" w14:textId="463A92F1" w:rsidR="00D61758" w:rsidRDefault="00D61758" w:rsidP="00D61758">
      <w:pPr>
        <w:pStyle w:val="Textoindependiente"/>
        <w:spacing w:line="291" w:lineRule="exact"/>
        <w:rPr>
          <w:spacing w:val="-2"/>
          <w:w w:val="120"/>
        </w:rPr>
      </w:pPr>
    </w:p>
    <w:p w14:paraId="5023EFA2" w14:textId="0DACE9A7" w:rsidR="00D61758" w:rsidRDefault="00D61758" w:rsidP="00D61758">
      <w:pPr>
        <w:pStyle w:val="Textoindependiente"/>
        <w:spacing w:line="291" w:lineRule="exact"/>
        <w:rPr>
          <w:spacing w:val="-2"/>
          <w:w w:val="120"/>
        </w:rPr>
      </w:pPr>
    </w:p>
    <w:p w14:paraId="3D8C704E" w14:textId="4FBD227F" w:rsidR="00D61758" w:rsidRDefault="00D61758" w:rsidP="00D61758">
      <w:pPr>
        <w:pStyle w:val="Textoindependiente"/>
        <w:spacing w:line="291" w:lineRule="exact"/>
        <w:rPr>
          <w:spacing w:val="-2"/>
          <w:w w:val="120"/>
        </w:rPr>
      </w:pPr>
    </w:p>
    <w:p w14:paraId="25E14AE3" w14:textId="4F02BDC1" w:rsidR="00D61758" w:rsidRDefault="00D61758" w:rsidP="00D61758">
      <w:pPr>
        <w:pStyle w:val="Textoindependiente"/>
        <w:spacing w:line="291" w:lineRule="exact"/>
        <w:rPr>
          <w:spacing w:val="-2"/>
          <w:w w:val="120"/>
        </w:rPr>
      </w:pPr>
    </w:p>
    <w:p w14:paraId="37368668" w14:textId="41CF0FD5" w:rsidR="00D61758" w:rsidRDefault="00D61758" w:rsidP="00D61758">
      <w:pPr>
        <w:pStyle w:val="Textoindependiente"/>
        <w:spacing w:line="291" w:lineRule="exact"/>
        <w:rPr>
          <w:spacing w:val="-2"/>
          <w:w w:val="120"/>
        </w:rPr>
      </w:pPr>
    </w:p>
    <w:p w14:paraId="3F9F463B" w14:textId="5C5615D5" w:rsidR="00D61758" w:rsidRDefault="00D61758" w:rsidP="00D61758">
      <w:pPr>
        <w:pStyle w:val="Textoindependiente"/>
        <w:spacing w:line="291" w:lineRule="exact"/>
        <w:rPr>
          <w:spacing w:val="-2"/>
          <w:w w:val="120"/>
        </w:rPr>
      </w:pPr>
    </w:p>
    <w:p w14:paraId="6D906265" w14:textId="571BAA9C" w:rsidR="00D61758" w:rsidRDefault="00D61758" w:rsidP="00D61758">
      <w:pPr>
        <w:pStyle w:val="Textoindependiente"/>
        <w:spacing w:line="291" w:lineRule="exact"/>
        <w:rPr>
          <w:spacing w:val="-2"/>
          <w:w w:val="120"/>
        </w:rPr>
      </w:pPr>
    </w:p>
    <w:p w14:paraId="5B6D0E7E" w14:textId="01D1E03A" w:rsidR="00D61758" w:rsidRDefault="00D61758" w:rsidP="00D61758">
      <w:pPr>
        <w:pStyle w:val="Textoindependiente"/>
        <w:spacing w:line="291" w:lineRule="exact"/>
        <w:rPr>
          <w:spacing w:val="-2"/>
          <w:w w:val="120"/>
        </w:rPr>
      </w:pPr>
    </w:p>
    <w:p w14:paraId="6B93CC7C" w14:textId="2018B2D4" w:rsidR="00D61758" w:rsidRDefault="00D61758" w:rsidP="00D61758">
      <w:pPr>
        <w:pStyle w:val="Textoindependiente"/>
        <w:spacing w:line="291" w:lineRule="exact"/>
        <w:rPr>
          <w:spacing w:val="-2"/>
          <w:w w:val="120"/>
        </w:rPr>
      </w:pPr>
    </w:p>
    <w:p w14:paraId="6E912A48" w14:textId="520FFFFF" w:rsidR="00D61758" w:rsidRDefault="00D61758" w:rsidP="00D61758">
      <w:pPr>
        <w:pStyle w:val="Textoindependiente"/>
        <w:spacing w:line="291" w:lineRule="exact"/>
        <w:rPr>
          <w:spacing w:val="-2"/>
          <w:w w:val="120"/>
        </w:rPr>
      </w:pPr>
    </w:p>
    <w:p w14:paraId="4ADCAC95" w14:textId="0ED5ACE5" w:rsidR="00D61758" w:rsidRDefault="00D61758" w:rsidP="00D61758">
      <w:pPr>
        <w:pStyle w:val="Textoindependiente"/>
        <w:spacing w:line="291" w:lineRule="exact"/>
        <w:rPr>
          <w:spacing w:val="-2"/>
          <w:w w:val="120"/>
        </w:rPr>
      </w:pPr>
    </w:p>
    <w:p w14:paraId="36567BB9" w14:textId="2ED53A54" w:rsidR="00D61758" w:rsidRDefault="00D61758" w:rsidP="00D61758">
      <w:pPr>
        <w:pStyle w:val="Textoindependiente"/>
        <w:spacing w:line="291" w:lineRule="exact"/>
        <w:rPr>
          <w:spacing w:val="-2"/>
          <w:w w:val="120"/>
        </w:rPr>
      </w:pPr>
    </w:p>
    <w:p w14:paraId="452B855A" w14:textId="31A7A98F" w:rsidR="00D61758" w:rsidRDefault="00D61758" w:rsidP="00D61758">
      <w:pPr>
        <w:pStyle w:val="Textoindependiente"/>
        <w:spacing w:line="291" w:lineRule="exact"/>
        <w:rPr>
          <w:spacing w:val="-2"/>
          <w:w w:val="120"/>
        </w:rPr>
      </w:pPr>
    </w:p>
    <w:p w14:paraId="0820A0F4" w14:textId="66CB677C" w:rsidR="00D61758" w:rsidRDefault="00D61758" w:rsidP="00D61758">
      <w:pPr>
        <w:pStyle w:val="Textoindependiente"/>
        <w:spacing w:line="291" w:lineRule="exact"/>
        <w:rPr>
          <w:spacing w:val="-2"/>
          <w:w w:val="120"/>
        </w:rPr>
      </w:pPr>
    </w:p>
    <w:p w14:paraId="244DFEC1" w14:textId="5F32EB82" w:rsidR="00D61758" w:rsidRDefault="00D61758" w:rsidP="00D61758">
      <w:pPr>
        <w:pStyle w:val="Textoindependiente"/>
        <w:spacing w:line="291" w:lineRule="exact"/>
        <w:rPr>
          <w:spacing w:val="-2"/>
          <w:w w:val="120"/>
        </w:rPr>
      </w:pPr>
    </w:p>
    <w:p w14:paraId="3F81B950" w14:textId="6EAEF8CB" w:rsidR="00D61758" w:rsidRDefault="00D61758" w:rsidP="00D61758">
      <w:pPr>
        <w:pStyle w:val="Textoindependiente"/>
        <w:spacing w:line="291" w:lineRule="exact"/>
        <w:rPr>
          <w:spacing w:val="-2"/>
          <w:w w:val="120"/>
        </w:rPr>
      </w:pPr>
    </w:p>
    <w:p w14:paraId="498B6F91" w14:textId="0543F634" w:rsidR="00D61758" w:rsidRDefault="00D61758" w:rsidP="00D61758">
      <w:pPr>
        <w:pStyle w:val="Textoindependiente"/>
        <w:spacing w:line="291" w:lineRule="exact"/>
        <w:rPr>
          <w:spacing w:val="-2"/>
          <w:w w:val="120"/>
        </w:rPr>
      </w:pPr>
    </w:p>
    <w:p w14:paraId="1B48EB48" w14:textId="5776DA15" w:rsidR="00D61758" w:rsidRDefault="00D61758" w:rsidP="00D61758">
      <w:pPr>
        <w:pStyle w:val="Textoindependiente"/>
        <w:spacing w:line="291" w:lineRule="exact"/>
        <w:rPr>
          <w:spacing w:val="-2"/>
          <w:w w:val="120"/>
        </w:rPr>
      </w:pPr>
    </w:p>
    <w:p w14:paraId="059948ED" w14:textId="648F51C9" w:rsidR="00D61758" w:rsidRDefault="00D61758" w:rsidP="00D61758">
      <w:pPr>
        <w:pStyle w:val="Textoindependiente"/>
        <w:spacing w:line="291" w:lineRule="exact"/>
        <w:rPr>
          <w:spacing w:val="-2"/>
          <w:w w:val="120"/>
        </w:rPr>
      </w:pPr>
    </w:p>
    <w:p w14:paraId="694173DE" w14:textId="0F07026A" w:rsidR="00D61758" w:rsidRDefault="00D61758" w:rsidP="00D61758">
      <w:pPr>
        <w:pStyle w:val="Textoindependiente"/>
        <w:spacing w:line="291" w:lineRule="exact"/>
        <w:rPr>
          <w:spacing w:val="-2"/>
          <w:w w:val="120"/>
        </w:rPr>
      </w:pPr>
    </w:p>
    <w:p w14:paraId="1AF44C2A" w14:textId="291AAED1" w:rsidR="00D61758" w:rsidRDefault="00D61758" w:rsidP="00D61758">
      <w:pPr>
        <w:pStyle w:val="Textoindependiente"/>
        <w:spacing w:line="291" w:lineRule="exact"/>
        <w:rPr>
          <w:spacing w:val="-2"/>
          <w:w w:val="120"/>
        </w:rPr>
      </w:pPr>
    </w:p>
    <w:p w14:paraId="3519AF89" w14:textId="77777777" w:rsidR="00A127CA" w:rsidRDefault="00A127CA" w:rsidP="00A127CA">
      <w:pPr>
        <w:spacing w:before="307"/>
        <w:rPr>
          <w:b/>
          <w:color w:val="000072"/>
          <w:w w:val="125"/>
          <w:sz w:val="34"/>
        </w:rPr>
      </w:pPr>
    </w:p>
    <w:p w14:paraId="2EA48C75" w14:textId="0AEEAA0E" w:rsidR="00D61758" w:rsidRPr="00A127CA" w:rsidRDefault="00D61758" w:rsidP="00A127CA">
      <w:pPr>
        <w:spacing w:before="307"/>
        <w:ind w:firstLine="708"/>
      </w:pPr>
      <w:r>
        <w:rPr>
          <w:b/>
          <w:color w:val="000072"/>
          <w:w w:val="125"/>
          <w:sz w:val="34"/>
        </w:rPr>
        <w:t>Ficha</w:t>
      </w:r>
      <w:r>
        <w:rPr>
          <w:b/>
          <w:color w:val="000072"/>
          <w:spacing w:val="16"/>
          <w:w w:val="125"/>
          <w:sz w:val="34"/>
        </w:rPr>
        <w:t xml:space="preserve"> </w:t>
      </w:r>
      <w:r>
        <w:rPr>
          <w:b/>
          <w:color w:val="000072"/>
          <w:w w:val="125"/>
          <w:sz w:val="34"/>
        </w:rPr>
        <w:t>Del</w:t>
      </w:r>
      <w:r>
        <w:rPr>
          <w:b/>
          <w:color w:val="000072"/>
          <w:spacing w:val="16"/>
          <w:w w:val="125"/>
          <w:sz w:val="34"/>
        </w:rPr>
        <w:t xml:space="preserve"> </w:t>
      </w:r>
      <w:r>
        <w:rPr>
          <w:b/>
          <w:color w:val="000072"/>
          <w:w w:val="125"/>
          <w:sz w:val="34"/>
        </w:rPr>
        <w:t>Trabajo</w:t>
      </w:r>
    </w:p>
    <w:p w14:paraId="79AD3772" w14:textId="77777777" w:rsidR="00D61758" w:rsidRDefault="00D61758" w:rsidP="00D61758">
      <w:pPr>
        <w:pStyle w:val="Textoindependiente"/>
        <w:spacing w:before="210" w:after="1"/>
        <w:rPr>
          <w:b/>
          <w:sz w:val="20"/>
        </w:rPr>
      </w:pPr>
    </w:p>
    <w:tbl>
      <w:tblPr>
        <w:tblStyle w:val="TableNormal"/>
        <w:tblW w:w="0" w:type="auto"/>
        <w:tblInd w:w="638"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1E0" w:firstRow="1" w:lastRow="1" w:firstColumn="1" w:lastColumn="1" w:noHBand="0" w:noVBand="0"/>
      </w:tblPr>
      <w:tblGrid>
        <w:gridCol w:w="3838"/>
        <w:gridCol w:w="5965"/>
      </w:tblGrid>
      <w:tr w:rsidR="00D61758" w14:paraId="62652067" w14:textId="77777777" w:rsidTr="00B072CB">
        <w:trPr>
          <w:trHeight w:val="574"/>
        </w:trPr>
        <w:tc>
          <w:tcPr>
            <w:tcW w:w="3838" w:type="dxa"/>
          </w:tcPr>
          <w:p w14:paraId="0535138B" w14:textId="77777777" w:rsidR="00D61758" w:rsidRDefault="00D61758" w:rsidP="00B072CB">
            <w:pPr>
              <w:pStyle w:val="TableParagraph"/>
              <w:ind w:left="0" w:right="86"/>
              <w:jc w:val="right"/>
              <w:rPr>
                <w:b/>
              </w:rPr>
            </w:pPr>
            <w:r>
              <w:rPr>
                <w:b/>
                <w:color w:val="000072"/>
                <w:spacing w:val="-13"/>
                <w:w w:val="143"/>
              </w:rPr>
              <w:t>T</w:t>
            </w:r>
            <w:r>
              <w:rPr>
                <w:b/>
                <w:color w:val="000072"/>
                <w:spacing w:val="-88"/>
                <w:w w:val="172"/>
              </w:rPr>
              <w:t>´</w:t>
            </w:r>
            <w:r>
              <w:rPr>
                <w:b/>
                <w:color w:val="000072"/>
                <w:spacing w:val="17"/>
                <w:w w:val="112"/>
              </w:rPr>
              <w:t>ı</w:t>
            </w:r>
            <w:r>
              <w:rPr>
                <w:b/>
                <w:color w:val="000072"/>
                <w:spacing w:val="17"/>
                <w:w w:val="111"/>
              </w:rPr>
              <w:t>t</w:t>
            </w:r>
            <w:r>
              <w:rPr>
                <w:b/>
                <w:color w:val="000072"/>
                <w:spacing w:val="17"/>
                <w:w w:val="99"/>
              </w:rPr>
              <w:t>ulo</w:t>
            </w:r>
            <w:r>
              <w:rPr>
                <w:b/>
                <w:color w:val="000072"/>
                <w:w w:val="120"/>
              </w:rPr>
              <w:t xml:space="preserve"> </w:t>
            </w:r>
            <w:r>
              <w:rPr>
                <w:b/>
                <w:color w:val="000072"/>
                <w:spacing w:val="-2"/>
                <w:w w:val="120"/>
              </w:rPr>
              <w:t>del</w:t>
            </w:r>
            <w:r>
              <w:rPr>
                <w:b/>
                <w:color w:val="000072"/>
                <w:spacing w:val="1"/>
                <w:w w:val="120"/>
              </w:rPr>
              <w:t xml:space="preserve"> </w:t>
            </w:r>
            <w:r>
              <w:rPr>
                <w:b/>
                <w:color w:val="000072"/>
                <w:spacing w:val="-2"/>
                <w:w w:val="120"/>
              </w:rPr>
              <w:t>trabajo:</w:t>
            </w:r>
          </w:p>
        </w:tc>
        <w:tc>
          <w:tcPr>
            <w:tcW w:w="5965" w:type="dxa"/>
            <w:shd w:val="clear" w:color="auto" w:fill="E5E5E5"/>
          </w:tcPr>
          <w:p w14:paraId="603B6A2D" w14:textId="77777777" w:rsidR="00D61758" w:rsidRDefault="00D61758" w:rsidP="00B072CB">
            <w:pPr>
              <w:pStyle w:val="TableParagraph"/>
              <w:spacing w:line="291" w:lineRule="exact"/>
            </w:pPr>
            <w:r w:rsidRPr="00085065">
              <w:rPr>
                <w:w w:val="105"/>
              </w:rPr>
              <w:t>Supervivencia en Cáncer de Mama y Pulmón: Identificación de Biomarcadores Genómicos Pronósticos mediante Modelos Estadísticos Avanzados y Validación Cruzada en Cohortes Independientes</w:t>
            </w:r>
          </w:p>
        </w:tc>
      </w:tr>
      <w:tr w:rsidR="00D61758" w14:paraId="25EA3F5F" w14:textId="77777777" w:rsidTr="00B072CB">
        <w:trPr>
          <w:trHeight w:val="285"/>
        </w:trPr>
        <w:tc>
          <w:tcPr>
            <w:tcW w:w="3838" w:type="dxa"/>
          </w:tcPr>
          <w:p w14:paraId="5C990A60" w14:textId="77777777" w:rsidR="00D61758" w:rsidRDefault="00D61758" w:rsidP="00B072CB">
            <w:pPr>
              <w:pStyle w:val="TableParagraph"/>
              <w:ind w:left="0" w:right="86"/>
              <w:jc w:val="right"/>
              <w:rPr>
                <w:b/>
              </w:rPr>
            </w:pPr>
            <w:r>
              <w:rPr>
                <w:b/>
                <w:color w:val="000072"/>
                <w:w w:val="115"/>
              </w:rPr>
              <w:t>Nombre</w:t>
            </w:r>
            <w:r>
              <w:rPr>
                <w:b/>
                <w:color w:val="000072"/>
                <w:spacing w:val="21"/>
                <w:w w:val="115"/>
              </w:rPr>
              <w:t xml:space="preserve"> </w:t>
            </w:r>
            <w:r>
              <w:rPr>
                <w:b/>
                <w:color w:val="000072"/>
                <w:w w:val="115"/>
              </w:rPr>
              <w:t>del</w:t>
            </w:r>
            <w:r>
              <w:rPr>
                <w:b/>
                <w:color w:val="000072"/>
                <w:spacing w:val="21"/>
                <w:w w:val="115"/>
              </w:rPr>
              <w:t xml:space="preserve"> </w:t>
            </w:r>
            <w:r>
              <w:rPr>
                <w:b/>
                <w:color w:val="000072"/>
                <w:spacing w:val="-2"/>
                <w:w w:val="115"/>
              </w:rPr>
              <w:t>autor/a:</w:t>
            </w:r>
          </w:p>
        </w:tc>
        <w:tc>
          <w:tcPr>
            <w:tcW w:w="5965" w:type="dxa"/>
            <w:shd w:val="clear" w:color="auto" w:fill="E5E5E5"/>
          </w:tcPr>
          <w:p w14:paraId="762FE17C" w14:textId="77777777" w:rsidR="00D61758" w:rsidRDefault="00D61758" w:rsidP="00B072CB">
            <w:pPr>
              <w:pStyle w:val="TableParagraph"/>
            </w:pPr>
            <w:r>
              <w:rPr>
                <w:w w:val="105"/>
              </w:rPr>
              <w:t>Julio Úbeda Quesada</w:t>
            </w:r>
          </w:p>
        </w:tc>
      </w:tr>
      <w:tr w:rsidR="00D61758" w14:paraId="1DEA4DA5" w14:textId="77777777" w:rsidTr="00B072CB">
        <w:trPr>
          <w:trHeight w:val="285"/>
        </w:trPr>
        <w:tc>
          <w:tcPr>
            <w:tcW w:w="3838" w:type="dxa"/>
          </w:tcPr>
          <w:p w14:paraId="268DD397" w14:textId="77777777" w:rsidR="00D61758" w:rsidRDefault="00D61758" w:rsidP="00B072CB">
            <w:pPr>
              <w:pStyle w:val="TableParagraph"/>
              <w:ind w:left="0" w:right="85"/>
              <w:jc w:val="right"/>
              <w:rPr>
                <w:b/>
              </w:rPr>
            </w:pPr>
            <w:r>
              <w:rPr>
                <w:b/>
                <w:color w:val="000072"/>
                <w:spacing w:val="-2"/>
                <w:w w:val="120"/>
              </w:rPr>
              <w:t>Nombre</w:t>
            </w:r>
            <w:r>
              <w:rPr>
                <w:b/>
                <w:color w:val="000072"/>
                <w:spacing w:val="3"/>
                <w:w w:val="120"/>
              </w:rPr>
              <w:t xml:space="preserve"> </w:t>
            </w:r>
            <w:r>
              <w:rPr>
                <w:b/>
                <w:color w:val="000072"/>
                <w:spacing w:val="-2"/>
                <w:w w:val="120"/>
              </w:rPr>
              <w:t>del</w:t>
            </w:r>
            <w:r>
              <w:rPr>
                <w:b/>
                <w:color w:val="000072"/>
                <w:spacing w:val="3"/>
                <w:w w:val="120"/>
              </w:rPr>
              <w:t xml:space="preserve"> </w:t>
            </w:r>
            <w:r>
              <w:rPr>
                <w:b/>
                <w:color w:val="000072"/>
                <w:spacing w:val="-2"/>
                <w:w w:val="120"/>
              </w:rPr>
              <w:t>director/a</w:t>
            </w:r>
            <w:r>
              <w:rPr>
                <w:b/>
                <w:color w:val="000072"/>
                <w:spacing w:val="4"/>
                <w:w w:val="120"/>
              </w:rPr>
              <w:t xml:space="preserve"> </w:t>
            </w:r>
            <w:r>
              <w:rPr>
                <w:b/>
                <w:color w:val="000072"/>
                <w:spacing w:val="-2"/>
                <w:w w:val="120"/>
              </w:rPr>
              <w:t>de</w:t>
            </w:r>
            <w:r>
              <w:rPr>
                <w:b/>
                <w:color w:val="000072"/>
                <w:spacing w:val="3"/>
                <w:w w:val="120"/>
              </w:rPr>
              <w:t xml:space="preserve"> </w:t>
            </w:r>
            <w:r>
              <w:rPr>
                <w:b/>
                <w:color w:val="000072"/>
                <w:spacing w:val="-5"/>
                <w:w w:val="120"/>
              </w:rPr>
              <w:t>TF:</w:t>
            </w:r>
          </w:p>
        </w:tc>
        <w:tc>
          <w:tcPr>
            <w:tcW w:w="5965" w:type="dxa"/>
            <w:shd w:val="clear" w:color="auto" w:fill="E5E5E5"/>
          </w:tcPr>
          <w:p w14:paraId="29FB048D" w14:textId="77777777" w:rsidR="00D61758" w:rsidRDefault="00D61758" w:rsidP="00B072CB">
            <w:pPr>
              <w:pStyle w:val="TableParagraph"/>
            </w:pPr>
            <w:r w:rsidRPr="00085065">
              <w:rPr>
                <w:w w:val="105"/>
              </w:rPr>
              <w:t>Antonio Ruiz Falco Rojas</w:t>
            </w:r>
          </w:p>
        </w:tc>
      </w:tr>
      <w:tr w:rsidR="00D61758" w14:paraId="1DC22C7B" w14:textId="77777777" w:rsidTr="00B072CB">
        <w:trPr>
          <w:trHeight w:val="285"/>
        </w:trPr>
        <w:tc>
          <w:tcPr>
            <w:tcW w:w="3838" w:type="dxa"/>
          </w:tcPr>
          <w:p w14:paraId="40B1842A" w14:textId="77777777" w:rsidR="00D61758" w:rsidRDefault="00D61758" w:rsidP="00B072CB">
            <w:pPr>
              <w:pStyle w:val="TableParagraph"/>
              <w:ind w:left="0" w:right="86"/>
              <w:jc w:val="right"/>
              <w:rPr>
                <w:b/>
              </w:rPr>
            </w:pPr>
            <w:r>
              <w:rPr>
                <w:b/>
                <w:color w:val="000072"/>
                <w:spacing w:val="-2"/>
                <w:w w:val="120"/>
              </w:rPr>
              <w:t>Nombre</w:t>
            </w:r>
            <w:r>
              <w:rPr>
                <w:b/>
                <w:color w:val="000072"/>
                <w:w w:val="120"/>
              </w:rPr>
              <w:t xml:space="preserve"> </w:t>
            </w:r>
            <w:r>
              <w:rPr>
                <w:b/>
                <w:color w:val="000072"/>
                <w:spacing w:val="-2"/>
                <w:w w:val="120"/>
              </w:rPr>
              <w:t>del/de</w:t>
            </w:r>
            <w:r>
              <w:rPr>
                <w:b/>
                <w:color w:val="000072"/>
                <w:spacing w:val="1"/>
                <w:w w:val="120"/>
              </w:rPr>
              <w:t xml:space="preserve"> </w:t>
            </w:r>
            <w:r>
              <w:rPr>
                <w:b/>
                <w:color w:val="000072"/>
                <w:spacing w:val="-2"/>
                <w:w w:val="120"/>
              </w:rPr>
              <w:t>la</w:t>
            </w:r>
            <w:r>
              <w:rPr>
                <w:b/>
                <w:color w:val="000072"/>
                <w:spacing w:val="1"/>
                <w:w w:val="120"/>
              </w:rPr>
              <w:t xml:space="preserve"> </w:t>
            </w:r>
            <w:r>
              <w:rPr>
                <w:b/>
                <w:color w:val="000072"/>
                <w:spacing w:val="-4"/>
                <w:w w:val="120"/>
              </w:rPr>
              <w:t>PRA:</w:t>
            </w:r>
          </w:p>
        </w:tc>
        <w:tc>
          <w:tcPr>
            <w:tcW w:w="5965" w:type="dxa"/>
            <w:shd w:val="clear" w:color="auto" w:fill="E5E5E5"/>
          </w:tcPr>
          <w:p w14:paraId="75281533" w14:textId="77777777" w:rsidR="00D61758" w:rsidRDefault="00D61758" w:rsidP="00B072CB">
            <w:pPr>
              <w:pStyle w:val="TableParagraph"/>
            </w:pPr>
            <w:r w:rsidRPr="00085065">
              <w:t>Laia Subirats Maté</w:t>
            </w:r>
          </w:p>
        </w:tc>
      </w:tr>
      <w:tr w:rsidR="00D61758" w14:paraId="73AAEFB3" w14:textId="77777777" w:rsidTr="00B072CB">
        <w:trPr>
          <w:trHeight w:val="285"/>
        </w:trPr>
        <w:tc>
          <w:tcPr>
            <w:tcW w:w="3838" w:type="dxa"/>
          </w:tcPr>
          <w:p w14:paraId="3D313457" w14:textId="77777777" w:rsidR="00D61758" w:rsidRDefault="00D61758" w:rsidP="00B072CB">
            <w:pPr>
              <w:pStyle w:val="TableParagraph"/>
              <w:ind w:left="0" w:right="86"/>
              <w:jc w:val="right"/>
              <w:rPr>
                <w:b/>
              </w:rPr>
            </w:pPr>
            <w:r>
              <w:rPr>
                <w:b/>
                <w:color w:val="000072"/>
                <w:w w:val="115"/>
              </w:rPr>
              <w:t>Fecha</w:t>
            </w:r>
            <w:r>
              <w:rPr>
                <w:b/>
                <w:color w:val="000072"/>
                <w:spacing w:val="15"/>
                <w:w w:val="115"/>
              </w:rPr>
              <w:t xml:space="preserve"> </w:t>
            </w:r>
            <w:r>
              <w:rPr>
                <w:b/>
                <w:color w:val="000072"/>
                <w:w w:val="115"/>
              </w:rPr>
              <w:t>de</w:t>
            </w:r>
            <w:r>
              <w:rPr>
                <w:b/>
                <w:color w:val="000072"/>
                <w:spacing w:val="16"/>
                <w:w w:val="115"/>
              </w:rPr>
              <w:t xml:space="preserve"> </w:t>
            </w:r>
            <w:r>
              <w:rPr>
                <w:b/>
                <w:color w:val="000072"/>
                <w:spacing w:val="-2"/>
                <w:w w:val="115"/>
              </w:rPr>
              <w:t>entrega:</w:t>
            </w:r>
          </w:p>
        </w:tc>
        <w:tc>
          <w:tcPr>
            <w:tcW w:w="5965" w:type="dxa"/>
            <w:shd w:val="clear" w:color="auto" w:fill="E5E5E5"/>
          </w:tcPr>
          <w:p w14:paraId="23B1B64A" w14:textId="2C0987F3" w:rsidR="00D61758" w:rsidRDefault="003466DE" w:rsidP="00B072CB">
            <w:pPr>
              <w:pStyle w:val="TableParagraph"/>
            </w:pPr>
            <w:r>
              <w:t>XX</w:t>
            </w:r>
            <w:r w:rsidR="00D61758">
              <w:rPr>
                <w:spacing w:val="9"/>
              </w:rPr>
              <w:t xml:space="preserve"> </w:t>
            </w:r>
            <w:r w:rsidR="00D61758">
              <w:t>de</w:t>
            </w:r>
            <w:r w:rsidR="00D61758">
              <w:rPr>
                <w:spacing w:val="9"/>
              </w:rPr>
              <w:t xml:space="preserve"> </w:t>
            </w:r>
            <w:r>
              <w:t>XX</w:t>
            </w:r>
            <w:r w:rsidR="00D61758">
              <w:rPr>
                <w:spacing w:val="9"/>
              </w:rPr>
              <w:t xml:space="preserve"> </w:t>
            </w:r>
            <w:r w:rsidR="00D61758">
              <w:t>de</w:t>
            </w:r>
            <w:r w:rsidR="00D61758">
              <w:rPr>
                <w:spacing w:val="9"/>
              </w:rPr>
              <w:t xml:space="preserve"> </w:t>
            </w:r>
            <w:r w:rsidR="00D61758">
              <w:rPr>
                <w:spacing w:val="-4"/>
              </w:rPr>
              <w:t>2026</w:t>
            </w:r>
          </w:p>
        </w:tc>
      </w:tr>
      <w:tr w:rsidR="00D61758" w14:paraId="35165958" w14:textId="77777777" w:rsidTr="00B072CB">
        <w:trPr>
          <w:trHeight w:val="285"/>
        </w:trPr>
        <w:tc>
          <w:tcPr>
            <w:tcW w:w="3838" w:type="dxa"/>
          </w:tcPr>
          <w:p w14:paraId="7FBA966B" w14:textId="77777777" w:rsidR="00D61758" w:rsidRDefault="00D61758" w:rsidP="00B072CB">
            <w:pPr>
              <w:pStyle w:val="TableParagraph"/>
              <w:ind w:left="0" w:right="87"/>
              <w:jc w:val="right"/>
              <w:rPr>
                <w:b/>
              </w:rPr>
            </w:pPr>
            <w:r>
              <w:rPr>
                <w:b/>
                <w:color w:val="000072"/>
                <w:spacing w:val="10"/>
                <w:w w:val="117"/>
              </w:rPr>
              <w:t>Titulaci</w:t>
            </w:r>
            <w:r>
              <w:rPr>
                <w:b/>
                <w:color w:val="000072"/>
                <w:spacing w:val="-125"/>
                <w:w w:val="96"/>
              </w:rPr>
              <w:t>o</w:t>
            </w:r>
            <w:r>
              <w:rPr>
                <w:b/>
                <w:color w:val="000072"/>
                <w:spacing w:val="9"/>
                <w:w w:val="178"/>
              </w:rPr>
              <w:t>´</w:t>
            </w:r>
            <w:r>
              <w:rPr>
                <w:b/>
                <w:color w:val="000072"/>
                <w:spacing w:val="10"/>
                <w:w w:val="108"/>
              </w:rPr>
              <w:t>n</w:t>
            </w:r>
            <w:r>
              <w:rPr>
                <w:b/>
                <w:color w:val="000072"/>
                <w:spacing w:val="1"/>
                <w:w w:val="120"/>
              </w:rPr>
              <w:t xml:space="preserve"> </w:t>
            </w:r>
            <w:r>
              <w:rPr>
                <w:b/>
                <w:color w:val="000072"/>
                <w:spacing w:val="-2"/>
                <w:w w:val="120"/>
              </w:rPr>
              <w:t>o</w:t>
            </w:r>
            <w:r>
              <w:rPr>
                <w:b/>
                <w:color w:val="000072"/>
                <w:spacing w:val="2"/>
                <w:w w:val="120"/>
              </w:rPr>
              <w:t xml:space="preserve"> </w:t>
            </w:r>
            <w:r>
              <w:rPr>
                <w:b/>
                <w:color w:val="000072"/>
                <w:spacing w:val="-2"/>
                <w:w w:val="120"/>
              </w:rPr>
              <w:t>programa:</w:t>
            </w:r>
          </w:p>
        </w:tc>
        <w:tc>
          <w:tcPr>
            <w:tcW w:w="5965" w:type="dxa"/>
            <w:shd w:val="clear" w:color="auto" w:fill="E5E5E5"/>
          </w:tcPr>
          <w:p w14:paraId="34297265" w14:textId="77777777" w:rsidR="00D61758" w:rsidRDefault="00D61758" w:rsidP="00B072CB">
            <w:pPr>
              <w:pStyle w:val="TableParagraph"/>
            </w:pPr>
            <w:r>
              <w:rPr>
                <w:spacing w:val="4"/>
                <w:w w:val="104"/>
              </w:rPr>
              <w:t>M</w:t>
            </w:r>
            <w:r>
              <w:rPr>
                <w:spacing w:val="-113"/>
                <w:w w:val="101"/>
              </w:rPr>
              <w:t>a</w:t>
            </w:r>
            <w:r>
              <w:rPr>
                <w:spacing w:val="4"/>
                <w:w w:val="166"/>
              </w:rPr>
              <w:t>´</w:t>
            </w:r>
            <w:r>
              <w:rPr>
                <w:spacing w:val="4"/>
                <w:w w:val="98"/>
              </w:rPr>
              <w:t>s</w:t>
            </w:r>
            <w:r>
              <w:rPr>
                <w:spacing w:val="4"/>
              </w:rPr>
              <w:t>ter</w:t>
            </w:r>
            <w:r>
              <w:rPr>
                <w:spacing w:val="-2"/>
                <w:w w:val="110"/>
              </w:rPr>
              <w:t xml:space="preserve"> </w:t>
            </w:r>
            <w:r>
              <w:rPr>
                <w:spacing w:val="-12"/>
                <w:w w:val="110"/>
              </w:rPr>
              <w:t>en Ciencia de Datos</w:t>
            </w:r>
          </w:p>
        </w:tc>
      </w:tr>
      <w:tr w:rsidR="00D61758" w14:paraId="7D585891" w14:textId="77777777" w:rsidTr="00B072CB">
        <w:trPr>
          <w:trHeight w:val="309"/>
        </w:trPr>
        <w:tc>
          <w:tcPr>
            <w:tcW w:w="3838" w:type="dxa"/>
          </w:tcPr>
          <w:p w14:paraId="356E57D7" w14:textId="77777777" w:rsidR="00D61758" w:rsidRDefault="00D61758" w:rsidP="00B072CB">
            <w:pPr>
              <w:pStyle w:val="TableParagraph"/>
              <w:spacing w:line="289" w:lineRule="exact"/>
              <w:ind w:left="0" w:right="85"/>
              <w:jc w:val="right"/>
              <w:rPr>
                <w:b/>
              </w:rPr>
            </w:pPr>
            <w:r>
              <w:rPr>
                <w:b/>
                <w:color w:val="000072"/>
                <w:spacing w:val="-144"/>
                <w:w w:val="127"/>
              </w:rPr>
              <w:t>A</w:t>
            </w:r>
            <w:r>
              <w:rPr>
                <w:b/>
                <w:color w:val="000072"/>
                <w:spacing w:val="59"/>
                <w:w w:val="174"/>
                <w:position w:val="6"/>
              </w:rPr>
              <w:t>´</w:t>
            </w:r>
            <w:r>
              <w:rPr>
                <w:b/>
                <w:color w:val="000072"/>
                <w:spacing w:val="25"/>
                <w:w w:val="99"/>
              </w:rPr>
              <w:t>rea</w:t>
            </w:r>
            <w:r>
              <w:rPr>
                <w:b/>
                <w:color w:val="000072"/>
                <w:spacing w:val="-4"/>
                <w:w w:val="119"/>
              </w:rPr>
              <w:t xml:space="preserve"> </w:t>
            </w:r>
            <w:r>
              <w:rPr>
                <w:b/>
                <w:color w:val="000072"/>
                <w:spacing w:val="-2"/>
                <w:w w:val="120"/>
              </w:rPr>
              <w:t>del</w:t>
            </w:r>
            <w:r>
              <w:rPr>
                <w:b/>
                <w:color w:val="000072"/>
                <w:spacing w:val="-3"/>
                <w:w w:val="120"/>
              </w:rPr>
              <w:t xml:space="preserve"> </w:t>
            </w:r>
            <w:r>
              <w:rPr>
                <w:b/>
                <w:color w:val="000072"/>
                <w:spacing w:val="-2"/>
                <w:w w:val="120"/>
              </w:rPr>
              <w:t>trabajo</w:t>
            </w:r>
            <w:r>
              <w:rPr>
                <w:b/>
                <w:color w:val="000072"/>
                <w:spacing w:val="-4"/>
                <w:w w:val="120"/>
              </w:rPr>
              <w:t xml:space="preserve"> </w:t>
            </w:r>
            <w:r>
              <w:rPr>
                <w:b/>
                <w:color w:val="000072"/>
                <w:spacing w:val="-2"/>
                <w:w w:val="120"/>
              </w:rPr>
              <w:t>final:</w:t>
            </w:r>
          </w:p>
        </w:tc>
        <w:tc>
          <w:tcPr>
            <w:tcW w:w="5965" w:type="dxa"/>
            <w:shd w:val="clear" w:color="auto" w:fill="E5E5E5"/>
          </w:tcPr>
          <w:p w14:paraId="652CA8E5" w14:textId="77777777" w:rsidR="00D61758" w:rsidRDefault="00D61758" w:rsidP="00B072CB">
            <w:pPr>
              <w:pStyle w:val="TableParagraph"/>
              <w:spacing w:line="289" w:lineRule="exact"/>
            </w:pPr>
            <w:r>
              <w:t>Medicina</w:t>
            </w:r>
          </w:p>
        </w:tc>
      </w:tr>
      <w:tr w:rsidR="00D61758" w14:paraId="14B85037" w14:textId="77777777" w:rsidTr="00B072CB">
        <w:trPr>
          <w:trHeight w:val="285"/>
        </w:trPr>
        <w:tc>
          <w:tcPr>
            <w:tcW w:w="3838" w:type="dxa"/>
          </w:tcPr>
          <w:p w14:paraId="414AAAC9" w14:textId="77777777" w:rsidR="00D61758" w:rsidRDefault="00D61758" w:rsidP="00B072CB">
            <w:pPr>
              <w:pStyle w:val="TableParagraph"/>
              <w:ind w:left="0" w:right="86"/>
              <w:jc w:val="right"/>
              <w:rPr>
                <w:b/>
              </w:rPr>
            </w:pPr>
            <w:r>
              <w:rPr>
                <w:b/>
                <w:color w:val="000072"/>
                <w:w w:val="115"/>
              </w:rPr>
              <w:t>Idioma</w:t>
            </w:r>
            <w:r>
              <w:rPr>
                <w:b/>
                <w:color w:val="000072"/>
                <w:spacing w:val="29"/>
                <w:w w:val="115"/>
              </w:rPr>
              <w:t xml:space="preserve"> </w:t>
            </w:r>
            <w:r>
              <w:rPr>
                <w:b/>
                <w:color w:val="000072"/>
                <w:w w:val="115"/>
              </w:rPr>
              <w:t>del</w:t>
            </w:r>
            <w:r>
              <w:rPr>
                <w:b/>
                <w:color w:val="000072"/>
                <w:spacing w:val="29"/>
                <w:w w:val="115"/>
              </w:rPr>
              <w:t xml:space="preserve"> </w:t>
            </w:r>
            <w:r>
              <w:rPr>
                <w:b/>
                <w:color w:val="000072"/>
                <w:spacing w:val="-2"/>
                <w:w w:val="115"/>
              </w:rPr>
              <w:t>trabajo:</w:t>
            </w:r>
          </w:p>
        </w:tc>
        <w:tc>
          <w:tcPr>
            <w:tcW w:w="5965" w:type="dxa"/>
            <w:shd w:val="clear" w:color="auto" w:fill="E5E5E5"/>
          </w:tcPr>
          <w:p w14:paraId="6886C173" w14:textId="77777777" w:rsidR="00D61758" w:rsidRDefault="00D61758" w:rsidP="00B072CB">
            <w:pPr>
              <w:pStyle w:val="TableParagraph"/>
            </w:pPr>
            <w:r>
              <w:rPr>
                <w:spacing w:val="-2"/>
                <w:w w:val="105"/>
              </w:rPr>
              <w:t>Castellano</w:t>
            </w:r>
          </w:p>
        </w:tc>
      </w:tr>
      <w:tr w:rsidR="00D61758" w14:paraId="5C4B68C7" w14:textId="77777777" w:rsidTr="00B072CB">
        <w:trPr>
          <w:trHeight w:val="285"/>
        </w:trPr>
        <w:tc>
          <w:tcPr>
            <w:tcW w:w="3838" w:type="dxa"/>
          </w:tcPr>
          <w:p w14:paraId="7DEA15FC" w14:textId="77777777" w:rsidR="00D61758" w:rsidRDefault="00D61758" w:rsidP="00B072CB">
            <w:pPr>
              <w:pStyle w:val="TableParagraph"/>
              <w:ind w:left="0" w:right="86"/>
              <w:jc w:val="right"/>
              <w:rPr>
                <w:b/>
              </w:rPr>
            </w:pPr>
            <w:r>
              <w:rPr>
                <w:b/>
                <w:color w:val="000072"/>
                <w:w w:val="115"/>
              </w:rPr>
              <w:t>Palabras</w:t>
            </w:r>
            <w:r>
              <w:rPr>
                <w:b/>
                <w:color w:val="000072"/>
                <w:spacing w:val="47"/>
                <w:w w:val="115"/>
              </w:rPr>
              <w:t xml:space="preserve"> </w:t>
            </w:r>
            <w:r>
              <w:rPr>
                <w:b/>
                <w:color w:val="000072"/>
                <w:spacing w:val="-2"/>
                <w:w w:val="115"/>
              </w:rPr>
              <w:t>clave:</w:t>
            </w:r>
          </w:p>
        </w:tc>
        <w:tc>
          <w:tcPr>
            <w:tcW w:w="5965" w:type="dxa"/>
            <w:shd w:val="clear" w:color="auto" w:fill="E5E5E5"/>
          </w:tcPr>
          <w:p w14:paraId="185A53BE" w14:textId="77777777" w:rsidR="00D61758" w:rsidRDefault="00D61758" w:rsidP="00B072CB">
            <w:pPr>
              <w:pStyle w:val="TableParagraph"/>
            </w:pPr>
            <w:r>
              <w:rPr>
                <w:w w:val="105"/>
              </w:rPr>
              <w:t>Cáncer de mama, cáncer de pulmón, aprendizaje profundo, factores genéticos, análisis de supervivencia</w:t>
            </w:r>
          </w:p>
        </w:tc>
      </w:tr>
    </w:tbl>
    <w:p w14:paraId="53FF8271" w14:textId="77777777" w:rsidR="00D61758" w:rsidRDefault="00D61758" w:rsidP="00D61758">
      <w:pPr>
        <w:pStyle w:val="TableParagraph"/>
        <w:sectPr w:rsidR="00D61758">
          <w:headerReference w:type="default" r:id="rId11"/>
          <w:footerReference w:type="default" r:id="rId12"/>
          <w:pgSz w:w="12240" w:h="15840"/>
          <w:pgMar w:top="1100" w:right="0" w:bottom="960" w:left="720" w:header="331" w:footer="767" w:gutter="0"/>
          <w:pgNumType w:start="2"/>
          <w:cols w:space="720"/>
        </w:sectPr>
      </w:pPr>
    </w:p>
    <w:p w14:paraId="0C3C1553" w14:textId="77777777" w:rsidR="00D61758" w:rsidRDefault="00D61758" w:rsidP="00D61758">
      <w:pPr>
        <w:pStyle w:val="Textoindependiente"/>
        <w:spacing w:before="147"/>
        <w:rPr>
          <w:b/>
          <w:sz w:val="20"/>
        </w:rPr>
      </w:pPr>
    </w:p>
    <w:p w14:paraId="780AD6AF" w14:textId="77777777" w:rsidR="00D61758" w:rsidRDefault="00D61758" w:rsidP="00D61758">
      <w:pPr>
        <w:pStyle w:val="Textoindependiente"/>
        <w:ind w:left="928"/>
        <w:rPr>
          <w:sz w:val="20"/>
        </w:rPr>
      </w:pPr>
      <w:r>
        <w:rPr>
          <w:noProof/>
          <w:sz w:val="20"/>
        </w:rPr>
        <mc:AlternateContent>
          <mc:Choice Requires="wpg">
            <w:drawing>
              <wp:inline distT="0" distB="0" distL="0" distR="0" wp14:anchorId="351F2073" wp14:editId="0E34081D">
                <wp:extent cx="5588000" cy="4527077"/>
                <wp:effectExtent l="19050" t="19050" r="12700" b="26035"/>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8000" cy="4527077"/>
                          <a:chOff x="18002" y="18002"/>
                          <a:chExt cx="5588000" cy="352548"/>
                        </a:xfrm>
                      </wpg:grpSpPr>
                      <wps:wsp>
                        <wps:cNvPr id="18" name="Textbox 18"/>
                        <wps:cNvSpPr txBox="1"/>
                        <wps:spPr>
                          <a:xfrm>
                            <a:off x="18002" y="54119"/>
                            <a:ext cx="5588000" cy="316431"/>
                          </a:xfrm>
                          <a:prstGeom prst="rect">
                            <a:avLst/>
                          </a:prstGeom>
                          <a:ln w="36004">
                            <a:solidFill>
                              <a:srgbClr val="000000"/>
                            </a:solidFill>
                            <a:prstDash val="solid"/>
                          </a:ln>
                        </wps:spPr>
                        <wps:txbx>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r w:rsidRPr="003466DE">
                                <w:rPr>
                                  <w:i/>
                                  <w:iCs/>
                                </w:rPr>
                                <w:t>The Cancer Genome Atlas</w:t>
                              </w:r>
                              <w:r w:rsidRPr="003466DE">
                                <w:t xml:space="preserve"> (TCGA) y METABRIC (</w:t>
                              </w:r>
                              <w:r w:rsidRPr="003466DE">
                                <w:rPr>
                                  <w:i/>
                                  <w:iCs/>
                                </w:rPr>
                                <w:t>Molecular Taxonomy of Breast Cancer International Consortium</w:t>
                              </w:r>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Se implementarán el estimador de Kaplan-Meier, el modelo de riesgos proporcionales de Cox, Random Survival Forest y el modelo de aprendizaje profundo DeepSurv. La evaluación se realizará mediante métricas estándar como el C-index, el Brier Score y el log-rank test, utilizando validación cruzada k-fold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wps:txbx>
                        <wps:bodyPr wrap="square" lIns="0" tIns="0" rIns="0" bIns="0" rtlCol="0">
                          <a:noAutofit/>
                        </wps:bodyPr>
                      </wps:wsp>
                      <wps:wsp>
                        <wps:cNvPr id="19" name="Textbox 19"/>
                        <wps:cNvSpPr txBox="1"/>
                        <wps:spPr>
                          <a:xfrm>
                            <a:off x="18002" y="18002"/>
                            <a:ext cx="5588000" cy="34148"/>
                          </a:xfrm>
                          <a:prstGeom prst="rect">
                            <a:avLst/>
                          </a:prstGeom>
                          <a:solidFill>
                            <a:srgbClr val="E5E5E5"/>
                          </a:solidFill>
                          <a:ln w="36004">
                            <a:solidFill>
                              <a:srgbClr val="000000"/>
                            </a:solidFill>
                            <a:prstDash val="solid"/>
                          </a:ln>
                        </wps:spPr>
                        <wps:txbx>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wps:txbx>
                        <wps:bodyPr wrap="square" lIns="0" tIns="0" rIns="0" bIns="0" rtlCol="0">
                          <a:noAutofit/>
                        </wps:bodyPr>
                      </wps:wsp>
                    </wpg:wgp>
                  </a:graphicData>
                </a:graphic>
              </wp:inline>
            </w:drawing>
          </mc:Choice>
          <mc:Fallback>
            <w:pict>
              <v:group w14:anchorId="351F2073" id="Group 17" o:spid="_x0000_s1028" style="width:440pt;height:356.45pt;mso-position-horizontal-relative:char;mso-position-vertical-relative:line" coordorigin="180,180" coordsize="5588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">
                <v:shape id="Textbox 18" o:spid="_x0000_s1029" type="#_x0000_t202" style="position:absolute;left:180;top:541;width:55880;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" filled="f" strokeweight="1.0001mm">
                  <v:textbox inset="0,0,0,0">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r w:rsidRPr="003466DE">
                          <w:rPr>
                            <w:i/>
                            <w:iCs/>
                          </w:rPr>
                          <w:t>The Cancer Genome Atlas</w:t>
                        </w:r>
                        <w:r w:rsidRPr="003466DE">
                          <w:t xml:space="preserve"> (TCGA) y METABRIC (</w:t>
                        </w:r>
                        <w:r w:rsidRPr="003466DE">
                          <w:rPr>
                            <w:i/>
                            <w:iCs/>
                          </w:rPr>
                          <w:t>Molecular Taxonomy of Breast Cancer International Consortium</w:t>
                        </w:r>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Se implementarán el estimador de Kaplan-Meier, el modelo de riesgos proporcionales de Cox, Random Survival Forest y el modelo de aprendizaje profundo DeepSurv. La evaluación se realizará mediante métricas estándar como el C-index, el Brier Score y el log-rank test, utilizando validación cruzada k-fold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v:textbox>
                </v:shape>
                <v:shape id="Textbox 19" o:spid="_x0000_s1030" type="#_x0000_t202" style="position:absolute;left:180;top:180;width:55880;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" fillcolor="#e5e5e5" strokeweight="1.0001mm">
                  <v:textbox inset="0,0,0,0">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v:textbox>
                </v:shape>
                <w10:anchorlock/>
              </v:group>
            </w:pict>
          </mc:Fallback>
        </mc:AlternateContent>
      </w:r>
    </w:p>
    <w:p w14:paraId="52DAE6FE"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p w14:paraId="32DC7C03" w14:textId="77777777" w:rsidR="00D61758" w:rsidRDefault="00D61758" w:rsidP="00D61758">
      <w:pPr>
        <w:pStyle w:val="Textoindependiente"/>
        <w:spacing w:before="147"/>
        <w:rPr>
          <w:b/>
          <w:sz w:val="20"/>
        </w:rPr>
      </w:pPr>
    </w:p>
    <w:p w14:paraId="4F8E3B7B" w14:textId="77777777" w:rsidR="00D61758" w:rsidRDefault="00D61758" w:rsidP="00D61758">
      <w:pPr>
        <w:pStyle w:val="Textoindependiente"/>
        <w:ind w:left="928"/>
        <w:rPr>
          <w:sz w:val="20"/>
        </w:rPr>
      </w:pPr>
      <w:r>
        <w:rPr>
          <w:noProof/>
          <w:sz w:val="20"/>
        </w:rPr>
        <mc:AlternateContent>
          <mc:Choice Requires="wpg">
            <w:drawing>
              <wp:inline distT="0" distB="0" distL="0" distR="0" wp14:anchorId="7C8DDC93" wp14:editId="70CAF960">
                <wp:extent cx="5596626" cy="4333875"/>
                <wp:effectExtent l="19050" t="19050" r="23495" b="28575"/>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96626" cy="4333875"/>
                          <a:chOff x="18002" y="18001"/>
                          <a:chExt cx="5596626" cy="3980101"/>
                        </a:xfrm>
                      </wpg:grpSpPr>
                      <wps:wsp>
                        <wps:cNvPr id="21" name="Textbox 21"/>
                        <wps:cNvSpPr txBox="1"/>
                        <wps:spPr>
                          <a:xfrm>
                            <a:off x="26628" y="364182"/>
                            <a:ext cx="5588000" cy="3633920"/>
                          </a:xfrm>
                          <a:prstGeom prst="rect">
                            <a:avLst/>
                          </a:prstGeom>
                          <a:ln w="36004">
                            <a:solidFill>
                              <a:srgbClr val="000000"/>
                            </a:solidFill>
                            <a:prstDash val="solid"/>
                          </a:ln>
                        </wps:spPr>
                        <wps:txbx>
                          <w:txbxContent>
                            <w:p w14:paraId="09659DFD" w14:textId="77777777" w:rsidR="00D61758" w:rsidRDefault="00D61758" w:rsidP="00A127CA">
                              <w:r>
                                <w:t>Cancer remains one of the leading causes of death worldwide, accounting for nearly 10 million deaths in 2022 according to the World Health Organization. The molecular heterogeneity of tumors limits the ability of traditional clinical factors to accurately estimate prognosis and survival. In this context, the increasing availability of high-dimensional genomic data, together with advances in machine learning, creates new opportunities to develop more accurate and personalized prognostic models.</w:t>
                              </w:r>
                            </w:p>
                            <w:p w14:paraId="1A6AB05B" w14:textId="77777777" w:rsidR="00D61758" w:rsidRDefault="00D61758" w:rsidP="00A127CA">
                              <w:r>
                                <w:t>This Master’s Thesis aims to develop, train, and compare different survival analysis models in patients with breast cancer and lung cancer. Genomic data from two independent and widely used research cohorts will be analyzed: The Cancer Genome Atlas and METABRIC (Molecular Taxonomy of Breast Cancer International Consortium). These publicly available and well-documented datasets are extensively used in the scientific literature, ensuring data quality and enabling comparison with previous studies.</w:t>
                              </w:r>
                            </w:p>
                            <w:p w14:paraId="09FC4471" w14:textId="77777777" w:rsidR="00D61758" w:rsidRDefault="00D61758" w:rsidP="00A127CA">
                              <w:r>
                                <w:t>The methodological approach includes the implementation of the Kaplan–Meier estimator, the Cox proportional hazards model, Random Survival Forest, and the deep learning model DeepSurv. Model performance will be evaluated using standard metrics such as the concordance index (C-index), the Brier Score, and the log-rank test, combined with k-fold cross-validation to ensure generalizability. The comparative analysis across cohorts will allow assessment of model robustness and transferability across different population characteristics, contributing to the advancement of precision oncology.</w:t>
                              </w:r>
                            </w:p>
                            <w:p w14:paraId="2DDA4B10" w14:textId="77777777" w:rsidR="00D61758" w:rsidRDefault="00D61758" w:rsidP="00D61758">
                              <w:pPr>
                                <w:spacing w:line="291" w:lineRule="exact"/>
                                <w:ind w:left="119"/>
                              </w:pPr>
                            </w:p>
                          </w:txbxContent>
                        </wps:txbx>
                        <wps:bodyPr wrap="square" lIns="0" tIns="0" rIns="0" bIns="0" rtlCol="0">
                          <a:noAutofit/>
                        </wps:bodyPr>
                      </wps:wsp>
                      <wps:wsp>
                        <wps:cNvPr id="22" name="Textbox 22"/>
                        <wps:cNvSpPr txBox="1"/>
                        <wps:spPr>
                          <a:xfrm>
                            <a:off x="18002" y="18001"/>
                            <a:ext cx="5588000" cy="326006"/>
                          </a:xfrm>
                          <a:prstGeom prst="rect">
                            <a:avLst/>
                          </a:prstGeom>
                          <a:solidFill>
                            <a:srgbClr val="E5E5E5"/>
                          </a:solidFill>
                          <a:ln w="36004">
                            <a:solidFill>
                              <a:srgbClr val="000000"/>
                            </a:solidFill>
                            <a:prstDash val="solid"/>
                          </a:ln>
                        </wps:spPr>
                        <wps:txbx>
                          <w:txbxContent>
                            <w:p w14:paraId="51C7DE99" w14:textId="55F86AF9" w:rsidR="00D61758" w:rsidRDefault="00A127CA" w:rsidP="00D61758">
                              <w:pPr>
                                <w:spacing w:line="267" w:lineRule="exact"/>
                                <w:ind w:left="119"/>
                                <w:rPr>
                                  <w:b/>
                                  <w:color w:val="000000"/>
                                </w:rPr>
                              </w:pPr>
                              <w:r>
                                <w:rPr>
                                  <w:b/>
                                  <w:color w:val="000072"/>
                                  <w:w w:val="115"/>
                                </w:rPr>
                                <w:t>Abstract</w:t>
                              </w:r>
                            </w:p>
                          </w:txbxContent>
                        </wps:txbx>
                        <wps:bodyPr wrap="square" lIns="0" tIns="0" rIns="0" bIns="0" rtlCol="0">
                          <a:noAutofit/>
                        </wps:bodyPr>
                      </wps:wsp>
                    </wpg:wgp>
                  </a:graphicData>
                </a:graphic>
              </wp:inline>
            </w:drawing>
          </mc:Choice>
          <mc:Fallback>
            <w:pict>
              <v:group w14:anchorId="7C8DDC93" id="Group 20" o:spid="_x0000_s1031" style="width:440.7pt;height:341.25pt;mso-position-horizontal-relative:char;mso-position-vertical-relative:line" coordorigin="180,180" coordsize="55966,39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">
                <v:shape id="Textbox 21" o:spid="_x0000_s1032" type="#_x0000_t202" style="position:absolute;left:266;top:3641;width:55880;height:36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" filled="f" strokeweight="1.0001mm">
                  <v:textbox inset="0,0,0,0">
                    <w:txbxContent>
                      <w:p w14:paraId="09659DFD" w14:textId="77777777" w:rsidR="00D61758" w:rsidRDefault="00D61758" w:rsidP="00A127CA">
                        <w:r>
                          <w:t>Cancer remains one of the leading causes of death worldwide, accounting for nearly 10 million deaths in 2022 according to the World Health Organization. The molecular heterogeneity of tumors limits the ability of traditional clinical factors to accurately estimate prognosis and survival. In this context, the increasing availability of high-dimensional genomic data, together with advances in machine learning, creates new opportunities to develop more accurate and personalized prognostic models.</w:t>
                        </w:r>
                      </w:p>
                      <w:p w14:paraId="1A6AB05B" w14:textId="77777777" w:rsidR="00D61758" w:rsidRDefault="00D61758" w:rsidP="00A127CA">
                        <w:r>
                          <w:t>This Master’s Thesis aims to develop, train, and compare different survival analysis models in patients with breast cancer and lung cancer. Genomic data from two independent and widely used research cohorts will be analyzed: The Cancer Genome Atlas and METABRIC (Molecular Taxonomy of Breast Cancer International Consortium). These publicly available and well-documented datasets are extensively used in the scientific literature, ensuring data quality and enabling comparison with previous studies.</w:t>
                        </w:r>
                      </w:p>
                      <w:p w14:paraId="09FC4471" w14:textId="77777777" w:rsidR="00D61758" w:rsidRDefault="00D61758" w:rsidP="00A127CA">
                        <w:r>
                          <w:t>The methodological approach includes the implementation of the Kaplan–Meier estimator, the Cox proportional hazards model, Random Survival Forest, and the deep learning model DeepSurv. Model performance will be evaluated using standard metrics such as the concordance index (C-index), the Brier Score, and the log-rank test, combined with k-fold cross-validation to ensure generalizability. The comparative analysis across cohorts will allow assessment of model robustness and transferability across different population characteristics, contributing to the advancement of precision oncology.</w:t>
                        </w:r>
                      </w:p>
                      <w:p w14:paraId="2DDA4B10" w14:textId="77777777" w:rsidR="00D61758" w:rsidRDefault="00D61758" w:rsidP="00D61758">
                        <w:pPr>
                          <w:spacing w:line="291" w:lineRule="exact"/>
                          <w:ind w:left="119"/>
                        </w:pPr>
                      </w:p>
                    </w:txbxContent>
                  </v:textbox>
                </v:shape>
                <v:shape id="Textbox 22" o:spid="_x0000_s1033" type="#_x0000_t202" style="position:absolute;left:180;top:180;width:55880;height:3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" fillcolor="#e5e5e5" strokeweight="1.0001mm">
                  <v:textbox inset="0,0,0,0">
                    <w:txbxContent>
                      <w:p w14:paraId="51C7DE99" w14:textId="55F86AF9" w:rsidR="00D61758" w:rsidRDefault="00A127CA" w:rsidP="00D61758">
                        <w:pPr>
                          <w:spacing w:line="267" w:lineRule="exact"/>
                          <w:ind w:left="119"/>
                          <w:rPr>
                            <w:b/>
                            <w:color w:val="000000"/>
                          </w:rPr>
                        </w:pPr>
                        <w:r>
                          <w:rPr>
                            <w:b/>
                            <w:color w:val="000072"/>
                            <w:w w:val="115"/>
                          </w:rPr>
                          <w:t>Abstract</w:t>
                        </w:r>
                      </w:p>
                    </w:txbxContent>
                  </v:textbox>
                </v:shape>
                <w10:anchorlock/>
              </v:group>
            </w:pict>
          </mc:Fallback>
        </mc:AlternateContent>
      </w:r>
    </w:p>
    <w:p w14:paraId="1E8CC6F6"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sdt>
      <w:sdtPr>
        <w:rPr>
          <w:rFonts w:ascii="Arial" w:eastAsia="Arial" w:hAnsi="Arial" w:cs="Arial"/>
          <w:color w:val="auto"/>
          <w:sz w:val="22"/>
          <w:szCs w:val="22"/>
        </w:rPr>
        <w:id w:val="-1430351693"/>
        <w:docPartObj>
          <w:docPartGallery w:val="Table of Contents"/>
          <w:docPartUnique/>
        </w:docPartObj>
      </w:sdtPr>
      <w:sdtEndPr>
        <w:rPr>
          <w:rFonts w:asciiTheme="minorHAnsi" w:hAnsiTheme="minorHAnsi"/>
          <w:b/>
          <w:bCs/>
          <w:sz w:val="24"/>
        </w:rPr>
      </w:sdtEndPr>
      <w:sdtContent>
        <w:p w14:paraId="329EFCDD" w14:textId="2AB3F8E0" w:rsidR="004331B9" w:rsidRDefault="004331B9">
          <w:pPr>
            <w:pStyle w:val="TtuloTDC"/>
          </w:pPr>
          <w:r>
            <w:t>Contenido</w:t>
          </w:r>
        </w:p>
        <w:p w14:paraId="706A5BA7" w14:textId="60390CCA" w:rsidR="00F439B4" w:rsidRDefault="004331B9">
          <w:pPr>
            <w:pStyle w:val="TDC2"/>
            <w:tabs>
              <w:tab w:val="right" w:leader="dot" w:pos="8656"/>
            </w:tabs>
            <w:rPr>
              <w:rFonts w:asciiTheme="minorHAnsi" w:eastAsiaTheme="minorEastAsia" w:hAnsiTheme="minorHAnsi" w:cstheme="minorBidi"/>
              <w:noProof/>
              <w:sz w:val="22"/>
              <w:szCs w:val="22"/>
              <w:lang w:eastAsia="es-ES"/>
            </w:rPr>
          </w:pPr>
          <w:r>
            <w:fldChar w:fldCharType="begin"/>
          </w:r>
          <w:r>
            <w:instrText xml:space="preserve"> TOC \o "1-3" \h \z \u </w:instrText>
          </w:r>
          <w:r>
            <w:fldChar w:fldCharType="separate"/>
          </w:r>
          <w:hyperlink w:anchor="_Toc224681489" w:history="1">
            <w:r w:rsidR="00F439B4" w:rsidRPr="001711F6">
              <w:rPr>
                <w:rStyle w:val="Hipervnculo"/>
                <w:noProof/>
              </w:rPr>
              <w:t>2.1 Introducción al capítulo</w:t>
            </w:r>
            <w:r w:rsidR="00F439B4">
              <w:rPr>
                <w:noProof/>
                <w:webHidden/>
              </w:rPr>
              <w:tab/>
            </w:r>
            <w:r w:rsidR="00F439B4">
              <w:rPr>
                <w:noProof/>
                <w:webHidden/>
              </w:rPr>
              <w:fldChar w:fldCharType="begin"/>
            </w:r>
            <w:r w:rsidR="00F439B4">
              <w:rPr>
                <w:noProof/>
                <w:webHidden/>
              </w:rPr>
              <w:instrText xml:space="preserve"> PAGEREF _Toc224681489 \h </w:instrText>
            </w:r>
            <w:r w:rsidR="00F439B4">
              <w:rPr>
                <w:noProof/>
                <w:webHidden/>
              </w:rPr>
            </w:r>
            <w:r w:rsidR="00F439B4">
              <w:rPr>
                <w:noProof/>
                <w:webHidden/>
              </w:rPr>
              <w:fldChar w:fldCharType="separate"/>
            </w:r>
            <w:r w:rsidR="00F439B4">
              <w:rPr>
                <w:noProof/>
                <w:webHidden/>
              </w:rPr>
              <w:t>1</w:t>
            </w:r>
            <w:r w:rsidR="00F439B4">
              <w:rPr>
                <w:noProof/>
                <w:webHidden/>
              </w:rPr>
              <w:fldChar w:fldCharType="end"/>
            </w:r>
          </w:hyperlink>
        </w:p>
        <w:p w14:paraId="3B4B1B44" w14:textId="0A17E37A" w:rsidR="00F439B4" w:rsidRDefault="00B42546">
          <w:pPr>
            <w:pStyle w:val="TDC2"/>
            <w:tabs>
              <w:tab w:val="right" w:leader="dot" w:pos="8656"/>
            </w:tabs>
            <w:rPr>
              <w:rFonts w:asciiTheme="minorHAnsi" w:eastAsiaTheme="minorEastAsia" w:hAnsiTheme="minorHAnsi" w:cstheme="minorBidi"/>
              <w:noProof/>
              <w:sz w:val="22"/>
              <w:szCs w:val="22"/>
              <w:lang w:eastAsia="es-ES"/>
            </w:rPr>
          </w:pPr>
          <w:hyperlink w:anchor="_Toc224681490" w:history="1">
            <w:r w:rsidR="00F439B4" w:rsidRPr="001711F6">
              <w:rPr>
                <w:rStyle w:val="Hipervnculo"/>
                <w:rFonts w:ascii="Arial" w:hAnsi="Arial"/>
                <w:noProof/>
              </w:rPr>
              <w:t>2.2 Evolución histórica de los métodos de análisis de supervivencia</w:t>
            </w:r>
            <w:r w:rsidR="00F439B4">
              <w:rPr>
                <w:noProof/>
                <w:webHidden/>
              </w:rPr>
              <w:tab/>
            </w:r>
            <w:r w:rsidR="00F439B4">
              <w:rPr>
                <w:noProof/>
                <w:webHidden/>
              </w:rPr>
              <w:fldChar w:fldCharType="begin"/>
            </w:r>
            <w:r w:rsidR="00F439B4">
              <w:rPr>
                <w:noProof/>
                <w:webHidden/>
              </w:rPr>
              <w:instrText xml:space="preserve"> PAGEREF _Toc224681490 \h </w:instrText>
            </w:r>
            <w:r w:rsidR="00F439B4">
              <w:rPr>
                <w:noProof/>
                <w:webHidden/>
              </w:rPr>
            </w:r>
            <w:r w:rsidR="00F439B4">
              <w:rPr>
                <w:noProof/>
                <w:webHidden/>
              </w:rPr>
              <w:fldChar w:fldCharType="separate"/>
            </w:r>
            <w:r w:rsidR="00F439B4">
              <w:rPr>
                <w:noProof/>
                <w:webHidden/>
              </w:rPr>
              <w:t>1</w:t>
            </w:r>
            <w:r w:rsidR="00F439B4">
              <w:rPr>
                <w:noProof/>
                <w:webHidden/>
              </w:rPr>
              <w:fldChar w:fldCharType="end"/>
            </w:r>
          </w:hyperlink>
        </w:p>
        <w:p w14:paraId="4B61D472" w14:textId="1CF9FFD1" w:rsidR="00F439B4" w:rsidRDefault="00B42546">
          <w:pPr>
            <w:pStyle w:val="TDC3"/>
            <w:tabs>
              <w:tab w:val="right" w:leader="dot" w:pos="8656"/>
            </w:tabs>
            <w:rPr>
              <w:rFonts w:eastAsiaTheme="minorEastAsia" w:cstheme="minorBidi"/>
              <w:noProof/>
              <w:sz w:val="22"/>
            </w:rPr>
          </w:pPr>
          <w:hyperlink w:anchor="_Toc224681491" w:history="1">
            <w:r w:rsidR="00F439B4" w:rsidRPr="001711F6">
              <w:rPr>
                <w:rStyle w:val="Hipervnculo"/>
                <w:noProof/>
              </w:rPr>
              <w:t>2.2.1 El estimador de Kaplan-Meier</w:t>
            </w:r>
            <w:r w:rsidR="00F439B4">
              <w:rPr>
                <w:noProof/>
                <w:webHidden/>
              </w:rPr>
              <w:tab/>
            </w:r>
            <w:r w:rsidR="00F439B4">
              <w:rPr>
                <w:noProof/>
                <w:webHidden/>
              </w:rPr>
              <w:fldChar w:fldCharType="begin"/>
            </w:r>
            <w:r w:rsidR="00F439B4">
              <w:rPr>
                <w:noProof/>
                <w:webHidden/>
              </w:rPr>
              <w:instrText xml:space="preserve"> PAGEREF _Toc224681491 \h </w:instrText>
            </w:r>
            <w:r w:rsidR="00F439B4">
              <w:rPr>
                <w:noProof/>
                <w:webHidden/>
              </w:rPr>
            </w:r>
            <w:r w:rsidR="00F439B4">
              <w:rPr>
                <w:noProof/>
                <w:webHidden/>
              </w:rPr>
              <w:fldChar w:fldCharType="separate"/>
            </w:r>
            <w:r w:rsidR="00F439B4">
              <w:rPr>
                <w:noProof/>
                <w:webHidden/>
              </w:rPr>
              <w:t>2</w:t>
            </w:r>
            <w:r w:rsidR="00F439B4">
              <w:rPr>
                <w:noProof/>
                <w:webHidden/>
              </w:rPr>
              <w:fldChar w:fldCharType="end"/>
            </w:r>
          </w:hyperlink>
        </w:p>
        <w:p w14:paraId="032003F7" w14:textId="4829616B" w:rsidR="00F439B4" w:rsidRDefault="00B42546">
          <w:pPr>
            <w:pStyle w:val="TDC3"/>
            <w:tabs>
              <w:tab w:val="right" w:leader="dot" w:pos="8656"/>
            </w:tabs>
            <w:rPr>
              <w:rFonts w:eastAsiaTheme="minorEastAsia" w:cstheme="minorBidi"/>
              <w:noProof/>
              <w:sz w:val="22"/>
            </w:rPr>
          </w:pPr>
          <w:hyperlink w:anchor="_Toc224681492" w:history="1">
            <w:r w:rsidR="00F439B4" w:rsidRPr="001711F6">
              <w:rPr>
                <w:rStyle w:val="Hipervnculo"/>
                <w:noProof/>
              </w:rPr>
              <w:t>2.2.2 El modelo de riesgos proporcionales de Cox</w:t>
            </w:r>
            <w:r w:rsidR="00F439B4">
              <w:rPr>
                <w:noProof/>
                <w:webHidden/>
              </w:rPr>
              <w:tab/>
            </w:r>
            <w:r w:rsidR="00F439B4">
              <w:rPr>
                <w:noProof/>
                <w:webHidden/>
              </w:rPr>
              <w:fldChar w:fldCharType="begin"/>
            </w:r>
            <w:r w:rsidR="00F439B4">
              <w:rPr>
                <w:noProof/>
                <w:webHidden/>
              </w:rPr>
              <w:instrText xml:space="preserve"> PAGEREF _Toc224681492 \h </w:instrText>
            </w:r>
            <w:r w:rsidR="00F439B4">
              <w:rPr>
                <w:noProof/>
                <w:webHidden/>
              </w:rPr>
            </w:r>
            <w:r w:rsidR="00F439B4">
              <w:rPr>
                <w:noProof/>
                <w:webHidden/>
              </w:rPr>
              <w:fldChar w:fldCharType="separate"/>
            </w:r>
            <w:r w:rsidR="00F439B4">
              <w:rPr>
                <w:noProof/>
                <w:webHidden/>
              </w:rPr>
              <w:t>2</w:t>
            </w:r>
            <w:r w:rsidR="00F439B4">
              <w:rPr>
                <w:noProof/>
                <w:webHidden/>
              </w:rPr>
              <w:fldChar w:fldCharType="end"/>
            </w:r>
          </w:hyperlink>
        </w:p>
        <w:p w14:paraId="7E44D971" w14:textId="252DC939" w:rsidR="00F439B4" w:rsidRDefault="00B42546">
          <w:pPr>
            <w:pStyle w:val="TDC2"/>
            <w:tabs>
              <w:tab w:val="right" w:leader="dot" w:pos="8656"/>
            </w:tabs>
            <w:rPr>
              <w:rFonts w:asciiTheme="minorHAnsi" w:eastAsiaTheme="minorEastAsia" w:hAnsiTheme="minorHAnsi" w:cstheme="minorBidi"/>
              <w:noProof/>
              <w:sz w:val="22"/>
              <w:szCs w:val="22"/>
              <w:lang w:eastAsia="es-ES"/>
            </w:rPr>
          </w:pPr>
          <w:hyperlink w:anchor="_Toc224681493" w:history="1">
            <w:r w:rsidR="00F439B4" w:rsidRPr="001711F6">
              <w:rPr>
                <w:rStyle w:val="Hipervnculo"/>
                <w:rFonts w:ascii="Arial" w:hAnsi="Arial"/>
                <w:noProof/>
              </w:rPr>
              <w:t>2.3 Métodos de aprendizaje automático para análisis de supervivencia</w:t>
            </w:r>
            <w:r w:rsidR="00F439B4">
              <w:rPr>
                <w:noProof/>
                <w:webHidden/>
              </w:rPr>
              <w:tab/>
            </w:r>
            <w:r w:rsidR="00F439B4">
              <w:rPr>
                <w:noProof/>
                <w:webHidden/>
              </w:rPr>
              <w:fldChar w:fldCharType="begin"/>
            </w:r>
            <w:r w:rsidR="00F439B4">
              <w:rPr>
                <w:noProof/>
                <w:webHidden/>
              </w:rPr>
              <w:instrText xml:space="preserve"> PAGEREF _Toc224681493 \h </w:instrText>
            </w:r>
            <w:r w:rsidR="00F439B4">
              <w:rPr>
                <w:noProof/>
                <w:webHidden/>
              </w:rPr>
            </w:r>
            <w:r w:rsidR="00F439B4">
              <w:rPr>
                <w:noProof/>
                <w:webHidden/>
              </w:rPr>
              <w:fldChar w:fldCharType="separate"/>
            </w:r>
            <w:r w:rsidR="00F439B4">
              <w:rPr>
                <w:noProof/>
                <w:webHidden/>
              </w:rPr>
              <w:t>2</w:t>
            </w:r>
            <w:r w:rsidR="00F439B4">
              <w:rPr>
                <w:noProof/>
                <w:webHidden/>
              </w:rPr>
              <w:fldChar w:fldCharType="end"/>
            </w:r>
          </w:hyperlink>
        </w:p>
        <w:p w14:paraId="3256C588" w14:textId="5776A421" w:rsidR="00F439B4" w:rsidRDefault="00B42546">
          <w:pPr>
            <w:pStyle w:val="TDC3"/>
            <w:tabs>
              <w:tab w:val="right" w:leader="dot" w:pos="8656"/>
            </w:tabs>
            <w:rPr>
              <w:rFonts w:eastAsiaTheme="minorEastAsia" w:cstheme="minorBidi"/>
              <w:noProof/>
              <w:sz w:val="22"/>
            </w:rPr>
          </w:pPr>
          <w:hyperlink w:anchor="_Toc224681494" w:history="1">
            <w:r w:rsidR="00F439B4" w:rsidRPr="001711F6">
              <w:rPr>
                <w:rStyle w:val="Hipervnculo"/>
                <w:noProof/>
              </w:rPr>
              <w:t xml:space="preserve">2.3.1 Motivación del enfoque de </w:t>
            </w:r>
            <w:r w:rsidR="00F439B4" w:rsidRPr="001711F6">
              <w:rPr>
                <w:rStyle w:val="Hipervnculo"/>
                <w:i/>
                <w:iCs/>
                <w:noProof/>
              </w:rPr>
              <w:t>machine learning</w:t>
            </w:r>
            <w:r w:rsidR="00F439B4">
              <w:rPr>
                <w:noProof/>
                <w:webHidden/>
              </w:rPr>
              <w:tab/>
            </w:r>
            <w:r w:rsidR="00F439B4">
              <w:rPr>
                <w:noProof/>
                <w:webHidden/>
              </w:rPr>
              <w:fldChar w:fldCharType="begin"/>
            </w:r>
            <w:r w:rsidR="00F439B4">
              <w:rPr>
                <w:noProof/>
                <w:webHidden/>
              </w:rPr>
              <w:instrText xml:space="preserve"> PAGEREF _Toc224681494 \h </w:instrText>
            </w:r>
            <w:r w:rsidR="00F439B4">
              <w:rPr>
                <w:noProof/>
                <w:webHidden/>
              </w:rPr>
            </w:r>
            <w:r w:rsidR="00F439B4">
              <w:rPr>
                <w:noProof/>
                <w:webHidden/>
              </w:rPr>
              <w:fldChar w:fldCharType="separate"/>
            </w:r>
            <w:r w:rsidR="00F439B4">
              <w:rPr>
                <w:noProof/>
                <w:webHidden/>
              </w:rPr>
              <w:t>2</w:t>
            </w:r>
            <w:r w:rsidR="00F439B4">
              <w:rPr>
                <w:noProof/>
                <w:webHidden/>
              </w:rPr>
              <w:fldChar w:fldCharType="end"/>
            </w:r>
          </w:hyperlink>
        </w:p>
        <w:p w14:paraId="45E4B82A" w14:textId="02879AA7" w:rsidR="00F439B4" w:rsidRDefault="00B42546">
          <w:pPr>
            <w:pStyle w:val="TDC3"/>
            <w:tabs>
              <w:tab w:val="right" w:leader="dot" w:pos="8656"/>
            </w:tabs>
            <w:rPr>
              <w:rFonts w:eastAsiaTheme="minorEastAsia" w:cstheme="minorBidi"/>
              <w:noProof/>
              <w:sz w:val="22"/>
            </w:rPr>
          </w:pPr>
          <w:hyperlink w:anchor="_Toc224681495" w:history="1">
            <w:r w:rsidR="00F439B4" w:rsidRPr="001711F6">
              <w:rPr>
                <w:rStyle w:val="Hipervnculo"/>
                <w:noProof/>
              </w:rPr>
              <w:t>2.3.2 Random Survival Forest</w:t>
            </w:r>
            <w:r w:rsidR="00F439B4">
              <w:rPr>
                <w:noProof/>
                <w:webHidden/>
              </w:rPr>
              <w:tab/>
            </w:r>
            <w:r w:rsidR="00F439B4">
              <w:rPr>
                <w:noProof/>
                <w:webHidden/>
              </w:rPr>
              <w:fldChar w:fldCharType="begin"/>
            </w:r>
            <w:r w:rsidR="00F439B4">
              <w:rPr>
                <w:noProof/>
                <w:webHidden/>
              </w:rPr>
              <w:instrText xml:space="preserve"> PAGEREF _Toc224681495 \h </w:instrText>
            </w:r>
            <w:r w:rsidR="00F439B4">
              <w:rPr>
                <w:noProof/>
                <w:webHidden/>
              </w:rPr>
            </w:r>
            <w:r w:rsidR="00F439B4">
              <w:rPr>
                <w:noProof/>
                <w:webHidden/>
              </w:rPr>
              <w:fldChar w:fldCharType="separate"/>
            </w:r>
            <w:r w:rsidR="00F439B4">
              <w:rPr>
                <w:noProof/>
                <w:webHidden/>
              </w:rPr>
              <w:t>3</w:t>
            </w:r>
            <w:r w:rsidR="00F439B4">
              <w:rPr>
                <w:noProof/>
                <w:webHidden/>
              </w:rPr>
              <w:fldChar w:fldCharType="end"/>
            </w:r>
          </w:hyperlink>
        </w:p>
        <w:p w14:paraId="727A0137" w14:textId="11B4AB63" w:rsidR="00F439B4" w:rsidRDefault="00B42546">
          <w:pPr>
            <w:pStyle w:val="TDC3"/>
            <w:tabs>
              <w:tab w:val="right" w:leader="dot" w:pos="8656"/>
            </w:tabs>
            <w:rPr>
              <w:rFonts w:eastAsiaTheme="minorEastAsia" w:cstheme="minorBidi"/>
              <w:noProof/>
              <w:sz w:val="22"/>
            </w:rPr>
          </w:pPr>
          <w:hyperlink w:anchor="_Toc224681496" w:history="1">
            <w:r w:rsidR="00F439B4" w:rsidRPr="001711F6">
              <w:rPr>
                <w:rStyle w:val="Hipervnculo"/>
                <w:noProof/>
              </w:rPr>
              <w:t>2.3.3 Gradient Boosting para supervivencia</w:t>
            </w:r>
            <w:r w:rsidR="00F439B4">
              <w:rPr>
                <w:noProof/>
                <w:webHidden/>
              </w:rPr>
              <w:tab/>
            </w:r>
            <w:r w:rsidR="00F439B4">
              <w:rPr>
                <w:noProof/>
                <w:webHidden/>
              </w:rPr>
              <w:fldChar w:fldCharType="begin"/>
            </w:r>
            <w:r w:rsidR="00F439B4">
              <w:rPr>
                <w:noProof/>
                <w:webHidden/>
              </w:rPr>
              <w:instrText xml:space="preserve"> PAGEREF _Toc224681496 \h </w:instrText>
            </w:r>
            <w:r w:rsidR="00F439B4">
              <w:rPr>
                <w:noProof/>
                <w:webHidden/>
              </w:rPr>
            </w:r>
            <w:r w:rsidR="00F439B4">
              <w:rPr>
                <w:noProof/>
                <w:webHidden/>
              </w:rPr>
              <w:fldChar w:fldCharType="separate"/>
            </w:r>
            <w:r w:rsidR="00F439B4">
              <w:rPr>
                <w:noProof/>
                <w:webHidden/>
              </w:rPr>
              <w:t>3</w:t>
            </w:r>
            <w:r w:rsidR="00F439B4">
              <w:rPr>
                <w:noProof/>
                <w:webHidden/>
              </w:rPr>
              <w:fldChar w:fldCharType="end"/>
            </w:r>
          </w:hyperlink>
        </w:p>
        <w:p w14:paraId="4D8D92A4" w14:textId="1292F96F" w:rsidR="00F439B4" w:rsidRDefault="00B42546">
          <w:pPr>
            <w:pStyle w:val="TDC2"/>
            <w:tabs>
              <w:tab w:val="right" w:leader="dot" w:pos="8656"/>
            </w:tabs>
            <w:rPr>
              <w:rFonts w:asciiTheme="minorHAnsi" w:eastAsiaTheme="minorEastAsia" w:hAnsiTheme="minorHAnsi" w:cstheme="minorBidi"/>
              <w:noProof/>
              <w:sz w:val="22"/>
              <w:szCs w:val="22"/>
              <w:lang w:eastAsia="es-ES"/>
            </w:rPr>
          </w:pPr>
          <w:hyperlink w:anchor="_Toc224681497" w:history="1">
            <w:r w:rsidR="00F439B4" w:rsidRPr="001711F6">
              <w:rPr>
                <w:rStyle w:val="Hipervnculo"/>
                <w:rFonts w:ascii="Arial" w:hAnsi="Arial"/>
                <w:noProof/>
              </w:rPr>
              <w:t>2.</w:t>
            </w:r>
            <w:r w:rsidR="00F439B4" w:rsidRPr="001711F6">
              <w:rPr>
                <w:rStyle w:val="Hipervnculo"/>
                <w:noProof/>
              </w:rPr>
              <w:t>4</w:t>
            </w:r>
            <w:r w:rsidR="00F439B4" w:rsidRPr="001711F6">
              <w:rPr>
                <w:rStyle w:val="Hipervnculo"/>
                <w:rFonts w:ascii="Arial" w:hAnsi="Arial"/>
                <w:noProof/>
              </w:rPr>
              <w:t xml:space="preserve"> Modelos de aprendizaje profundo para análisis de supervivencia</w:t>
            </w:r>
            <w:r w:rsidR="00F439B4">
              <w:rPr>
                <w:noProof/>
                <w:webHidden/>
              </w:rPr>
              <w:tab/>
            </w:r>
            <w:r w:rsidR="00F439B4">
              <w:rPr>
                <w:noProof/>
                <w:webHidden/>
              </w:rPr>
              <w:fldChar w:fldCharType="begin"/>
            </w:r>
            <w:r w:rsidR="00F439B4">
              <w:rPr>
                <w:noProof/>
                <w:webHidden/>
              </w:rPr>
              <w:instrText xml:space="preserve"> PAGEREF _Toc224681497 \h </w:instrText>
            </w:r>
            <w:r w:rsidR="00F439B4">
              <w:rPr>
                <w:noProof/>
                <w:webHidden/>
              </w:rPr>
            </w:r>
            <w:r w:rsidR="00F439B4">
              <w:rPr>
                <w:noProof/>
                <w:webHidden/>
              </w:rPr>
              <w:fldChar w:fldCharType="separate"/>
            </w:r>
            <w:r w:rsidR="00F439B4">
              <w:rPr>
                <w:noProof/>
                <w:webHidden/>
              </w:rPr>
              <w:t>3</w:t>
            </w:r>
            <w:r w:rsidR="00F439B4">
              <w:rPr>
                <w:noProof/>
                <w:webHidden/>
              </w:rPr>
              <w:fldChar w:fldCharType="end"/>
            </w:r>
          </w:hyperlink>
        </w:p>
        <w:p w14:paraId="4B3F7A90" w14:textId="0170E966" w:rsidR="00F439B4" w:rsidRDefault="00B42546">
          <w:pPr>
            <w:pStyle w:val="TDC3"/>
            <w:tabs>
              <w:tab w:val="right" w:leader="dot" w:pos="8656"/>
            </w:tabs>
            <w:rPr>
              <w:rFonts w:eastAsiaTheme="minorEastAsia" w:cstheme="minorBidi"/>
              <w:noProof/>
              <w:sz w:val="22"/>
            </w:rPr>
          </w:pPr>
          <w:hyperlink w:anchor="_Toc224681498" w:history="1">
            <w:r w:rsidR="00F439B4" w:rsidRPr="001711F6">
              <w:rPr>
                <w:rStyle w:val="Hipervnculo"/>
                <w:noProof/>
              </w:rPr>
              <w:t>2.4.1 DeepSurv</w:t>
            </w:r>
            <w:r w:rsidR="00F439B4">
              <w:rPr>
                <w:noProof/>
                <w:webHidden/>
              </w:rPr>
              <w:tab/>
            </w:r>
            <w:r w:rsidR="00F439B4">
              <w:rPr>
                <w:noProof/>
                <w:webHidden/>
              </w:rPr>
              <w:fldChar w:fldCharType="begin"/>
            </w:r>
            <w:r w:rsidR="00F439B4">
              <w:rPr>
                <w:noProof/>
                <w:webHidden/>
              </w:rPr>
              <w:instrText xml:space="preserve"> PAGEREF _Toc224681498 \h </w:instrText>
            </w:r>
            <w:r w:rsidR="00F439B4">
              <w:rPr>
                <w:noProof/>
                <w:webHidden/>
              </w:rPr>
            </w:r>
            <w:r w:rsidR="00F439B4">
              <w:rPr>
                <w:noProof/>
                <w:webHidden/>
              </w:rPr>
              <w:fldChar w:fldCharType="separate"/>
            </w:r>
            <w:r w:rsidR="00F439B4">
              <w:rPr>
                <w:noProof/>
                <w:webHidden/>
              </w:rPr>
              <w:t>3</w:t>
            </w:r>
            <w:r w:rsidR="00F439B4">
              <w:rPr>
                <w:noProof/>
                <w:webHidden/>
              </w:rPr>
              <w:fldChar w:fldCharType="end"/>
            </w:r>
          </w:hyperlink>
        </w:p>
        <w:p w14:paraId="5D4DD01C" w14:textId="51B7993A" w:rsidR="00F439B4" w:rsidRDefault="00B42546">
          <w:pPr>
            <w:pStyle w:val="TDC3"/>
            <w:tabs>
              <w:tab w:val="right" w:leader="dot" w:pos="8656"/>
            </w:tabs>
            <w:rPr>
              <w:rFonts w:eastAsiaTheme="minorEastAsia" w:cstheme="minorBidi"/>
              <w:noProof/>
              <w:sz w:val="22"/>
            </w:rPr>
          </w:pPr>
          <w:hyperlink w:anchor="_Toc224681499" w:history="1">
            <w:r w:rsidR="00F439B4" w:rsidRPr="001711F6">
              <w:rPr>
                <w:rStyle w:val="Hipervnculo"/>
                <w:noProof/>
              </w:rPr>
              <w:t>2.4.2 SurvivalNet y arquitecturas alternativas</w:t>
            </w:r>
            <w:r w:rsidR="00F439B4">
              <w:rPr>
                <w:noProof/>
                <w:webHidden/>
              </w:rPr>
              <w:tab/>
            </w:r>
            <w:r w:rsidR="00F439B4">
              <w:rPr>
                <w:noProof/>
                <w:webHidden/>
              </w:rPr>
              <w:fldChar w:fldCharType="begin"/>
            </w:r>
            <w:r w:rsidR="00F439B4">
              <w:rPr>
                <w:noProof/>
                <w:webHidden/>
              </w:rPr>
              <w:instrText xml:space="preserve"> PAGEREF _Toc224681499 \h </w:instrText>
            </w:r>
            <w:r w:rsidR="00F439B4">
              <w:rPr>
                <w:noProof/>
                <w:webHidden/>
              </w:rPr>
            </w:r>
            <w:r w:rsidR="00F439B4">
              <w:rPr>
                <w:noProof/>
                <w:webHidden/>
              </w:rPr>
              <w:fldChar w:fldCharType="separate"/>
            </w:r>
            <w:r w:rsidR="00F439B4">
              <w:rPr>
                <w:noProof/>
                <w:webHidden/>
              </w:rPr>
              <w:t>4</w:t>
            </w:r>
            <w:r w:rsidR="00F439B4">
              <w:rPr>
                <w:noProof/>
                <w:webHidden/>
              </w:rPr>
              <w:fldChar w:fldCharType="end"/>
            </w:r>
          </w:hyperlink>
        </w:p>
        <w:p w14:paraId="0D35AE4C" w14:textId="4D7C5B83" w:rsidR="00F439B4" w:rsidRDefault="00B42546">
          <w:pPr>
            <w:pStyle w:val="TDC3"/>
            <w:tabs>
              <w:tab w:val="right" w:leader="dot" w:pos="8656"/>
            </w:tabs>
            <w:rPr>
              <w:rFonts w:eastAsiaTheme="minorEastAsia" w:cstheme="minorBidi"/>
              <w:noProof/>
              <w:sz w:val="22"/>
            </w:rPr>
          </w:pPr>
          <w:hyperlink w:anchor="_Toc224681500" w:history="1">
            <w:r w:rsidR="00F439B4" w:rsidRPr="001711F6">
              <w:rPr>
                <w:rStyle w:val="Hipervnculo"/>
                <w:noProof/>
              </w:rPr>
              <w:t>2.4.3 Pipeline metodológico integrado</w:t>
            </w:r>
            <w:r w:rsidR="00F439B4">
              <w:rPr>
                <w:noProof/>
                <w:webHidden/>
              </w:rPr>
              <w:tab/>
            </w:r>
            <w:r w:rsidR="00F439B4">
              <w:rPr>
                <w:noProof/>
                <w:webHidden/>
              </w:rPr>
              <w:fldChar w:fldCharType="begin"/>
            </w:r>
            <w:r w:rsidR="00F439B4">
              <w:rPr>
                <w:noProof/>
                <w:webHidden/>
              </w:rPr>
              <w:instrText xml:space="preserve"> PAGEREF _Toc224681500 \h </w:instrText>
            </w:r>
            <w:r w:rsidR="00F439B4">
              <w:rPr>
                <w:noProof/>
                <w:webHidden/>
              </w:rPr>
            </w:r>
            <w:r w:rsidR="00F439B4">
              <w:rPr>
                <w:noProof/>
                <w:webHidden/>
              </w:rPr>
              <w:fldChar w:fldCharType="separate"/>
            </w:r>
            <w:r w:rsidR="00F439B4">
              <w:rPr>
                <w:noProof/>
                <w:webHidden/>
              </w:rPr>
              <w:t>4</w:t>
            </w:r>
            <w:r w:rsidR="00F439B4">
              <w:rPr>
                <w:noProof/>
                <w:webHidden/>
              </w:rPr>
              <w:fldChar w:fldCharType="end"/>
            </w:r>
          </w:hyperlink>
        </w:p>
        <w:p w14:paraId="5F6C5134" w14:textId="0A7687D0" w:rsidR="00F439B4" w:rsidRDefault="00B42546">
          <w:pPr>
            <w:pStyle w:val="TDC2"/>
            <w:tabs>
              <w:tab w:val="right" w:leader="dot" w:pos="8656"/>
            </w:tabs>
            <w:rPr>
              <w:rFonts w:asciiTheme="minorHAnsi" w:eastAsiaTheme="minorEastAsia" w:hAnsiTheme="minorHAnsi" w:cstheme="minorBidi"/>
              <w:noProof/>
              <w:sz w:val="22"/>
              <w:szCs w:val="22"/>
              <w:lang w:eastAsia="es-ES"/>
            </w:rPr>
          </w:pPr>
          <w:hyperlink w:anchor="_Toc224681501" w:history="1">
            <w:r w:rsidR="00F439B4" w:rsidRPr="001711F6">
              <w:rPr>
                <w:rStyle w:val="Hipervnculo"/>
                <w:noProof/>
              </w:rPr>
              <w:t>2.5 Datos genómicos en la predicción del pronóstico oncológico</w:t>
            </w:r>
            <w:r w:rsidR="00F439B4">
              <w:rPr>
                <w:noProof/>
                <w:webHidden/>
              </w:rPr>
              <w:tab/>
            </w:r>
            <w:r w:rsidR="00F439B4">
              <w:rPr>
                <w:noProof/>
                <w:webHidden/>
              </w:rPr>
              <w:fldChar w:fldCharType="begin"/>
            </w:r>
            <w:r w:rsidR="00F439B4">
              <w:rPr>
                <w:noProof/>
                <w:webHidden/>
              </w:rPr>
              <w:instrText xml:space="preserve"> PAGEREF _Toc224681501 \h </w:instrText>
            </w:r>
            <w:r w:rsidR="00F439B4">
              <w:rPr>
                <w:noProof/>
                <w:webHidden/>
              </w:rPr>
            </w:r>
            <w:r w:rsidR="00F439B4">
              <w:rPr>
                <w:noProof/>
                <w:webHidden/>
              </w:rPr>
              <w:fldChar w:fldCharType="separate"/>
            </w:r>
            <w:r w:rsidR="00F439B4">
              <w:rPr>
                <w:noProof/>
                <w:webHidden/>
              </w:rPr>
              <w:t>4</w:t>
            </w:r>
            <w:r w:rsidR="00F439B4">
              <w:rPr>
                <w:noProof/>
                <w:webHidden/>
              </w:rPr>
              <w:fldChar w:fldCharType="end"/>
            </w:r>
          </w:hyperlink>
        </w:p>
        <w:p w14:paraId="59742F8D" w14:textId="4ADC77A6" w:rsidR="00F439B4" w:rsidRDefault="00B42546">
          <w:pPr>
            <w:pStyle w:val="TDC3"/>
            <w:tabs>
              <w:tab w:val="right" w:leader="dot" w:pos="8656"/>
            </w:tabs>
            <w:rPr>
              <w:rFonts w:eastAsiaTheme="minorEastAsia" w:cstheme="minorBidi"/>
              <w:noProof/>
              <w:sz w:val="22"/>
            </w:rPr>
          </w:pPr>
          <w:hyperlink w:anchor="_Toc224681502" w:history="1">
            <w:r w:rsidR="00F439B4" w:rsidRPr="001711F6">
              <w:rPr>
                <w:rStyle w:val="Hipervnculo"/>
                <w:noProof/>
              </w:rPr>
              <w:t>2.5.1 El proyecto TCGA y su impacto en la investigación</w:t>
            </w:r>
            <w:r w:rsidR="00F439B4">
              <w:rPr>
                <w:noProof/>
                <w:webHidden/>
              </w:rPr>
              <w:tab/>
            </w:r>
            <w:r w:rsidR="00F439B4">
              <w:rPr>
                <w:noProof/>
                <w:webHidden/>
              </w:rPr>
              <w:fldChar w:fldCharType="begin"/>
            </w:r>
            <w:r w:rsidR="00F439B4">
              <w:rPr>
                <w:noProof/>
                <w:webHidden/>
              </w:rPr>
              <w:instrText xml:space="preserve"> PAGEREF _Toc224681502 \h </w:instrText>
            </w:r>
            <w:r w:rsidR="00F439B4">
              <w:rPr>
                <w:noProof/>
                <w:webHidden/>
              </w:rPr>
            </w:r>
            <w:r w:rsidR="00F439B4">
              <w:rPr>
                <w:noProof/>
                <w:webHidden/>
              </w:rPr>
              <w:fldChar w:fldCharType="separate"/>
            </w:r>
            <w:r w:rsidR="00F439B4">
              <w:rPr>
                <w:noProof/>
                <w:webHidden/>
              </w:rPr>
              <w:t>4</w:t>
            </w:r>
            <w:r w:rsidR="00F439B4">
              <w:rPr>
                <w:noProof/>
                <w:webHidden/>
              </w:rPr>
              <w:fldChar w:fldCharType="end"/>
            </w:r>
          </w:hyperlink>
        </w:p>
        <w:p w14:paraId="59511122" w14:textId="02BA248C" w:rsidR="00F439B4" w:rsidRDefault="00B42546">
          <w:pPr>
            <w:pStyle w:val="TDC3"/>
            <w:tabs>
              <w:tab w:val="right" w:leader="dot" w:pos="8656"/>
            </w:tabs>
            <w:rPr>
              <w:rFonts w:eastAsiaTheme="minorEastAsia" w:cstheme="minorBidi"/>
              <w:noProof/>
              <w:sz w:val="22"/>
            </w:rPr>
          </w:pPr>
          <w:hyperlink w:anchor="_Toc224681503" w:history="1">
            <w:r w:rsidR="00F439B4" w:rsidRPr="001711F6">
              <w:rPr>
                <w:rStyle w:val="Hipervnculo"/>
                <w:noProof/>
              </w:rPr>
              <w:t>2.5.2 El dataset METABRIC</w:t>
            </w:r>
            <w:r w:rsidR="00F439B4">
              <w:rPr>
                <w:noProof/>
                <w:webHidden/>
              </w:rPr>
              <w:tab/>
            </w:r>
            <w:r w:rsidR="00F439B4">
              <w:rPr>
                <w:noProof/>
                <w:webHidden/>
              </w:rPr>
              <w:fldChar w:fldCharType="begin"/>
            </w:r>
            <w:r w:rsidR="00F439B4">
              <w:rPr>
                <w:noProof/>
                <w:webHidden/>
              </w:rPr>
              <w:instrText xml:space="preserve"> PAGEREF _Toc224681503 \h </w:instrText>
            </w:r>
            <w:r w:rsidR="00F439B4">
              <w:rPr>
                <w:noProof/>
                <w:webHidden/>
              </w:rPr>
            </w:r>
            <w:r w:rsidR="00F439B4">
              <w:rPr>
                <w:noProof/>
                <w:webHidden/>
              </w:rPr>
              <w:fldChar w:fldCharType="separate"/>
            </w:r>
            <w:r w:rsidR="00F439B4">
              <w:rPr>
                <w:noProof/>
                <w:webHidden/>
              </w:rPr>
              <w:t>5</w:t>
            </w:r>
            <w:r w:rsidR="00F439B4">
              <w:rPr>
                <w:noProof/>
                <w:webHidden/>
              </w:rPr>
              <w:fldChar w:fldCharType="end"/>
            </w:r>
          </w:hyperlink>
        </w:p>
        <w:p w14:paraId="160B282F" w14:textId="10FEAD9F" w:rsidR="00F439B4" w:rsidRDefault="00B42546">
          <w:pPr>
            <w:pStyle w:val="TDC3"/>
            <w:tabs>
              <w:tab w:val="right" w:leader="dot" w:pos="8656"/>
            </w:tabs>
            <w:rPr>
              <w:rFonts w:eastAsiaTheme="minorEastAsia" w:cstheme="minorBidi"/>
              <w:noProof/>
              <w:sz w:val="22"/>
            </w:rPr>
          </w:pPr>
          <w:hyperlink w:anchor="_Toc224681504" w:history="1">
            <w:r w:rsidR="00F439B4" w:rsidRPr="001711F6">
              <w:rPr>
                <w:rStyle w:val="Hipervnculo"/>
                <w:noProof/>
              </w:rPr>
              <w:t>2.5.3 Tipos de datos genómicos y su contribución pronóstica</w:t>
            </w:r>
            <w:r w:rsidR="00F439B4">
              <w:rPr>
                <w:noProof/>
                <w:webHidden/>
              </w:rPr>
              <w:tab/>
            </w:r>
            <w:r w:rsidR="00F439B4">
              <w:rPr>
                <w:noProof/>
                <w:webHidden/>
              </w:rPr>
              <w:fldChar w:fldCharType="begin"/>
            </w:r>
            <w:r w:rsidR="00F439B4">
              <w:rPr>
                <w:noProof/>
                <w:webHidden/>
              </w:rPr>
              <w:instrText xml:space="preserve"> PAGEREF _Toc224681504 \h </w:instrText>
            </w:r>
            <w:r w:rsidR="00F439B4">
              <w:rPr>
                <w:noProof/>
                <w:webHidden/>
              </w:rPr>
            </w:r>
            <w:r w:rsidR="00F439B4">
              <w:rPr>
                <w:noProof/>
                <w:webHidden/>
              </w:rPr>
              <w:fldChar w:fldCharType="separate"/>
            </w:r>
            <w:r w:rsidR="00F439B4">
              <w:rPr>
                <w:noProof/>
                <w:webHidden/>
              </w:rPr>
              <w:t>5</w:t>
            </w:r>
            <w:r w:rsidR="00F439B4">
              <w:rPr>
                <w:noProof/>
                <w:webHidden/>
              </w:rPr>
              <w:fldChar w:fldCharType="end"/>
            </w:r>
          </w:hyperlink>
        </w:p>
        <w:p w14:paraId="45115CF4" w14:textId="2E343629" w:rsidR="00F439B4" w:rsidRDefault="00B42546">
          <w:pPr>
            <w:pStyle w:val="TDC2"/>
            <w:tabs>
              <w:tab w:val="right" w:leader="dot" w:pos="8656"/>
            </w:tabs>
            <w:rPr>
              <w:rFonts w:asciiTheme="minorHAnsi" w:eastAsiaTheme="minorEastAsia" w:hAnsiTheme="minorHAnsi" w:cstheme="minorBidi"/>
              <w:noProof/>
              <w:sz w:val="22"/>
              <w:szCs w:val="22"/>
              <w:lang w:eastAsia="es-ES"/>
            </w:rPr>
          </w:pPr>
          <w:hyperlink w:anchor="_Toc224681505" w:history="1">
            <w:r w:rsidR="00F439B4" w:rsidRPr="001711F6">
              <w:rPr>
                <w:rStyle w:val="Hipervnculo"/>
                <w:noProof/>
              </w:rPr>
              <w:t>2.6 Estado del arte en cáncer de mama</w:t>
            </w:r>
            <w:r w:rsidR="00F439B4">
              <w:rPr>
                <w:noProof/>
                <w:webHidden/>
              </w:rPr>
              <w:tab/>
            </w:r>
            <w:r w:rsidR="00F439B4">
              <w:rPr>
                <w:noProof/>
                <w:webHidden/>
              </w:rPr>
              <w:fldChar w:fldCharType="begin"/>
            </w:r>
            <w:r w:rsidR="00F439B4">
              <w:rPr>
                <w:noProof/>
                <w:webHidden/>
              </w:rPr>
              <w:instrText xml:space="preserve"> PAGEREF _Toc224681505 \h </w:instrText>
            </w:r>
            <w:r w:rsidR="00F439B4">
              <w:rPr>
                <w:noProof/>
                <w:webHidden/>
              </w:rPr>
            </w:r>
            <w:r w:rsidR="00F439B4">
              <w:rPr>
                <w:noProof/>
                <w:webHidden/>
              </w:rPr>
              <w:fldChar w:fldCharType="separate"/>
            </w:r>
            <w:r w:rsidR="00F439B4">
              <w:rPr>
                <w:noProof/>
                <w:webHidden/>
              </w:rPr>
              <w:t>6</w:t>
            </w:r>
            <w:r w:rsidR="00F439B4">
              <w:rPr>
                <w:noProof/>
                <w:webHidden/>
              </w:rPr>
              <w:fldChar w:fldCharType="end"/>
            </w:r>
          </w:hyperlink>
        </w:p>
        <w:p w14:paraId="4627DA3A" w14:textId="7B56166E" w:rsidR="00F439B4" w:rsidRDefault="00B42546">
          <w:pPr>
            <w:pStyle w:val="TDC3"/>
            <w:tabs>
              <w:tab w:val="right" w:leader="dot" w:pos="8656"/>
            </w:tabs>
            <w:rPr>
              <w:rFonts w:eastAsiaTheme="minorEastAsia" w:cstheme="minorBidi"/>
              <w:noProof/>
              <w:sz w:val="22"/>
            </w:rPr>
          </w:pPr>
          <w:hyperlink w:anchor="_Toc224681506" w:history="1">
            <w:r w:rsidR="00F439B4" w:rsidRPr="001711F6">
              <w:rPr>
                <w:rStyle w:val="Hipervnculo"/>
                <w:noProof/>
              </w:rPr>
              <w:t>2.6.1 Clasificación molecular y pronóstico</w:t>
            </w:r>
            <w:r w:rsidR="00F439B4">
              <w:rPr>
                <w:noProof/>
                <w:webHidden/>
              </w:rPr>
              <w:tab/>
            </w:r>
            <w:r w:rsidR="00F439B4">
              <w:rPr>
                <w:noProof/>
                <w:webHidden/>
              </w:rPr>
              <w:fldChar w:fldCharType="begin"/>
            </w:r>
            <w:r w:rsidR="00F439B4">
              <w:rPr>
                <w:noProof/>
                <w:webHidden/>
              </w:rPr>
              <w:instrText xml:space="preserve"> PAGEREF _Toc224681506 \h </w:instrText>
            </w:r>
            <w:r w:rsidR="00F439B4">
              <w:rPr>
                <w:noProof/>
                <w:webHidden/>
              </w:rPr>
            </w:r>
            <w:r w:rsidR="00F439B4">
              <w:rPr>
                <w:noProof/>
                <w:webHidden/>
              </w:rPr>
              <w:fldChar w:fldCharType="separate"/>
            </w:r>
            <w:r w:rsidR="00F439B4">
              <w:rPr>
                <w:noProof/>
                <w:webHidden/>
              </w:rPr>
              <w:t>6</w:t>
            </w:r>
            <w:r w:rsidR="00F439B4">
              <w:rPr>
                <w:noProof/>
                <w:webHidden/>
              </w:rPr>
              <w:fldChar w:fldCharType="end"/>
            </w:r>
          </w:hyperlink>
        </w:p>
        <w:p w14:paraId="01EBB7E5" w14:textId="5618609C" w:rsidR="00F439B4" w:rsidRDefault="00B42546">
          <w:pPr>
            <w:pStyle w:val="TDC3"/>
            <w:tabs>
              <w:tab w:val="right" w:leader="dot" w:pos="8656"/>
            </w:tabs>
            <w:rPr>
              <w:rFonts w:eastAsiaTheme="minorEastAsia" w:cstheme="minorBidi"/>
              <w:noProof/>
              <w:sz w:val="22"/>
            </w:rPr>
          </w:pPr>
          <w:hyperlink w:anchor="_Toc224681507" w:history="1">
            <w:r w:rsidR="00F439B4" w:rsidRPr="001711F6">
              <w:rPr>
                <w:rStyle w:val="Hipervnculo"/>
                <w:noProof/>
              </w:rPr>
              <w:t>2.6.2 Modelos de supervivencia basados en TCGA-BRCA y/o METABRIC</w:t>
            </w:r>
            <w:r w:rsidR="00F439B4">
              <w:rPr>
                <w:noProof/>
                <w:webHidden/>
              </w:rPr>
              <w:tab/>
            </w:r>
            <w:r w:rsidR="00F439B4">
              <w:rPr>
                <w:noProof/>
                <w:webHidden/>
              </w:rPr>
              <w:fldChar w:fldCharType="begin"/>
            </w:r>
            <w:r w:rsidR="00F439B4">
              <w:rPr>
                <w:noProof/>
                <w:webHidden/>
              </w:rPr>
              <w:instrText xml:space="preserve"> PAGEREF _Toc224681507 \h </w:instrText>
            </w:r>
            <w:r w:rsidR="00F439B4">
              <w:rPr>
                <w:noProof/>
                <w:webHidden/>
              </w:rPr>
            </w:r>
            <w:r w:rsidR="00F439B4">
              <w:rPr>
                <w:noProof/>
                <w:webHidden/>
              </w:rPr>
              <w:fldChar w:fldCharType="separate"/>
            </w:r>
            <w:r w:rsidR="00F439B4">
              <w:rPr>
                <w:noProof/>
                <w:webHidden/>
              </w:rPr>
              <w:t>6</w:t>
            </w:r>
            <w:r w:rsidR="00F439B4">
              <w:rPr>
                <w:noProof/>
                <w:webHidden/>
              </w:rPr>
              <w:fldChar w:fldCharType="end"/>
            </w:r>
          </w:hyperlink>
        </w:p>
        <w:p w14:paraId="4AFA70FB" w14:textId="438FF40A" w:rsidR="00F439B4" w:rsidRDefault="00B42546">
          <w:pPr>
            <w:pStyle w:val="TDC3"/>
            <w:tabs>
              <w:tab w:val="right" w:leader="dot" w:pos="8656"/>
            </w:tabs>
            <w:rPr>
              <w:rFonts w:eastAsiaTheme="minorEastAsia" w:cstheme="minorBidi"/>
              <w:noProof/>
              <w:sz w:val="22"/>
            </w:rPr>
          </w:pPr>
          <w:hyperlink w:anchor="_Toc224681508" w:history="1">
            <w:r w:rsidR="00F439B4" w:rsidRPr="001711F6">
              <w:rPr>
                <w:rStyle w:val="Hipervnculo"/>
                <w:noProof/>
              </w:rPr>
              <w:t>2.6.3 Tabla resumen de estudios en cáncer de mama</w:t>
            </w:r>
            <w:r w:rsidR="00F439B4">
              <w:rPr>
                <w:noProof/>
                <w:webHidden/>
              </w:rPr>
              <w:tab/>
            </w:r>
            <w:r w:rsidR="00F439B4">
              <w:rPr>
                <w:noProof/>
                <w:webHidden/>
              </w:rPr>
              <w:fldChar w:fldCharType="begin"/>
            </w:r>
            <w:r w:rsidR="00F439B4">
              <w:rPr>
                <w:noProof/>
                <w:webHidden/>
              </w:rPr>
              <w:instrText xml:space="preserve"> PAGEREF _Toc224681508 \h </w:instrText>
            </w:r>
            <w:r w:rsidR="00F439B4">
              <w:rPr>
                <w:noProof/>
                <w:webHidden/>
              </w:rPr>
            </w:r>
            <w:r w:rsidR="00F439B4">
              <w:rPr>
                <w:noProof/>
                <w:webHidden/>
              </w:rPr>
              <w:fldChar w:fldCharType="separate"/>
            </w:r>
            <w:r w:rsidR="00F439B4">
              <w:rPr>
                <w:noProof/>
                <w:webHidden/>
              </w:rPr>
              <w:t>7</w:t>
            </w:r>
            <w:r w:rsidR="00F439B4">
              <w:rPr>
                <w:noProof/>
                <w:webHidden/>
              </w:rPr>
              <w:fldChar w:fldCharType="end"/>
            </w:r>
          </w:hyperlink>
        </w:p>
        <w:p w14:paraId="04CD2E26" w14:textId="2A5A8394" w:rsidR="00F439B4" w:rsidRDefault="00B42546">
          <w:pPr>
            <w:pStyle w:val="TDC2"/>
            <w:tabs>
              <w:tab w:val="right" w:leader="dot" w:pos="8656"/>
            </w:tabs>
            <w:rPr>
              <w:rFonts w:asciiTheme="minorHAnsi" w:eastAsiaTheme="minorEastAsia" w:hAnsiTheme="minorHAnsi" w:cstheme="minorBidi"/>
              <w:noProof/>
              <w:sz w:val="22"/>
              <w:szCs w:val="22"/>
              <w:lang w:eastAsia="es-ES"/>
            </w:rPr>
          </w:pPr>
          <w:hyperlink w:anchor="_Toc224681509" w:history="1">
            <w:r w:rsidR="00F439B4" w:rsidRPr="001711F6">
              <w:rPr>
                <w:rStyle w:val="Hipervnculo"/>
                <w:noProof/>
              </w:rPr>
              <w:t>2.7 Estado del arte en cáncer de pulmón no microcítico (NSCLC)</w:t>
            </w:r>
            <w:r w:rsidR="00F439B4">
              <w:rPr>
                <w:noProof/>
                <w:webHidden/>
              </w:rPr>
              <w:tab/>
            </w:r>
            <w:r w:rsidR="00F439B4">
              <w:rPr>
                <w:noProof/>
                <w:webHidden/>
              </w:rPr>
              <w:fldChar w:fldCharType="begin"/>
            </w:r>
            <w:r w:rsidR="00F439B4">
              <w:rPr>
                <w:noProof/>
                <w:webHidden/>
              </w:rPr>
              <w:instrText xml:space="preserve"> PAGEREF _Toc224681509 \h </w:instrText>
            </w:r>
            <w:r w:rsidR="00F439B4">
              <w:rPr>
                <w:noProof/>
                <w:webHidden/>
              </w:rPr>
            </w:r>
            <w:r w:rsidR="00F439B4">
              <w:rPr>
                <w:noProof/>
                <w:webHidden/>
              </w:rPr>
              <w:fldChar w:fldCharType="separate"/>
            </w:r>
            <w:r w:rsidR="00F439B4">
              <w:rPr>
                <w:noProof/>
                <w:webHidden/>
              </w:rPr>
              <w:t>8</w:t>
            </w:r>
            <w:r w:rsidR="00F439B4">
              <w:rPr>
                <w:noProof/>
                <w:webHidden/>
              </w:rPr>
              <w:fldChar w:fldCharType="end"/>
            </w:r>
          </w:hyperlink>
        </w:p>
        <w:p w14:paraId="4E700D91" w14:textId="3BA8AE49" w:rsidR="00F439B4" w:rsidRDefault="00B42546">
          <w:pPr>
            <w:pStyle w:val="TDC3"/>
            <w:tabs>
              <w:tab w:val="right" w:leader="dot" w:pos="8656"/>
            </w:tabs>
            <w:rPr>
              <w:rFonts w:eastAsiaTheme="minorEastAsia" w:cstheme="minorBidi"/>
              <w:noProof/>
              <w:sz w:val="22"/>
            </w:rPr>
          </w:pPr>
          <w:hyperlink w:anchor="_Toc224681510" w:history="1">
            <w:r w:rsidR="00F439B4" w:rsidRPr="001711F6">
              <w:rPr>
                <w:rStyle w:val="Hipervnculo"/>
                <w:noProof/>
              </w:rPr>
              <w:t>2.7.1 Heterogeneidad molecular y relevancia pronóstica</w:t>
            </w:r>
            <w:r w:rsidR="00F439B4">
              <w:rPr>
                <w:noProof/>
                <w:webHidden/>
              </w:rPr>
              <w:tab/>
            </w:r>
            <w:r w:rsidR="00F439B4">
              <w:rPr>
                <w:noProof/>
                <w:webHidden/>
              </w:rPr>
              <w:fldChar w:fldCharType="begin"/>
            </w:r>
            <w:r w:rsidR="00F439B4">
              <w:rPr>
                <w:noProof/>
                <w:webHidden/>
              </w:rPr>
              <w:instrText xml:space="preserve"> PAGEREF _Toc224681510 \h </w:instrText>
            </w:r>
            <w:r w:rsidR="00F439B4">
              <w:rPr>
                <w:noProof/>
                <w:webHidden/>
              </w:rPr>
            </w:r>
            <w:r w:rsidR="00F439B4">
              <w:rPr>
                <w:noProof/>
                <w:webHidden/>
              </w:rPr>
              <w:fldChar w:fldCharType="separate"/>
            </w:r>
            <w:r w:rsidR="00F439B4">
              <w:rPr>
                <w:noProof/>
                <w:webHidden/>
              </w:rPr>
              <w:t>8</w:t>
            </w:r>
            <w:r w:rsidR="00F439B4">
              <w:rPr>
                <w:noProof/>
                <w:webHidden/>
              </w:rPr>
              <w:fldChar w:fldCharType="end"/>
            </w:r>
          </w:hyperlink>
        </w:p>
        <w:p w14:paraId="3BC5627F" w14:textId="69219A10" w:rsidR="00F439B4" w:rsidRDefault="00B42546">
          <w:pPr>
            <w:pStyle w:val="TDC3"/>
            <w:tabs>
              <w:tab w:val="right" w:leader="dot" w:pos="8656"/>
            </w:tabs>
            <w:rPr>
              <w:rFonts w:eastAsiaTheme="minorEastAsia" w:cstheme="minorBidi"/>
              <w:noProof/>
              <w:sz w:val="22"/>
            </w:rPr>
          </w:pPr>
          <w:hyperlink w:anchor="_Toc224681511" w:history="1">
            <w:r w:rsidR="00F439B4" w:rsidRPr="001711F6">
              <w:rPr>
                <w:rStyle w:val="Hipervnculo"/>
                <w:noProof/>
              </w:rPr>
              <w:t>2.7.2 Modelos de supervivencia basados en datos genómicos y machine learning</w:t>
            </w:r>
            <w:r w:rsidR="00F439B4">
              <w:rPr>
                <w:noProof/>
                <w:webHidden/>
              </w:rPr>
              <w:tab/>
            </w:r>
            <w:r w:rsidR="00F439B4">
              <w:rPr>
                <w:noProof/>
                <w:webHidden/>
              </w:rPr>
              <w:fldChar w:fldCharType="begin"/>
            </w:r>
            <w:r w:rsidR="00F439B4">
              <w:rPr>
                <w:noProof/>
                <w:webHidden/>
              </w:rPr>
              <w:instrText xml:space="preserve"> PAGEREF _Toc224681511 \h </w:instrText>
            </w:r>
            <w:r w:rsidR="00F439B4">
              <w:rPr>
                <w:noProof/>
                <w:webHidden/>
              </w:rPr>
            </w:r>
            <w:r w:rsidR="00F439B4">
              <w:rPr>
                <w:noProof/>
                <w:webHidden/>
              </w:rPr>
              <w:fldChar w:fldCharType="separate"/>
            </w:r>
            <w:r w:rsidR="00F439B4">
              <w:rPr>
                <w:noProof/>
                <w:webHidden/>
              </w:rPr>
              <w:t>8</w:t>
            </w:r>
            <w:r w:rsidR="00F439B4">
              <w:rPr>
                <w:noProof/>
                <w:webHidden/>
              </w:rPr>
              <w:fldChar w:fldCharType="end"/>
            </w:r>
          </w:hyperlink>
        </w:p>
        <w:p w14:paraId="1E606E6B" w14:textId="643B57D2" w:rsidR="00F439B4" w:rsidRDefault="00B42546">
          <w:pPr>
            <w:pStyle w:val="TDC3"/>
            <w:tabs>
              <w:tab w:val="right" w:leader="dot" w:pos="8656"/>
            </w:tabs>
            <w:rPr>
              <w:rFonts w:eastAsiaTheme="minorEastAsia" w:cstheme="minorBidi"/>
              <w:noProof/>
              <w:sz w:val="22"/>
            </w:rPr>
          </w:pPr>
          <w:hyperlink w:anchor="_Toc224681512" w:history="1">
            <w:r w:rsidR="00F439B4" w:rsidRPr="001711F6">
              <w:rPr>
                <w:rStyle w:val="Hipervnculo"/>
                <w:noProof/>
              </w:rPr>
              <w:t>2.7.3 Tabla resumen de estudios en cáncer de pulmón</w:t>
            </w:r>
            <w:r w:rsidR="00F439B4">
              <w:rPr>
                <w:noProof/>
                <w:webHidden/>
              </w:rPr>
              <w:tab/>
            </w:r>
            <w:r w:rsidR="00F439B4">
              <w:rPr>
                <w:noProof/>
                <w:webHidden/>
              </w:rPr>
              <w:fldChar w:fldCharType="begin"/>
            </w:r>
            <w:r w:rsidR="00F439B4">
              <w:rPr>
                <w:noProof/>
                <w:webHidden/>
              </w:rPr>
              <w:instrText xml:space="preserve"> PAGEREF _Toc224681512 \h </w:instrText>
            </w:r>
            <w:r w:rsidR="00F439B4">
              <w:rPr>
                <w:noProof/>
                <w:webHidden/>
              </w:rPr>
            </w:r>
            <w:r w:rsidR="00F439B4">
              <w:rPr>
                <w:noProof/>
                <w:webHidden/>
              </w:rPr>
              <w:fldChar w:fldCharType="separate"/>
            </w:r>
            <w:r w:rsidR="00F439B4">
              <w:rPr>
                <w:noProof/>
                <w:webHidden/>
              </w:rPr>
              <w:t>9</w:t>
            </w:r>
            <w:r w:rsidR="00F439B4">
              <w:rPr>
                <w:noProof/>
                <w:webHidden/>
              </w:rPr>
              <w:fldChar w:fldCharType="end"/>
            </w:r>
          </w:hyperlink>
        </w:p>
        <w:p w14:paraId="7478AEE6" w14:textId="6690C4B8" w:rsidR="00F439B4" w:rsidRDefault="00B42546">
          <w:pPr>
            <w:pStyle w:val="TDC2"/>
            <w:tabs>
              <w:tab w:val="right" w:leader="dot" w:pos="8656"/>
            </w:tabs>
            <w:rPr>
              <w:rFonts w:asciiTheme="minorHAnsi" w:eastAsiaTheme="minorEastAsia" w:hAnsiTheme="minorHAnsi" w:cstheme="minorBidi"/>
              <w:noProof/>
              <w:sz w:val="22"/>
              <w:szCs w:val="22"/>
              <w:lang w:eastAsia="es-ES"/>
            </w:rPr>
          </w:pPr>
          <w:hyperlink w:anchor="_Toc224681513" w:history="1">
            <w:r w:rsidR="00F439B4" w:rsidRPr="001711F6">
              <w:rPr>
                <w:rStyle w:val="Hipervnculo"/>
                <w:noProof/>
              </w:rPr>
              <w:t>2.8 Validación cruzada entre datasets y generalización de modelos</w:t>
            </w:r>
            <w:r w:rsidR="00F439B4">
              <w:rPr>
                <w:noProof/>
                <w:webHidden/>
              </w:rPr>
              <w:tab/>
            </w:r>
            <w:r w:rsidR="00F439B4">
              <w:rPr>
                <w:noProof/>
                <w:webHidden/>
              </w:rPr>
              <w:fldChar w:fldCharType="begin"/>
            </w:r>
            <w:r w:rsidR="00F439B4">
              <w:rPr>
                <w:noProof/>
                <w:webHidden/>
              </w:rPr>
              <w:instrText xml:space="preserve"> PAGEREF _Toc224681513 \h </w:instrText>
            </w:r>
            <w:r w:rsidR="00F439B4">
              <w:rPr>
                <w:noProof/>
                <w:webHidden/>
              </w:rPr>
            </w:r>
            <w:r w:rsidR="00F439B4">
              <w:rPr>
                <w:noProof/>
                <w:webHidden/>
              </w:rPr>
              <w:fldChar w:fldCharType="separate"/>
            </w:r>
            <w:r w:rsidR="00F439B4">
              <w:rPr>
                <w:noProof/>
                <w:webHidden/>
              </w:rPr>
              <w:t>10</w:t>
            </w:r>
            <w:r w:rsidR="00F439B4">
              <w:rPr>
                <w:noProof/>
                <w:webHidden/>
              </w:rPr>
              <w:fldChar w:fldCharType="end"/>
            </w:r>
          </w:hyperlink>
        </w:p>
        <w:p w14:paraId="54DA97F4" w14:textId="78390777" w:rsidR="00F439B4" w:rsidRDefault="00B42546">
          <w:pPr>
            <w:pStyle w:val="TDC3"/>
            <w:tabs>
              <w:tab w:val="right" w:leader="dot" w:pos="8656"/>
            </w:tabs>
            <w:rPr>
              <w:rFonts w:eastAsiaTheme="minorEastAsia" w:cstheme="minorBidi"/>
              <w:noProof/>
              <w:sz w:val="22"/>
            </w:rPr>
          </w:pPr>
          <w:hyperlink w:anchor="_Toc224681514" w:history="1">
            <w:r w:rsidR="00F439B4" w:rsidRPr="001711F6">
              <w:rPr>
                <w:rStyle w:val="Hipervnculo"/>
                <w:noProof/>
              </w:rPr>
              <w:t>2.8.1 Importancia y estado actual</w:t>
            </w:r>
            <w:r w:rsidR="00F439B4">
              <w:rPr>
                <w:noProof/>
                <w:webHidden/>
              </w:rPr>
              <w:tab/>
            </w:r>
            <w:r w:rsidR="00F439B4">
              <w:rPr>
                <w:noProof/>
                <w:webHidden/>
              </w:rPr>
              <w:fldChar w:fldCharType="begin"/>
            </w:r>
            <w:r w:rsidR="00F439B4">
              <w:rPr>
                <w:noProof/>
                <w:webHidden/>
              </w:rPr>
              <w:instrText xml:space="preserve"> PAGEREF _Toc224681514 \h </w:instrText>
            </w:r>
            <w:r w:rsidR="00F439B4">
              <w:rPr>
                <w:noProof/>
                <w:webHidden/>
              </w:rPr>
            </w:r>
            <w:r w:rsidR="00F439B4">
              <w:rPr>
                <w:noProof/>
                <w:webHidden/>
              </w:rPr>
              <w:fldChar w:fldCharType="separate"/>
            </w:r>
            <w:r w:rsidR="00F439B4">
              <w:rPr>
                <w:noProof/>
                <w:webHidden/>
              </w:rPr>
              <w:t>10</w:t>
            </w:r>
            <w:r w:rsidR="00F439B4">
              <w:rPr>
                <w:noProof/>
                <w:webHidden/>
              </w:rPr>
              <w:fldChar w:fldCharType="end"/>
            </w:r>
          </w:hyperlink>
        </w:p>
        <w:p w14:paraId="610442C8" w14:textId="7E5DB94F" w:rsidR="00F439B4" w:rsidRDefault="00B42546">
          <w:pPr>
            <w:pStyle w:val="TDC3"/>
            <w:tabs>
              <w:tab w:val="right" w:leader="dot" w:pos="8656"/>
            </w:tabs>
            <w:rPr>
              <w:rFonts w:eastAsiaTheme="minorEastAsia" w:cstheme="minorBidi"/>
              <w:noProof/>
              <w:sz w:val="22"/>
            </w:rPr>
          </w:pPr>
          <w:hyperlink w:anchor="_Toc224681515" w:history="1">
            <w:r w:rsidR="00F439B4" w:rsidRPr="001711F6">
              <w:rPr>
                <w:rStyle w:val="Hipervnculo"/>
                <w:noProof/>
              </w:rPr>
              <w:t>2.8.2 Estudios de validación TCGA – METABRIC</w:t>
            </w:r>
            <w:r w:rsidR="00F439B4">
              <w:rPr>
                <w:noProof/>
                <w:webHidden/>
              </w:rPr>
              <w:tab/>
            </w:r>
            <w:r w:rsidR="00F439B4">
              <w:rPr>
                <w:noProof/>
                <w:webHidden/>
              </w:rPr>
              <w:fldChar w:fldCharType="begin"/>
            </w:r>
            <w:r w:rsidR="00F439B4">
              <w:rPr>
                <w:noProof/>
                <w:webHidden/>
              </w:rPr>
              <w:instrText xml:space="preserve"> PAGEREF _Toc224681515 \h </w:instrText>
            </w:r>
            <w:r w:rsidR="00F439B4">
              <w:rPr>
                <w:noProof/>
                <w:webHidden/>
              </w:rPr>
            </w:r>
            <w:r w:rsidR="00F439B4">
              <w:rPr>
                <w:noProof/>
                <w:webHidden/>
              </w:rPr>
              <w:fldChar w:fldCharType="separate"/>
            </w:r>
            <w:r w:rsidR="00F439B4">
              <w:rPr>
                <w:noProof/>
                <w:webHidden/>
              </w:rPr>
              <w:t>10</w:t>
            </w:r>
            <w:r w:rsidR="00F439B4">
              <w:rPr>
                <w:noProof/>
                <w:webHidden/>
              </w:rPr>
              <w:fldChar w:fldCharType="end"/>
            </w:r>
          </w:hyperlink>
        </w:p>
        <w:p w14:paraId="7B82D602" w14:textId="05E5A2D0" w:rsidR="00F439B4" w:rsidRDefault="00B42546">
          <w:pPr>
            <w:pStyle w:val="TDC2"/>
            <w:tabs>
              <w:tab w:val="right" w:leader="dot" w:pos="8656"/>
            </w:tabs>
            <w:rPr>
              <w:rFonts w:asciiTheme="minorHAnsi" w:eastAsiaTheme="minorEastAsia" w:hAnsiTheme="minorHAnsi" w:cstheme="minorBidi"/>
              <w:noProof/>
              <w:sz w:val="22"/>
              <w:szCs w:val="22"/>
              <w:lang w:eastAsia="es-ES"/>
            </w:rPr>
          </w:pPr>
          <w:hyperlink w:anchor="_Toc224681516" w:history="1">
            <w:r w:rsidR="00F439B4" w:rsidRPr="001711F6">
              <w:rPr>
                <w:rStyle w:val="Hipervnculo"/>
                <w:noProof/>
              </w:rPr>
              <w:t>2.9 Métricas de evaluación en modelos de supervivencia</w:t>
            </w:r>
            <w:r w:rsidR="00F439B4">
              <w:rPr>
                <w:noProof/>
                <w:webHidden/>
              </w:rPr>
              <w:tab/>
            </w:r>
            <w:r w:rsidR="00F439B4">
              <w:rPr>
                <w:noProof/>
                <w:webHidden/>
              </w:rPr>
              <w:fldChar w:fldCharType="begin"/>
            </w:r>
            <w:r w:rsidR="00F439B4">
              <w:rPr>
                <w:noProof/>
                <w:webHidden/>
              </w:rPr>
              <w:instrText xml:space="preserve"> PAGEREF _Toc224681516 \h </w:instrText>
            </w:r>
            <w:r w:rsidR="00F439B4">
              <w:rPr>
                <w:noProof/>
                <w:webHidden/>
              </w:rPr>
            </w:r>
            <w:r w:rsidR="00F439B4">
              <w:rPr>
                <w:noProof/>
                <w:webHidden/>
              </w:rPr>
              <w:fldChar w:fldCharType="separate"/>
            </w:r>
            <w:r w:rsidR="00F439B4">
              <w:rPr>
                <w:noProof/>
                <w:webHidden/>
              </w:rPr>
              <w:t>11</w:t>
            </w:r>
            <w:r w:rsidR="00F439B4">
              <w:rPr>
                <w:noProof/>
                <w:webHidden/>
              </w:rPr>
              <w:fldChar w:fldCharType="end"/>
            </w:r>
          </w:hyperlink>
        </w:p>
        <w:p w14:paraId="65590562" w14:textId="5E3AE5D0" w:rsidR="00F439B4" w:rsidRDefault="00B42546">
          <w:pPr>
            <w:pStyle w:val="TDC3"/>
            <w:tabs>
              <w:tab w:val="right" w:leader="dot" w:pos="8656"/>
            </w:tabs>
            <w:rPr>
              <w:rFonts w:eastAsiaTheme="minorEastAsia" w:cstheme="minorBidi"/>
              <w:noProof/>
              <w:sz w:val="22"/>
            </w:rPr>
          </w:pPr>
          <w:hyperlink w:anchor="_Toc224681517" w:history="1">
            <w:r w:rsidR="00F439B4" w:rsidRPr="001711F6">
              <w:rPr>
                <w:rStyle w:val="Hipervnculo"/>
                <w:noProof/>
              </w:rPr>
              <w:t>2.9.1 El índice de concordancia (C-index)</w:t>
            </w:r>
            <w:r w:rsidR="00F439B4">
              <w:rPr>
                <w:noProof/>
                <w:webHidden/>
              </w:rPr>
              <w:tab/>
            </w:r>
            <w:r w:rsidR="00F439B4">
              <w:rPr>
                <w:noProof/>
                <w:webHidden/>
              </w:rPr>
              <w:fldChar w:fldCharType="begin"/>
            </w:r>
            <w:r w:rsidR="00F439B4">
              <w:rPr>
                <w:noProof/>
                <w:webHidden/>
              </w:rPr>
              <w:instrText xml:space="preserve"> PAGEREF _Toc224681517 \h </w:instrText>
            </w:r>
            <w:r w:rsidR="00F439B4">
              <w:rPr>
                <w:noProof/>
                <w:webHidden/>
              </w:rPr>
            </w:r>
            <w:r w:rsidR="00F439B4">
              <w:rPr>
                <w:noProof/>
                <w:webHidden/>
              </w:rPr>
              <w:fldChar w:fldCharType="separate"/>
            </w:r>
            <w:r w:rsidR="00F439B4">
              <w:rPr>
                <w:noProof/>
                <w:webHidden/>
              </w:rPr>
              <w:t>11</w:t>
            </w:r>
            <w:r w:rsidR="00F439B4">
              <w:rPr>
                <w:noProof/>
                <w:webHidden/>
              </w:rPr>
              <w:fldChar w:fldCharType="end"/>
            </w:r>
          </w:hyperlink>
        </w:p>
        <w:p w14:paraId="233067C8" w14:textId="69CDE1CF" w:rsidR="00F439B4" w:rsidRDefault="00B42546">
          <w:pPr>
            <w:pStyle w:val="TDC3"/>
            <w:tabs>
              <w:tab w:val="right" w:leader="dot" w:pos="8656"/>
            </w:tabs>
            <w:rPr>
              <w:rFonts w:eastAsiaTheme="minorEastAsia" w:cstheme="minorBidi"/>
              <w:noProof/>
              <w:sz w:val="22"/>
            </w:rPr>
          </w:pPr>
          <w:hyperlink w:anchor="_Toc224681518" w:history="1">
            <w:r w:rsidR="00F439B4" w:rsidRPr="001711F6">
              <w:rPr>
                <w:rStyle w:val="Hipervnculo"/>
                <w:noProof/>
              </w:rPr>
              <w:t>2.9.2 El Brier Score integrado</w:t>
            </w:r>
            <w:r w:rsidR="00F439B4">
              <w:rPr>
                <w:noProof/>
                <w:webHidden/>
              </w:rPr>
              <w:tab/>
            </w:r>
            <w:r w:rsidR="00F439B4">
              <w:rPr>
                <w:noProof/>
                <w:webHidden/>
              </w:rPr>
              <w:fldChar w:fldCharType="begin"/>
            </w:r>
            <w:r w:rsidR="00F439B4">
              <w:rPr>
                <w:noProof/>
                <w:webHidden/>
              </w:rPr>
              <w:instrText xml:space="preserve"> PAGEREF _Toc224681518 \h </w:instrText>
            </w:r>
            <w:r w:rsidR="00F439B4">
              <w:rPr>
                <w:noProof/>
                <w:webHidden/>
              </w:rPr>
            </w:r>
            <w:r w:rsidR="00F439B4">
              <w:rPr>
                <w:noProof/>
                <w:webHidden/>
              </w:rPr>
              <w:fldChar w:fldCharType="separate"/>
            </w:r>
            <w:r w:rsidR="00F439B4">
              <w:rPr>
                <w:noProof/>
                <w:webHidden/>
              </w:rPr>
              <w:t>11</w:t>
            </w:r>
            <w:r w:rsidR="00F439B4">
              <w:rPr>
                <w:noProof/>
                <w:webHidden/>
              </w:rPr>
              <w:fldChar w:fldCharType="end"/>
            </w:r>
          </w:hyperlink>
        </w:p>
        <w:p w14:paraId="130A1BB5" w14:textId="2FF82884" w:rsidR="00F439B4" w:rsidRDefault="00B42546">
          <w:pPr>
            <w:pStyle w:val="TDC3"/>
            <w:tabs>
              <w:tab w:val="right" w:leader="dot" w:pos="8656"/>
            </w:tabs>
            <w:rPr>
              <w:rFonts w:eastAsiaTheme="minorEastAsia" w:cstheme="minorBidi"/>
              <w:noProof/>
              <w:sz w:val="22"/>
            </w:rPr>
          </w:pPr>
          <w:hyperlink w:anchor="_Toc224681519" w:history="1">
            <w:r w:rsidR="00F439B4" w:rsidRPr="001711F6">
              <w:rPr>
                <w:rStyle w:val="Hipervnculo"/>
                <w:noProof/>
              </w:rPr>
              <w:t>2.9.3 El test de log-rank y la estratificación de riesgo</w:t>
            </w:r>
            <w:r w:rsidR="00F439B4">
              <w:rPr>
                <w:noProof/>
                <w:webHidden/>
              </w:rPr>
              <w:tab/>
            </w:r>
            <w:r w:rsidR="00F439B4">
              <w:rPr>
                <w:noProof/>
                <w:webHidden/>
              </w:rPr>
              <w:fldChar w:fldCharType="begin"/>
            </w:r>
            <w:r w:rsidR="00F439B4">
              <w:rPr>
                <w:noProof/>
                <w:webHidden/>
              </w:rPr>
              <w:instrText xml:space="preserve"> PAGEREF _Toc224681519 \h </w:instrText>
            </w:r>
            <w:r w:rsidR="00F439B4">
              <w:rPr>
                <w:noProof/>
                <w:webHidden/>
              </w:rPr>
            </w:r>
            <w:r w:rsidR="00F439B4">
              <w:rPr>
                <w:noProof/>
                <w:webHidden/>
              </w:rPr>
              <w:fldChar w:fldCharType="separate"/>
            </w:r>
            <w:r w:rsidR="00F439B4">
              <w:rPr>
                <w:noProof/>
                <w:webHidden/>
              </w:rPr>
              <w:t>11</w:t>
            </w:r>
            <w:r w:rsidR="00F439B4">
              <w:rPr>
                <w:noProof/>
                <w:webHidden/>
              </w:rPr>
              <w:fldChar w:fldCharType="end"/>
            </w:r>
          </w:hyperlink>
        </w:p>
        <w:p w14:paraId="05D59D23" w14:textId="55EAD4E3" w:rsidR="00F439B4" w:rsidRDefault="00B42546">
          <w:pPr>
            <w:pStyle w:val="TDC2"/>
            <w:tabs>
              <w:tab w:val="right" w:leader="dot" w:pos="8656"/>
            </w:tabs>
            <w:rPr>
              <w:rFonts w:asciiTheme="minorHAnsi" w:eastAsiaTheme="minorEastAsia" w:hAnsiTheme="minorHAnsi" w:cstheme="minorBidi"/>
              <w:noProof/>
              <w:sz w:val="22"/>
              <w:szCs w:val="22"/>
              <w:lang w:eastAsia="es-ES"/>
            </w:rPr>
          </w:pPr>
          <w:hyperlink w:anchor="_Toc224681520" w:history="1">
            <w:r w:rsidR="00F439B4" w:rsidRPr="001711F6">
              <w:rPr>
                <w:rStyle w:val="Hipervnculo"/>
                <w:rFonts w:ascii="Arial" w:hAnsi="Arial"/>
                <w:noProof/>
              </w:rPr>
              <w:t>2.10 Síntesis comparativa y brechas de conocimiento</w:t>
            </w:r>
            <w:r w:rsidR="00F439B4">
              <w:rPr>
                <w:noProof/>
                <w:webHidden/>
              </w:rPr>
              <w:tab/>
            </w:r>
            <w:r w:rsidR="00F439B4">
              <w:rPr>
                <w:noProof/>
                <w:webHidden/>
              </w:rPr>
              <w:fldChar w:fldCharType="begin"/>
            </w:r>
            <w:r w:rsidR="00F439B4">
              <w:rPr>
                <w:noProof/>
                <w:webHidden/>
              </w:rPr>
              <w:instrText xml:space="preserve"> PAGEREF _Toc224681520 \h </w:instrText>
            </w:r>
            <w:r w:rsidR="00F439B4">
              <w:rPr>
                <w:noProof/>
                <w:webHidden/>
              </w:rPr>
            </w:r>
            <w:r w:rsidR="00F439B4">
              <w:rPr>
                <w:noProof/>
                <w:webHidden/>
              </w:rPr>
              <w:fldChar w:fldCharType="separate"/>
            </w:r>
            <w:r w:rsidR="00F439B4">
              <w:rPr>
                <w:noProof/>
                <w:webHidden/>
              </w:rPr>
              <w:t>11</w:t>
            </w:r>
            <w:r w:rsidR="00F439B4">
              <w:rPr>
                <w:noProof/>
                <w:webHidden/>
              </w:rPr>
              <w:fldChar w:fldCharType="end"/>
            </w:r>
          </w:hyperlink>
        </w:p>
        <w:p w14:paraId="6EFA0BE6" w14:textId="3F8CC471" w:rsidR="00F439B4" w:rsidRDefault="00B42546">
          <w:pPr>
            <w:pStyle w:val="TDC3"/>
            <w:tabs>
              <w:tab w:val="right" w:leader="dot" w:pos="8656"/>
            </w:tabs>
            <w:rPr>
              <w:rFonts w:eastAsiaTheme="minorEastAsia" w:cstheme="minorBidi"/>
              <w:noProof/>
              <w:sz w:val="22"/>
            </w:rPr>
          </w:pPr>
          <w:hyperlink w:anchor="_Toc224681521" w:history="1">
            <w:r w:rsidR="00F439B4" w:rsidRPr="001711F6">
              <w:rPr>
                <w:rStyle w:val="Hipervnculo"/>
                <w:noProof/>
              </w:rPr>
              <w:t>2.10.1 Comparativa de C-index por familia metodológica</w:t>
            </w:r>
            <w:r w:rsidR="00F439B4">
              <w:rPr>
                <w:noProof/>
                <w:webHidden/>
              </w:rPr>
              <w:tab/>
            </w:r>
            <w:r w:rsidR="00F439B4">
              <w:rPr>
                <w:noProof/>
                <w:webHidden/>
              </w:rPr>
              <w:fldChar w:fldCharType="begin"/>
            </w:r>
            <w:r w:rsidR="00F439B4">
              <w:rPr>
                <w:noProof/>
                <w:webHidden/>
              </w:rPr>
              <w:instrText xml:space="preserve"> PAGEREF _Toc224681521 \h </w:instrText>
            </w:r>
            <w:r w:rsidR="00F439B4">
              <w:rPr>
                <w:noProof/>
                <w:webHidden/>
              </w:rPr>
            </w:r>
            <w:r w:rsidR="00F439B4">
              <w:rPr>
                <w:noProof/>
                <w:webHidden/>
              </w:rPr>
              <w:fldChar w:fldCharType="separate"/>
            </w:r>
            <w:r w:rsidR="00F439B4">
              <w:rPr>
                <w:noProof/>
                <w:webHidden/>
              </w:rPr>
              <w:t>11</w:t>
            </w:r>
            <w:r w:rsidR="00F439B4">
              <w:rPr>
                <w:noProof/>
                <w:webHidden/>
              </w:rPr>
              <w:fldChar w:fldCharType="end"/>
            </w:r>
          </w:hyperlink>
        </w:p>
        <w:p w14:paraId="09A75BA3" w14:textId="2B4CB539" w:rsidR="00F439B4" w:rsidRDefault="00B42546">
          <w:pPr>
            <w:pStyle w:val="TDC3"/>
            <w:tabs>
              <w:tab w:val="right" w:leader="dot" w:pos="8656"/>
            </w:tabs>
            <w:rPr>
              <w:rFonts w:eastAsiaTheme="minorEastAsia" w:cstheme="minorBidi"/>
              <w:noProof/>
              <w:sz w:val="22"/>
            </w:rPr>
          </w:pPr>
          <w:hyperlink w:anchor="_Toc224681522" w:history="1">
            <w:r w:rsidR="00F439B4" w:rsidRPr="001711F6">
              <w:rPr>
                <w:rStyle w:val="Hipervnculo"/>
                <w:noProof/>
              </w:rPr>
              <w:t>2.10.2 Cuadro resumen global de metodologías y líneas de trabajo</w:t>
            </w:r>
            <w:r w:rsidR="00F439B4">
              <w:rPr>
                <w:noProof/>
                <w:webHidden/>
              </w:rPr>
              <w:tab/>
            </w:r>
            <w:r w:rsidR="00F439B4">
              <w:rPr>
                <w:noProof/>
                <w:webHidden/>
              </w:rPr>
              <w:fldChar w:fldCharType="begin"/>
            </w:r>
            <w:r w:rsidR="00F439B4">
              <w:rPr>
                <w:noProof/>
                <w:webHidden/>
              </w:rPr>
              <w:instrText xml:space="preserve"> PAGEREF _Toc224681522 \h </w:instrText>
            </w:r>
            <w:r w:rsidR="00F439B4">
              <w:rPr>
                <w:noProof/>
                <w:webHidden/>
              </w:rPr>
            </w:r>
            <w:r w:rsidR="00F439B4">
              <w:rPr>
                <w:noProof/>
                <w:webHidden/>
              </w:rPr>
              <w:fldChar w:fldCharType="separate"/>
            </w:r>
            <w:r w:rsidR="00F439B4">
              <w:rPr>
                <w:noProof/>
                <w:webHidden/>
              </w:rPr>
              <w:t>12</w:t>
            </w:r>
            <w:r w:rsidR="00F439B4">
              <w:rPr>
                <w:noProof/>
                <w:webHidden/>
              </w:rPr>
              <w:fldChar w:fldCharType="end"/>
            </w:r>
          </w:hyperlink>
        </w:p>
        <w:p w14:paraId="74733109" w14:textId="4B4C3452" w:rsidR="00F439B4" w:rsidRDefault="00B42546">
          <w:pPr>
            <w:pStyle w:val="TDC3"/>
            <w:tabs>
              <w:tab w:val="right" w:leader="dot" w:pos="8656"/>
            </w:tabs>
            <w:rPr>
              <w:rFonts w:eastAsiaTheme="minorEastAsia" w:cstheme="minorBidi"/>
              <w:noProof/>
              <w:sz w:val="22"/>
            </w:rPr>
          </w:pPr>
          <w:hyperlink w:anchor="_Toc224681523" w:history="1">
            <w:r w:rsidR="00F439B4" w:rsidRPr="001711F6">
              <w:rPr>
                <w:rStyle w:val="Hipervnculo"/>
                <w:noProof/>
              </w:rPr>
              <w:t>2.10.3 Brechas de conocimiento identificadas</w:t>
            </w:r>
            <w:r w:rsidR="00F439B4">
              <w:rPr>
                <w:noProof/>
                <w:webHidden/>
              </w:rPr>
              <w:tab/>
            </w:r>
            <w:r w:rsidR="00F439B4">
              <w:rPr>
                <w:noProof/>
                <w:webHidden/>
              </w:rPr>
              <w:fldChar w:fldCharType="begin"/>
            </w:r>
            <w:r w:rsidR="00F439B4">
              <w:rPr>
                <w:noProof/>
                <w:webHidden/>
              </w:rPr>
              <w:instrText xml:space="preserve"> PAGEREF _Toc224681523 \h </w:instrText>
            </w:r>
            <w:r w:rsidR="00F439B4">
              <w:rPr>
                <w:noProof/>
                <w:webHidden/>
              </w:rPr>
            </w:r>
            <w:r w:rsidR="00F439B4">
              <w:rPr>
                <w:noProof/>
                <w:webHidden/>
              </w:rPr>
              <w:fldChar w:fldCharType="separate"/>
            </w:r>
            <w:r w:rsidR="00F439B4">
              <w:rPr>
                <w:noProof/>
                <w:webHidden/>
              </w:rPr>
              <w:t>14</w:t>
            </w:r>
            <w:r w:rsidR="00F439B4">
              <w:rPr>
                <w:noProof/>
                <w:webHidden/>
              </w:rPr>
              <w:fldChar w:fldCharType="end"/>
            </w:r>
          </w:hyperlink>
        </w:p>
        <w:p w14:paraId="022D28A6" w14:textId="157A6D8C" w:rsidR="00F439B4" w:rsidRDefault="00B42546">
          <w:pPr>
            <w:pStyle w:val="TDC2"/>
            <w:tabs>
              <w:tab w:val="right" w:leader="dot" w:pos="8656"/>
            </w:tabs>
            <w:rPr>
              <w:rFonts w:asciiTheme="minorHAnsi" w:eastAsiaTheme="minorEastAsia" w:hAnsiTheme="minorHAnsi" w:cstheme="minorBidi"/>
              <w:noProof/>
              <w:sz w:val="22"/>
              <w:szCs w:val="22"/>
              <w:lang w:eastAsia="es-ES"/>
            </w:rPr>
          </w:pPr>
          <w:hyperlink w:anchor="_Toc224681524" w:history="1">
            <w:r w:rsidR="00F439B4" w:rsidRPr="001711F6">
              <w:rPr>
                <w:rStyle w:val="Hipervnculo"/>
                <w:noProof/>
              </w:rPr>
              <w:t>Referencias bibliográficas del Capítulo 2</w:t>
            </w:r>
            <w:r w:rsidR="00F439B4">
              <w:rPr>
                <w:noProof/>
                <w:webHidden/>
              </w:rPr>
              <w:tab/>
            </w:r>
            <w:r w:rsidR="00F439B4">
              <w:rPr>
                <w:noProof/>
                <w:webHidden/>
              </w:rPr>
              <w:fldChar w:fldCharType="begin"/>
            </w:r>
            <w:r w:rsidR="00F439B4">
              <w:rPr>
                <w:noProof/>
                <w:webHidden/>
              </w:rPr>
              <w:instrText xml:space="preserve"> PAGEREF _Toc224681524 \h </w:instrText>
            </w:r>
            <w:r w:rsidR="00F439B4">
              <w:rPr>
                <w:noProof/>
                <w:webHidden/>
              </w:rPr>
            </w:r>
            <w:r w:rsidR="00F439B4">
              <w:rPr>
                <w:noProof/>
                <w:webHidden/>
              </w:rPr>
              <w:fldChar w:fldCharType="separate"/>
            </w:r>
            <w:r w:rsidR="00F439B4">
              <w:rPr>
                <w:noProof/>
                <w:webHidden/>
              </w:rPr>
              <w:t>16</w:t>
            </w:r>
            <w:r w:rsidR="00F439B4">
              <w:rPr>
                <w:noProof/>
                <w:webHidden/>
              </w:rPr>
              <w:fldChar w:fldCharType="end"/>
            </w:r>
          </w:hyperlink>
        </w:p>
        <w:p w14:paraId="185784A7" w14:textId="197D1DE2" w:rsidR="004331B9" w:rsidRDefault="004331B9">
          <w:r>
            <w:rPr>
              <w:b/>
              <w:bCs/>
            </w:rPr>
            <w:fldChar w:fldCharType="end"/>
          </w:r>
        </w:p>
      </w:sdtContent>
    </w:sdt>
    <w:p w14:paraId="4637FFB3" w14:textId="2977156D" w:rsidR="00FA48AE" w:rsidRPr="00F439B4" w:rsidRDefault="00F439B4" w:rsidP="00F439B4">
      <w:pPr>
        <w:pStyle w:val="Ttulo1"/>
      </w:pPr>
      <w:r>
        <w:t>LISTA DE TABLAS</w:t>
      </w:r>
    </w:p>
    <w:p w14:paraId="472C4E16" w14:textId="412F1892" w:rsidR="00CC1AE6" w:rsidRDefault="00CC1AE6">
      <w:pPr>
        <w:pStyle w:val="Tabladeilustraciones"/>
        <w:tabs>
          <w:tab w:val="right" w:leader="dot" w:pos="8656"/>
        </w:tabs>
        <w:rPr>
          <w:rFonts w:eastAsiaTheme="minorEastAsia" w:cstheme="minorBidi"/>
          <w:i w:val="0"/>
          <w:iCs w:val="0"/>
          <w:noProof/>
          <w:sz w:val="22"/>
          <w:szCs w:val="22"/>
        </w:rPr>
      </w:pPr>
      <w:r>
        <w:rPr>
          <w:b/>
          <w:bCs/>
          <w:caps/>
          <w:color w:val="1F3864"/>
          <w:sz w:val="40"/>
          <w:szCs w:val="40"/>
        </w:rPr>
        <w:fldChar w:fldCharType="begin"/>
      </w:r>
      <w:r>
        <w:rPr>
          <w:b/>
          <w:bCs/>
          <w:caps/>
          <w:color w:val="1F3864"/>
          <w:sz w:val="40"/>
          <w:szCs w:val="40"/>
        </w:rPr>
        <w:instrText xml:space="preserve"> TOC \h \z \c "Tabla" </w:instrText>
      </w:r>
      <w:r>
        <w:rPr>
          <w:b/>
          <w:bCs/>
          <w:caps/>
          <w:color w:val="1F3864"/>
          <w:sz w:val="40"/>
          <w:szCs w:val="40"/>
        </w:rPr>
        <w:fldChar w:fldCharType="separate"/>
      </w:r>
      <w:hyperlink w:anchor="_Toc224680641" w:history="1">
        <w:r w:rsidRPr="00C742F3">
          <w:rPr>
            <w:rStyle w:val="Hipervnculo"/>
            <w:b/>
            <w:bCs/>
            <w:noProof/>
          </w:rPr>
          <w:t>Tabla 1.</w:t>
        </w:r>
        <w:r w:rsidRPr="00C742F3">
          <w:rPr>
            <w:rStyle w:val="Hipervnculo"/>
            <w:noProof/>
          </w:rPr>
          <w:t xml:space="preserve"> Síntesis de estudios clave en análisis de supervivencia de cáncer de mama con datos genómicos.</w:t>
        </w:r>
        <w:r>
          <w:rPr>
            <w:noProof/>
            <w:webHidden/>
          </w:rPr>
          <w:tab/>
        </w:r>
        <w:r>
          <w:rPr>
            <w:noProof/>
            <w:webHidden/>
          </w:rPr>
          <w:fldChar w:fldCharType="begin"/>
        </w:r>
        <w:r>
          <w:rPr>
            <w:noProof/>
            <w:webHidden/>
          </w:rPr>
          <w:instrText xml:space="preserve"> PAGEREF _Toc224680641 \h </w:instrText>
        </w:r>
        <w:r>
          <w:rPr>
            <w:noProof/>
            <w:webHidden/>
          </w:rPr>
        </w:r>
        <w:r>
          <w:rPr>
            <w:noProof/>
            <w:webHidden/>
          </w:rPr>
          <w:fldChar w:fldCharType="separate"/>
        </w:r>
        <w:r>
          <w:rPr>
            <w:noProof/>
            <w:webHidden/>
          </w:rPr>
          <w:t>7</w:t>
        </w:r>
        <w:r>
          <w:rPr>
            <w:noProof/>
            <w:webHidden/>
          </w:rPr>
          <w:fldChar w:fldCharType="end"/>
        </w:r>
      </w:hyperlink>
    </w:p>
    <w:p w14:paraId="09BC7072" w14:textId="71BDAFA6" w:rsidR="00CC1AE6" w:rsidRDefault="00B42546">
      <w:pPr>
        <w:pStyle w:val="Tabladeilustraciones"/>
        <w:tabs>
          <w:tab w:val="right" w:leader="dot" w:pos="8656"/>
        </w:tabs>
        <w:rPr>
          <w:rFonts w:eastAsiaTheme="minorEastAsia" w:cstheme="minorBidi"/>
          <w:i w:val="0"/>
          <w:iCs w:val="0"/>
          <w:noProof/>
          <w:sz w:val="22"/>
          <w:szCs w:val="22"/>
        </w:rPr>
      </w:pPr>
      <w:hyperlink w:anchor="_Toc224680642" w:history="1">
        <w:r w:rsidR="00CC1AE6" w:rsidRPr="00C742F3">
          <w:rPr>
            <w:rStyle w:val="Hipervnculo"/>
            <w:b/>
            <w:bCs/>
            <w:noProof/>
          </w:rPr>
          <w:t>Tabla 2.</w:t>
        </w:r>
        <w:r w:rsidR="00CC1AE6" w:rsidRPr="00C742F3">
          <w:rPr>
            <w:rStyle w:val="Hipervnculo"/>
            <w:noProof/>
          </w:rPr>
          <w:t xml:space="preserve"> Síntesis de estudios clave en análisis de supervivencia de cáncer de pulmón no microcítico con datos genómicos.</w:t>
        </w:r>
        <w:r w:rsidR="00CC1AE6">
          <w:rPr>
            <w:noProof/>
            <w:webHidden/>
          </w:rPr>
          <w:tab/>
        </w:r>
        <w:r w:rsidR="00CC1AE6">
          <w:rPr>
            <w:noProof/>
            <w:webHidden/>
          </w:rPr>
          <w:fldChar w:fldCharType="begin"/>
        </w:r>
        <w:r w:rsidR="00CC1AE6">
          <w:rPr>
            <w:noProof/>
            <w:webHidden/>
          </w:rPr>
          <w:instrText xml:space="preserve"> PAGEREF _Toc224680642 \h </w:instrText>
        </w:r>
        <w:r w:rsidR="00CC1AE6">
          <w:rPr>
            <w:noProof/>
            <w:webHidden/>
          </w:rPr>
        </w:r>
        <w:r w:rsidR="00CC1AE6">
          <w:rPr>
            <w:noProof/>
            <w:webHidden/>
          </w:rPr>
          <w:fldChar w:fldCharType="separate"/>
        </w:r>
        <w:r w:rsidR="00CC1AE6">
          <w:rPr>
            <w:noProof/>
            <w:webHidden/>
          </w:rPr>
          <w:t>9</w:t>
        </w:r>
        <w:r w:rsidR="00CC1AE6">
          <w:rPr>
            <w:noProof/>
            <w:webHidden/>
          </w:rPr>
          <w:fldChar w:fldCharType="end"/>
        </w:r>
      </w:hyperlink>
    </w:p>
    <w:p w14:paraId="489372A1" w14:textId="557EC93F" w:rsidR="00A127CA" w:rsidRPr="00CC1AE6" w:rsidRDefault="00CC1AE6" w:rsidP="00F439B4">
      <w:pPr>
        <w:pStyle w:val="Ttulo1"/>
        <w:rPr>
          <w:rFonts w:asciiTheme="minorHAnsi" w:hAnsiTheme="minorHAnsi"/>
        </w:rPr>
      </w:pPr>
      <w:r>
        <w:fldChar w:fldCharType="end"/>
      </w:r>
      <w:r>
        <w:t>LISTA DE FIGURAS</w:t>
      </w:r>
    </w:p>
    <w:p w14:paraId="49E8628D" w14:textId="521BA3DA" w:rsidR="00F439B4" w:rsidRDefault="00F439B4">
      <w:pPr>
        <w:pStyle w:val="Tabladeilustraciones"/>
        <w:tabs>
          <w:tab w:val="right" w:leader="dot" w:pos="8656"/>
        </w:tabs>
        <w:rPr>
          <w:rFonts w:eastAsiaTheme="minorEastAsia" w:cstheme="minorBidi"/>
          <w:i w:val="0"/>
          <w:iCs w:val="0"/>
          <w:noProof/>
          <w:sz w:val="22"/>
          <w:szCs w:val="22"/>
        </w:rPr>
      </w:pPr>
      <w:r>
        <w:rPr>
          <w:rFonts w:ascii="Times New Roman" w:eastAsia="Times New Roman" w:hAnsi="Times New Roman" w:cs="Times New Roman"/>
          <w:i w:val="0"/>
          <w:iCs w:val="0"/>
          <w:szCs w:val="24"/>
        </w:rPr>
        <w:fldChar w:fldCharType="begin"/>
      </w:r>
      <w:r>
        <w:rPr>
          <w:rFonts w:ascii="Times New Roman" w:eastAsia="Times New Roman" w:hAnsi="Times New Roman" w:cs="Times New Roman"/>
          <w:i w:val="0"/>
          <w:iCs w:val="0"/>
          <w:szCs w:val="24"/>
        </w:rPr>
        <w:instrText xml:space="preserve"> TOC \h \z \c "Figura" </w:instrText>
      </w:r>
      <w:r>
        <w:rPr>
          <w:rFonts w:ascii="Times New Roman" w:eastAsia="Times New Roman" w:hAnsi="Times New Roman" w:cs="Times New Roman"/>
          <w:i w:val="0"/>
          <w:iCs w:val="0"/>
          <w:szCs w:val="24"/>
        </w:rPr>
        <w:fldChar w:fldCharType="separate"/>
      </w:r>
      <w:hyperlink w:anchor="_Toc224681475" w:history="1">
        <w:r w:rsidRPr="00104738">
          <w:rPr>
            <w:rStyle w:val="Hipervnculo"/>
            <w:b/>
            <w:bCs/>
            <w:noProof/>
          </w:rPr>
          <w:t>Figura 1</w:t>
        </w:r>
        <w:r w:rsidRPr="00104738">
          <w:rPr>
            <w:rStyle w:val="Hipervnculo"/>
            <w:noProof/>
          </w:rPr>
          <w:t>. Evolución cronológica de los principales métodos de análisis de supervivencia oncológica, desde el estimador de Kaplan-Meier (1958) hasta los modelos de aprendizaje profundo multimodal (2021+). Los colores distinguen las familias metodológicas: azul (métodos clásicos), verde (machine learning/aprendizaje automatico), naranja (datos genómicos) y morado (deep learning/aprendizaje profundo).</w:t>
        </w:r>
        <w:r>
          <w:rPr>
            <w:noProof/>
            <w:webHidden/>
          </w:rPr>
          <w:tab/>
        </w:r>
        <w:r>
          <w:rPr>
            <w:noProof/>
            <w:webHidden/>
          </w:rPr>
          <w:fldChar w:fldCharType="begin"/>
        </w:r>
        <w:r>
          <w:rPr>
            <w:noProof/>
            <w:webHidden/>
          </w:rPr>
          <w:instrText xml:space="preserve"> PAGEREF _Toc224681475 \h </w:instrText>
        </w:r>
        <w:r>
          <w:rPr>
            <w:noProof/>
            <w:webHidden/>
          </w:rPr>
        </w:r>
        <w:r>
          <w:rPr>
            <w:noProof/>
            <w:webHidden/>
          </w:rPr>
          <w:fldChar w:fldCharType="separate"/>
        </w:r>
        <w:r>
          <w:rPr>
            <w:noProof/>
            <w:webHidden/>
          </w:rPr>
          <w:t>2</w:t>
        </w:r>
        <w:r>
          <w:rPr>
            <w:noProof/>
            <w:webHidden/>
          </w:rPr>
          <w:fldChar w:fldCharType="end"/>
        </w:r>
      </w:hyperlink>
    </w:p>
    <w:p w14:paraId="73198732" w14:textId="1C897CC5" w:rsidR="00F439B4" w:rsidRDefault="00B42546">
      <w:pPr>
        <w:pStyle w:val="Tabladeilustraciones"/>
        <w:tabs>
          <w:tab w:val="right" w:leader="dot" w:pos="8656"/>
        </w:tabs>
        <w:rPr>
          <w:rFonts w:eastAsiaTheme="minorEastAsia" w:cstheme="minorBidi"/>
          <w:i w:val="0"/>
          <w:iCs w:val="0"/>
          <w:noProof/>
          <w:sz w:val="22"/>
          <w:szCs w:val="22"/>
        </w:rPr>
      </w:pPr>
      <w:hyperlink w:anchor="_Toc224681476" w:history="1">
        <w:r w:rsidR="00F439B4" w:rsidRPr="00104738">
          <w:rPr>
            <w:rStyle w:val="Hipervnculo"/>
            <w:b/>
            <w:bCs/>
            <w:noProof/>
          </w:rPr>
          <w:t>Figura 2.</w:t>
        </w:r>
        <w:r w:rsidR="00F439B4" w:rsidRPr="00104738">
          <w:rPr>
            <w:rStyle w:val="Hipervnculo"/>
            <w:noProof/>
          </w:rPr>
          <w:t xml:space="preserve"> Pipeline metodológico del análisis de supervivencia genómico propuesto en el TFM. El flujo muestra las etapas desde la adquisición de datos de TCGA y METABRIC hasta la evaluación mediante métricas estándar, con los mecanismos de validación cruzada interna (k-fold) y validación externa cruzada entre datasets</w:t>
        </w:r>
        <w:r w:rsidR="00F439B4">
          <w:rPr>
            <w:noProof/>
            <w:webHidden/>
          </w:rPr>
          <w:tab/>
        </w:r>
        <w:r w:rsidR="00F439B4">
          <w:rPr>
            <w:noProof/>
            <w:webHidden/>
          </w:rPr>
          <w:fldChar w:fldCharType="begin"/>
        </w:r>
        <w:r w:rsidR="00F439B4">
          <w:rPr>
            <w:noProof/>
            <w:webHidden/>
          </w:rPr>
          <w:instrText xml:space="preserve"> PAGEREF _Toc224681476 \h </w:instrText>
        </w:r>
        <w:r w:rsidR="00F439B4">
          <w:rPr>
            <w:noProof/>
            <w:webHidden/>
          </w:rPr>
        </w:r>
        <w:r w:rsidR="00F439B4">
          <w:rPr>
            <w:noProof/>
            <w:webHidden/>
          </w:rPr>
          <w:fldChar w:fldCharType="separate"/>
        </w:r>
        <w:r w:rsidR="00F439B4">
          <w:rPr>
            <w:noProof/>
            <w:webHidden/>
          </w:rPr>
          <w:t>4</w:t>
        </w:r>
        <w:r w:rsidR="00F439B4">
          <w:rPr>
            <w:noProof/>
            <w:webHidden/>
          </w:rPr>
          <w:fldChar w:fldCharType="end"/>
        </w:r>
      </w:hyperlink>
    </w:p>
    <w:p w14:paraId="35649069" w14:textId="62207B63" w:rsidR="00F439B4" w:rsidRDefault="00B42546">
      <w:pPr>
        <w:pStyle w:val="Tabladeilustraciones"/>
        <w:tabs>
          <w:tab w:val="right" w:leader="dot" w:pos="8656"/>
        </w:tabs>
        <w:rPr>
          <w:rFonts w:eastAsiaTheme="minorEastAsia" w:cstheme="minorBidi"/>
          <w:i w:val="0"/>
          <w:iCs w:val="0"/>
          <w:noProof/>
          <w:sz w:val="22"/>
          <w:szCs w:val="22"/>
        </w:rPr>
      </w:pPr>
      <w:hyperlink w:anchor="_Toc224681477" w:history="1">
        <w:r w:rsidR="00F439B4" w:rsidRPr="00104738">
          <w:rPr>
            <w:rStyle w:val="Hipervnculo"/>
            <w:b/>
            <w:bCs/>
            <w:noProof/>
          </w:rPr>
          <w:t>Figura 3.</w:t>
        </w:r>
        <w:r w:rsidR="00F439B4" w:rsidRPr="00104738">
          <w:rPr>
            <w:rStyle w:val="Hipervnculo"/>
            <w:noProof/>
          </w:rPr>
          <w:t xml:space="preserve"> Rangos de C-index reportados en la literatura por familia metodológica para modelos de supervivencia aplicados a cáncer de mama y pulmón sobre TCGA y/o METABRIC. Las barras muestran el valor medio y las líneas de error el rango mínimo-máximo reportado en los estudios revisados. La línea roja discontinua marca el nivel de rendimiento aleatorio (C-index =0.50).</w:t>
        </w:r>
        <w:r w:rsidR="00F439B4">
          <w:rPr>
            <w:noProof/>
            <w:webHidden/>
          </w:rPr>
          <w:tab/>
        </w:r>
        <w:r w:rsidR="00F439B4">
          <w:rPr>
            <w:noProof/>
            <w:webHidden/>
          </w:rPr>
          <w:fldChar w:fldCharType="begin"/>
        </w:r>
        <w:r w:rsidR="00F439B4">
          <w:rPr>
            <w:noProof/>
            <w:webHidden/>
          </w:rPr>
          <w:instrText xml:space="preserve"> PAGEREF _Toc224681477 \h </w:instrText>
        </w:r>
        <w:r w:rsidR="00F439B4">
          <w:rPr>
            <w:noProof/>
            <w:webHidden/>
          </w:rPr>
        </w:r>
        <w:r w:rsidR="00F439B4">
          <w:rPr>
            <w:noProof/>
            <w:webHidden/>
          </w:rPr>
          <w:fldChar w:fldCharType="separate"/>
        </w:r>
        <w:r w:rsidR="00F439B4">
          <w:rPr>
            <w:noProof/>
            <w:webHidden/>
          </w:rPr>
          <w:t>12</w:t>
        </w:r>
        <w:r w:rsidR="00F439B4">
          <w:rPr>
            <w:noProof/>
            <w:webHidden/>
          </w:rPr>
          <w:fldChar w:fldCharType="end"/>
        </w:r>
      </w:hyperlink>
    </w:p>
    <w:p w14:paraId="57C11123" w14:textId="6E04E0BC" w:rsidR="00A127CA" w:rsidRDefault="00F439B4" w:rsidP="00A127CA">
      <w:pPr>
        <w:spacing w:before="100" w:beforeAutospacing="1" w:after="100" w:afterAutospacing="1"/>
        <w:jc w:val="left"/>
        <w:rPr>
          <w:rFonts w:ascii="Times New Roman" w:eastAsia="Times New Roman" w:hAnsi="Times New Roman" w:cs="Times New Roman"/>
          <w:szCs w:val="24"/>
        </w:rPr>
      </w:pPr>
      <w:r>
        <w:rPr>
          <w:rFonts w:ascii="Times New Roman" w:eastAsia="Times New Roman" w:hAnsi="Times New Roman" w:cs="Times New Roman"/>
          <w:i/>
          <w:iCs/>
          <w:sz w:val="20"/>
          <w:szCs w:val="24"/>
        </w:rPr>
        <w:fldChar w:fldCharType="end"/>
      </w:r>
    </w:p>
    <w:p w14:paraId="41A71065" w14:textId="412CB980" w:rsidR="00A127CA" w:rsidRDefault="00A127CA" w:rsidP="00A127CA">
      <w:pPr>
        <w:spacing w:before="100" w:beforeAutospacing="1" w:after="100" w:afterAutospacing="1"/>
        <w:jc w:val="left"/>
        <w:rPr>
          <w:rFonts w:ascii="Times New Roman" w:eastAsia="Times New Roman" w:hAnsi="Times New Roman" w:cs="Times New Roman"/>
          <w:szCs w:val="24"/>
        </w:rPr>
      </w:pPr>
    </w:p>
    <w:p w14:paraId="6BD52FED" w14:textId="6C9C7B6D"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A37E6D4" w14:textId="5D9F31F3" w:rsidR="00A127CA" w:rsidRDefault="00A127CA" w:rsidP="00A127CA">
      <w:pPr>
        <w:spacing w:before="100" w:beforeAutospacing="1" w:after="100" w:afterAutospacing="1"/>
        <w:jc w:val="left"/>
        <w:rPr>
          <w:rFonts w:ascii="Times New Roman" w:eastAsia="Times New Roman" w:hAnsi="Times New Roman" w:cs="Times New Roman"/>
          <w:szCs w:val="24"/>
        </w:rPr>
      </w:pPr>
    </w:p>
    <w:p w14:paraId="55D1C30C" w14:textId="77777777" w:rsidR="000C5D02" w:rsidRDefault="000C5D02" w:rsidP="000C5D02">
      <w:pPr>
        <w:spacing w:before="100" w:beforeAutospacing="1" w:after="100" w:afterAutospacing="1"/>
        <w:jc w:val="left"/>
        <w:rPr>
          <w:rFonts w:ascii="Times New Roman" w:eastAsia="Times New Roman" w:hAnsi="Times New Roman" w:cs="Times New Roman"/>
          <w:szCs w:val="24"/>
        </w:rPr>
        <w:sectPr w:rsidR="000C5D02" w:rsidSect="00E840D2">
          <w:pgSz w:w="11906" w:h="16838"/>
          <w:pgMar w:top="1440" w:right="1440" w:bottom="1440" w:left="1800" w:header="708" w:footer="708" w:gutter="0"/>
          <w:pgNumType w:start="1"/>
          <w:cols w:space="720"/>
          <w:docGrid w:linePitch="360"/>
        </w:sectPr>
      </w:pPr>
    </w:p>
    <w:p w14:paraId="24409E40" w14:textId="77777777" w:rsidR="00B356CE" w:rsidRPr="00FB5CA7" w:rsidRDefault="00B356CE" w:rsidP="00FB5CA7">
      <w:pPr>
        <w:pStyle w:val="Ttulo1"/>
        <w:rPr>
          <w:b w:val="0"/>
          <w:bCs w:val="0"/>
        </w:rPr>
      </w:pPr>
      <w:r w:rsidRPr="00FB5CA7">
        <w:rPr>
          <w:b w:val="0"/>
          <w:bCs w:val="0"/>
        </w:rPr>
        <w:lastRenderedPageBreak/>
        <w:t>CAPÍTULO 1</w:t>
      </w:r>
    </w:p>
    <w:p w14:paraId="5E03B8BE" w14:textId="77777777" w:rsidR="00B356CE" w:rsidRPr="00FB5CA7" w:rsidRDefault="00B356CE" w:rsidP="00FB5CA7">
      <w:pPr>
        <w:pStyle w:val="Ttulo1"/>
        <w:rPr>
          <w:b w:val="0"/>
          <w:bCs w:val="0"/>
        </w:rPr>
      </w:pPr>
      <w:r w:rsidRPr="00FB5CA7">
        <w:rPr>
          <w:b w:val="0"/>
          <w:bCs w:val="0"/>
        </w:rPr>
        <w:t>INTRODUCCIÓN</w:t>
      </w:r>
    </w:p>
    <w:p w14:paraId="4FD34A68" w14:textId="77777777" w:rsidR="00B356CE" w:rsidRPr="00FB5CA7" w:rsidRDefault="00B356CE" w:rsidP="00FB5CA7">
      <w:pPr>
        <w:pStyle w:val="Ttulo2"/>
      </w:pPr>
      <w:bookmarkStart w:id="0" w:name="_Toc223291688"/>
      <w:r w:rsidRPr="00FB5CA7">
        <w:t>1.1 Contexto y justificación del trabajo</w:t>
      </w:r>
      <w:bookmarkEnd w:id="0"/>
    </w:p>
    <w:p w14:paraId="77DA5B82" w14:textId="77777777" w:rsidR="00B356CE" w:rsidRPr="00FB5CA7" w:rsidRDefault="00B356CE" w:rsidP="00FB5CA7">
      <w:pPr>
        <w:pStyle w:val="Ttulo3"/>
      </w:pPr>
      <w:bookmarkStart w:id="1" w:name="_Toc223291689"/>
      <w:r w:rsidRPr="00FB5CA7">
        <w:t>1.1.1 Situación actual de la supervivencia en cáncer</w:t>
      </w:r>
      <w:bookmarkEnd w:id="1"/>
    </w:p>
    <w:p w14:paraId="0EF5815E" w14:textId="6980C1F2" w:rsidR="00B356CE" w:rsidRDefault="00B356CE" w:rsidP="00FB5CA7">
      <w:r>
        <w:t>El cáncer constituye uno de los mayores retos de salud pública del siglo XXI. Según los datos publicados por la Agencia Internacional para la Investigación sobre el Cáncer (IARC) en el informe GLOBOCAN 2022</w:t>
      </w:r>
      <w:r w:rsidR="00FB5CA7">
        <w:t xml:space="preserve"> </w:t>
      </w:r>
      <w:r w:rsidR="00FB5CA7">
        <w:fldChar w:fldCharType="begin"/>
      </w:r>
      <w:r w:rsidR="00FB5CA7">
        <w:instrText xml:space="preserve"> ADDIN ZOTERO_ITEM CSL_CITATION {"citationID":"vUrogDzJ","properties":{"unsorted":false,"formattedCitation":"(Bray et\\uc0\\u160{}al. 2024)","plainCitation":"(Bray et al. 2024)","noteIndex":0},"citationItems":[{"id":31,"uris":["http://zotero.org/users/19775897/items/FLK2GFE5"],"itemData":{"id":31,"type":"article-journal","abstract":"This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FB5CA7">
        <w:fldChar w:fldCharType="separate"/>
      </w:r>
      <w:r w:rsidR="00FB5CA7" w:rsidRPr="00FB5CA7">
        <w:rPr>
          <w:rFonts w:ascii="Calibri" w:hAnsi="Calibri" w:cs="Calibri"/>
          <w:szCs w:val="24"/>
        </w:rPr>
        <w:t xml:space="preserve">(Bray </w:t>
      </w:r>
      <w:r w:rsidR="00FB5CA7" w:rsidRPr="00FB5CA7">
        <w:rPr>
          <w:rFonts w:ascii="Calibri" w:hAnsi="Calibri" w:cs="Calibri"/>
          <w:i/>
          <w:iCs/>
          <w:szCs w:val="24"/>
        </w:rPr>
        <w:t>et al</w:t>
      </w:r>
      <w:r w:rsidR="00FB5CA7" w:rsidRPr="00FB5CA7">
        <w:rPr>
          <w:rFonts w:ascii="Calibri" w:hAnsi="Calibri" w:cs="Calibri"/>
          <w:szCs w:val="24"/>
        </w:rPr>
        <w:t>. 2024)</w:t>
      </w:r>
      <w:r w:rsidR="00FB5CA7">
        <w:fldChar w:fldCharType="end"/>
      </w:r>
      <w:r>
        <w:t xml:space="preserve">, se diagnosticaron en ese año aproximadamente 20 millones de nuevos casos de cáncer en todo el mundo, con una mortalidad asociada de casi 10 millones de personas. En España, el cáncer se situó como la primera causa de muerte en 2025, por detrás de las enfermedades cardiovasculares, y es la primera causa de años de vida potencialmente perdidos </w:t>
      </w:r>
      <w:r w:rsidR="00FB5CA7">
        <w:fldChar w:fldCharType="begin"/>
      </w:r>
      <w:r w:rsidR="00FB5CA7">
        <w:instrText xml:space="preserve"> ADDIN ZOTERO_ITEM CSL_CITATION {"citationID":"SnZxJadF","properties":{"unsorted":false,"formattedCitation":"(Nota de Prensa: Estad\\uc0\\u237{}stica de Defunciones seg\\uc0\\u250{}n la Causa de Muerte. A\\uc0\\u241{}o 2024. Datos provisionales. s.\\uc0\\u160{}f.)","plainCitation":"(Nota de Prensa: Estadística de Defunciones según la Causa de Muerte. Año 2024. Datos provisionales. s. f.)","noteIndex":0},"citationItems":[{"id":250,"uris":["http://zotero.org/users/19775897/items/77QC2GZ5"],"itemData":{"id":250,"type":"webpage","abstract":"Fecha de publicación: 2025-06-23 11:00:00.0","container-title":"INE","language":"es","title":"Nota de Prensa: Estadística de Defunciones según la Causa de Muerte. Año 2024. Datos provisionales.","title-short":"Nota de Prensa","URL":"https://www.ine.es/dyngs/Prensa/pEDCM2024.html","accessed":{"date-parts":[["2026",3,19]]}}}],"schema":"https://github.com/citation-style-language/schema/raw/master/csl-citation.json"} </w:instrText>
      </w:r>
      <w:r w:rsidR="00FB5CA7">
        <w:fldChar w:fldCharType="separate"/>
      </w:r>
      <w:r w:rsidR="00FB5CA7">
        <w:rPr>
          <w:rFonts w:ascii="Calibri" w:hAnsi="Calibri" w:cs="Calibri"/>
          <w:szCs w:val="24"/>
        </w:rPr>
        <w:t>(Datos del INE en 2024)</w:t>
      </w:r>
      <w:r w:rsidR="00FB5CA7">
        <w:fldChar w:fldCharType="end"/>
      </w:r>
      <w:r>
        <w:t xml:space="preserve">. A pesar de los avances significativos en el diagnóstico y tratamiento oncológico producidos durante las últimas décadas </w:t>
      </w:r>
      <w:r w:rsidR="00FB5CA7">
        <w:fldChar w:fldCharType="begin"/>
      </w:r>
      <w:r w:rsidR="00FB5CA7">
        <w:instrText xml:space="preserve"> ADDIN ZOTERO_ITEM CSL_CITATION {"citationID":"8SdhRrAC","properties":{"unsorted":false,"formattedCitation":"(Banerjee et\\uc0\\u160{}al. 2024)","plainCitation":"(Banerjee et al. 2024)","noteIndex":0},"citationItems":[{"id":252,"uris":["http://zotero.org/users/19775897/items/XQL3U8RQ"],"itemData":{"id":252,"type":"article-journal","abstract":"Since the publication of the first issue of Nature Reviews Clinical Oncology, we have witnessed advances in multiple research areas that have culminated in improved outcomes for many cancer types, although substantial unmet needs remain for a majority of patients worldwide. Here, we have asked experts in several key specialities to reflect on the progress from the past 20 years and propose the next steps to enable further advances. Although we are aware that this Viewpoint cannot provide full coverage of the vast field that is clinical oncology, we hope that these messages inspire a diverse range of readers.","container-title":"Nature reviews. Clinical oncology","DOI":"10.1038/s41571-024-00945-4","ISSN":"1759-4774","issue":"11","journalAbbreviation":"Nat Rev Clin Oncol","page":"771-780","PMID":"39354161","PMCID":"PMC12261309","source":"PubMed Central","title":"Two decades of advances in clinical oncology — lessons learned and future directions","volume":"21","author":[{"family":"Banerjee","given":"Susana"},{"family":"Booth","given":"Christopher M."},{"family":"Bruera","given":"Eduardo"},{"family":"Büchler","given":"Markus W."},{"family":"Drilon","given":"Alexander"},{"family":"Fry","given":"Terry J."},{"family":"Ghobrial","given":"Irene M."},{"family":"Gianni","given":"Luca"},{"family":"Jain","given":"Rakesh K."},{"family":"Kroemer","given":"Guido"},{"family":"Llovet","given":"Josep M."},{"family":"Long","given":"Georgina V."},{"family":"Pantel","given":"Klaus"},{"family":"Pritchard-Jones","given":"Kathy"},{"family":"Scher","given":"Howard I."},{"family":"Tabernero","given":"Josep"},{"family":"Weichselbaum","given":"Ralph R."},{"family":"Weller","given":"Michael"},{"family":"Wu","given":"Yi-Long"}],"issued":{"date-parts":[["2024",11]]}}}],"schema":"https://github.com/citation-style-language/schema/raw/master/csl-citation.json"} </w:instrText>
      </w:r>
      <w:r w:rsidR="00FB5CA7">
        <w:fldChar w:fldCharType="separate"/>
      </w:r>
      <w:r w:rsidR="00FB5CA7" w:rsidRPr="00FB5CA7">
        <w:rPr>
          <w:rFonts w:ascii="Calibri" w:hAnsi="Calibri" w:cs="Calibri"/>
          <w:szCs w:val="24"/>
        </w:rPr>
        <w:t xml:space="preserve">(Banerjee </w:t>
      </w:r>
      <w:r w:rsidR="00FB5CA7" w:rsidRPr="00DF7D0B">
        <w:rPr>
          <w:rFonts w:ascii="Calibri" w:hAnsi="Calibri" w:cs="Calibri"/>
          <w:i/>
          <w:iCs/>
          <w:szCs w:val="24"/>
        </w:rPr>
        <w:t>et al</w:t>
      </w:r>
      <w:r w:rsidR="00FB5CA7" w:rsidRPr="00FB5CA7">
        <w:rPr>
          <w:rFonts w:ascii="Calibri" w:hAnsi="Calibri" w:cs="Calibri"/>
          <w:szCs w:val="24"/>
        </w:rPr>
        <w:t>. 2024)</w:t>
      </w:r>
      <w:r w:rsidR="00FB5CA7">
        <w:fldChar w:fldCharType="end"/>
      </w:r>
      <w:r>
        <w:t>, la supervivencia global a cinco años continúa siendo heterogénea y altamente dependiente del tipo tumoral, del estadio en el momento del diagnóstico, de las características biológicas del tumor y de los factores individuales del paciente.</w:t>
      </w:r>
    </w:p>
    <w:p w14:paraId="7B709F6E" w14:textId="519EAC17" w:rsidR="00B356CE" w:rsidRDefault="00B356CE" w:rsidP="00FB5CA7">
      <w:r>
        <w:t>El cáncer de mama y el cáncer de pulmón son, respectivamente, el cáncer con mayor incidencia en mujeres y el de mayor mortalidad en ambos sexos a nivel mundial</w:t>
      </w:r>
      <w:r w:rsidR="00DF7D0B">
        <w:t xml:space="preserve"> </w:t>
      </w:r>
      <w:r w:rsidR="00DF7D0B">
        <w:fldChar w:fldCharType="begin"/>
      </w:r>
      <w:r w:rsidR="00DF7D0B">
        <w:instrText xml:space="preserve"> ADDIN ZOTERO_ITEM CSL_CITATION {"citationID":"un89nEuE","properties":{"unsorted":false,"formattedCitation":"(Bray et\\uc0\\u160{}al. 2024)","plainCitation":"(Bray et al. 2024)","noteIndex":0},"citationItems":[{"id":31,"uris":["http://zotero.org/users/19775897/items/FLK2GFE5"],"itemData":{"id":31,"type":"article-journal","abstract":"This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DF7D0B">
        <w:fldChar w:fldCharType="separate"/>
      </w:r>
      <w:r w:rsidR="00DF7D0B" w:rsidRPr="00DF7D0B">
        <w:rPr>
          <w:rFonts w:ascii="Calibri" w:hAnsi="Calibri" w:cs="Calibri"/>
          <w:szCs w:val="24"/>
        </w:rPr>
        <w:t>(Bray et al. 2024)</w:t>
      </w:r>
      <w:r w:rsidR="00DF7D0B">
        <w:fldChar w:fldCharType="end"/>
      </w:r>
      <w:r>
        <w:t>. En el cáncer de mama, la supervivencia relativa a cinco años supera el 90% en estadios localizados, pero cae dramáticamente por debajo del 30% en estadios metastásicos. El cáncer de pulmón, cuya supervivencia global a cinco años se sitúa en torno al 19-22%, presenta una heterogeneidad molecular y clínica enorme que condiciona de forma crítica el pronóstico y la respuesta al tratamiento. Estas características hacen de ambos tipos ideales para el desarrollo de modelos predictivos basados en perfiles genómicos.</w:t>
      </w:r>
    </w:p>
    <w:p w14:paraId="2AA12637" w14:textId="77777777" w:rsidR="00B356CE" w:rsidRDefault="00B356CE" w:rsidP="00B356CE">
      <w:pPr>
        <w:spacing w:after="160"/>
      </w:pPr>
    </w:p>
    <w:p w14:paraId="0343CB26" w14:textId="77777777" w:rsidR="00B356CE" w:rsidRPr="00DF7D0B" w:rsidRDefault="00B356CE" w:rsidP="00DF7D0B">
      <w:pPr>
        <w:pStyle w:val="Ttulo3"/>
      </w:pPr>
      <w:bookmarkStart w:id="2" w:name="_Toc223291690"/>
      <w:r w:rsidRPr="00DF7D0B">
        <w:t>1.1.2 Relevancia del análisis de supervivencia en oncología</w:t>
      </w:r>
      <w:bookmarkEnd w:id="2"/>
    </w:p>
    <w:p w14:paraId="5AD52900" w14:textId="16B9B9FC" w:rsidR="00B356CE" w:rsidRDefault="00B356CE" w:rsidP="00DF7D0B">
      <w:r>
        <w:t xml:space="preserve">El análisis de supervivencia constituye el conjunto de técnicas estadísticas diseñadas para modelar el tiempo hasta la ocurrencia de un evento de interés, habitualmente la muerte del paciente o la recurrencia tumoral </w:t>
      </w:r>
      <w:r w:rsidR="00DF7D0B">
        <w:fldChar w:fldCharType="begin"/>
      </w:r>
      <w:r w:rsidR="00DF7D0B">
        <w:instrText xml:space="preserve"> ADDIN ZOTERO_ITEM CSL_CITATION {"citationID":"3Lob7ZJc","properties":{"unsorted":false,"formattedCitation":"(Le-Rademacher y Wang 2021)","plainCitation":"(Le-Rademacher y Wang 2021)","noteIndex":0},"citationItems":[{"id":58,"uris":["http://zotero.org/users/19775897/items/LSEMXNCW"],"itemData":{"id":58,"type":"article-journal","abstract":"In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DF7D0B">
        <w:fldChar w:fldCharType="separate"/>
      </w:r>
      <w:r w:rsidR="00DF7D0B" w:rsidRPr="00DF7D0B">
        <w:rPr>
          <w:rFonts w:ascii="Calibri" w:hAnsi="Calibri" w:cs="Calibri"/>
        </w:rPr>
        <w:t>(Le-Rademacher y Wang 2021)</w:t>
      </w:r>
      <w:r w:rsidR="00DF7D0B">
        <w:fldChar w:fldCharType="end"/>
      </w:r>
      <w:r>
        <w:t xml:space="preserve">. A diferencia de los modelos de regresión convencionales, el análisis de supervivencia incorpora de forma nativa el fenómeno de la censura, es decir, la situación en que un sujeto abandona el estudio antes de experimentar el evento o el seguimiento finaliza sin que este se haya producido </w:t>
      </w:r>
      <w:r w:rsidR="00DF7D0B">
        <w:fldChar w:fldCharType="begin"/>
      </w:r>
      <w:r w:rsidR="00DF7D0B">
        <w:instrText xml:space="preserve"> ADDIN ZOTERO_ITEM CSL_CITATION {"citationID":"EGs7tGTH","properties":{"unsorted":false,"formattedCitation":"(Usman et\\uc0\\u160{}al. 2014)","plainCitation":"(Usman et al. 2014)","noteIndex":0},"citationItems":[{"id":5,"uris":["http://zotero.org/users/19775897/items/NJCVHA8M"],"itemData":{"id":5,"type":"article-journal","abstract":"Aim: \n          Kaplan-Meier estimator provides better estimates to determine the median of the distribution of breast cancer patient's survival times following their recruitment into the study.\n          Materials and Methods: \n          Age, sex, occupation, stage of the disease and results of the treatment of 312 breast cancer patients were the variables used in the study. The mean age of breast cancer patients was found to be 43.39 with a standard deviation of 11.74; the overall median survival time was 10 months. This indicates that 50% of breast cancer patients survived longer than 10 months after being diagnosed with the disease.\n          Results and Discussion: \n          Log-rank test was used to test the significant difference between the survival experiences of the patients. Age group, stage of the breast cancer and results of the treatment, indicated a significant difference, while occupations have not shown any significant difference in the survival of the breast cancer patients.","container-title":"Sub-Saharan African Journal of Medicine","DOI":"10.4103/2384-5147.138940","ISSN":"2384-5147","issue":"3","language":"en-US","page":"132","source":"journals.lww.com","title":"An Application of Kaplan-Meier Survival Analysis Using Breast Cancer Data","volume":"1","author":[{"family":"Usman","given":"M."},{"family":"Dikko","given":"H. G."},{"family":"Bala","given":"S."},{"family":"Gulumbe","given":"S. U."}],"issued":{"date-parts":[["2014",9]]}}}],"schema":"https://github.com/citation-style-language/schema/raw/master/csl-citation.json"} </w:instrText>
      </w:r>
      <w:r w:rsidR="00DF7D0B">
        <w:fldChar w:fldCharType="separate"/>
      </w:r>
      <w:r w:rsidR="00DF7D0B" w:rsidRPr="00DF7D0B">
        <w:rPr>
          <w:rFonts w:ascii="Calibri" w:hAnsi="Calibri" w:cs="Calibri"/>
          <w:szCs w:val="24"/>
        </w:rPr>
        <w:t>(Usman et al. 2014)</w:t>
      </w:r>
      <w:r w:rsidR="00DF7D0B">
        <w:fldChar w:fldCharType="end"/>
      </w:r>
      <w:r>
        <w:t>. Esta capacidad resulta imprescindible en estudios longitudinales oncológicos, en los que la censura es inevitable y su tratamiento incorrecto introduce sesgos graves en las estimaciones pronósticas.</w:t>
      </w:r>
    </w:p>
    <w:p w14:paraId="3E92C7AF" w14:textId="0DFA9A81" w:rsidR="00B356CE" w:rsidRDefault="00B356CE" w:rsidP="00DF7D0B">
      <w:r>
        <w:t xml:space="preserve">Desde su introducción en la década de 1950, los métodos de análisis de supervivencia han evolucionado considerablemente. El estimador no paramétrico de Kaplan-Meier </w:t>
      </w:r>
      <w:r w:rsidR="00DF7D0B">
        <w:fldChar w:fldCharType="begin"/>
      </w:r>
      <w:r w:rsidR="00DF7D0B">
        <w:instrText xml:space="preserve"> ADDIN ZOTERO_ITEM CSL_CITATION {"citationID":"9dIbdrPT","properties":{"unsorted":false,"formattedCitation":"(Kaplan y Meier 1958)","plainCitation":"(Kaplan y Meier 1958)","noteIndex":0},"citationItems":[{"id":170,"uris":["http://zotero.org/users/19775897/items/DTR7ZIEV"],"itemData":{"id":170,"type":"article-journal","abstract":"In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DF7D0B">
        <w:fldChar w:fldCharType="separate"/>
      </w:r>
      <w:r w:rsidR="00DF7D0B" w:rsidRPr="00DF7D0B">
        <w:rPr>
          <w:rFonts w:ascii="Calibri" w:hAnsi="Calibri" w:cs="Calibri"/>
        </w:rPr>
        <w:t>(Kaplan y Meier 1958)</w:t>
      </w:r>
      <w:r w:rsidR="00DF7D0B">
        <w:fldChar w:fldCharType="end"/>
      </w:r>
      <w:r w:rsidR="00DF7D0B">
        <w:t xml:space="preserve"> </w:t>
      </w:r>
      <w:r>
        <w:t xml:space="preserve">sigue siendo el estándar de referencia para la descripción gráfica de curvas de supervivencia en grupos de pacientes. El modelo de riesgos proporcionales de Cox </w:t>
      </w:r>
      <w:r w:rsidR="00DF7D0B">
        <w:fldChar w:fldCharType="begin"/>
      </w:r>
      <w:r w:rsidR="00DF7D0B">
        <w:instrText xml:space="preserve"> ADDIN ZOTERO_ITEM CSL_CITATION {"citationID":"gERSsitI","properties":{"unsorted":false,"formattedCitation":"(Cox 1972)","plainCitation":"(Cox 1972)","noteIndex":0},"citationItems":[{"id":67,"uris":["http://zotero.org/users/19775897/items/EQ2QEUXM"],"itemData":{"id":67,"type":"article-journal","abstract":"The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DF7D0B">
        <w:fldChar w:fldCharType="separate"/>
      </w:r>
      <w:r w:rsidR="00DF7D0B" w:rsidRPr="00DF7D0B">
        <w:rPr>
          <w:rFonts w:ascii="Calibri" w:hAnsi="Calibri" w:cs="Calibri"/>
        </w:rPr>
        <w:t xml:space="preserve">(Cox </w:t>
      </w:r>
      <w:r w:rsidR="00DF7D0B" w:rsidRPr="00DF7D0B">
        <w:rPr>
          <w:rFonts w:ascii="Calibri" w:hAnsi="Calibri" w:cs="Calibri"/>
        </w:rPr>
        <w:lastRenderedPageBreak/>
        <w:t>1972)</w:t>
      </w:r>
      <w:r w:rsidR="00DF7D0B">
        <w:fldChar w:fldCharType="end"/>
      </w:r>
      <w:r w:rsidR="00DF7D0B">
        <w:t xml:space="preserve"> </w:t>
      </w:r>
      <w:r>
        <w:t>introdujo la posibilidad de ajustar el efecto de múltiples covariables simultáneamente, convirtiéndose en el modelo más utilizado en la literatura clínica. Sin embargo, la creciente disponibilidad de datos genómicos de alta dimensionalidad (con decenas de miles de variables por paciente) ha impulsado el desarrollo de métodos más potentes, capaces de capturar relaciones no lineales y de manejar espacios de características de alta dimensión.</w:t>
      </w:r>
    </w:p>
    <w:p w14:paraId="3B416614" w14:textId="77777777" w:rsidR="00B356CE" w:rsidRPr="00DF7D0B" w:rsidRDefault="00B356CE" w:rsidP="00DF7D0B">
      <w:pPr>
        <w:pStyle w:val="Ttulo3"/>
      </w:pPr>
      <w:bookmarkStart w:id="3" w:name="_Toc223291691"/>
      <w:r w:rsidRPr="00DF7D0B">
        <w:t>1.1.3 Papel de los factores genéticos en el pronóstico oncológico</w:t>
      </w:r>
      <w:bookmarkEnd w:id="3"/>
    </w:p>
    <w:p w14:paraId="56F5E229" w14:textId="728A4267" w:rsidR="00B356CE" w:rsidRDefault="00B356CE" w:rsidP="00DF7D0B">
      <w:r>
        <w:t>La genómica ha transformado profundamente la comprensión del cáncer</w:t>
      </w:r>
      <w:r w:rsidR="00807837">
        <w:t xml:space="preserve"> </w:t>
      </w:r>
      <w:r w:rsidR="00807837">
        <w:fldChar w:fldCharType="begin"/>
      </w:r>
      <w:r w:rsidR="00807837">
        <w:instrText xml:space="preserve"> ADDIN ZOTERO_ITEM CSL_CITATION {"citationID":"FT289fmp","properties":{"unsorted":false,"formattedCitation":"(Molla y Bitew 2025)","plainCitation":"(Molla y Bitew 2025)","noteIndex":0},"citationItems":[{"id":51,"uris":["http://zotero.org/users/19775897/items/YC8ZIVTQ"],"itemData":{"id":51,"type":"article-journal","abstract":"Cancer remains a leading global health challenge, with conventional diagnostic and treatment methods often lacking precision and adaptability. This review explores transformative advancements that are reshaping oncology by addressing these limitations. It begins with an overview of cancer’s complexity, emphasizing the shortcomings of conventional tools such as imaging and chemotherapy, which frequently fail to deliver targeted care. The discussion then shifts to biomarkers, which represent a groundbreaking frontier in early detection, enabling the identification of unique biological signatures that signal the presence of cancer with heightened sensitivity. Building on this foundation, the review examines personalized molecular therapies, which target the specific genetic and molecular vulnerabilities of tumors. These therapies not only enhance treatment efficacy but also minimize adverse effects, offering patients improved outcomes and quality of life. By integrating biomarker-driven diagnostics with tailored therapeutic strategies, a new paradigm of precision oncology emerges, bridging the gap between early detection and effective intervention. Real-world case studies highlight both successes, such as significantly improved survival rates, and persistent challenges, including accessibility and cost barriers. Looking ahead, the review outlines pathways by which to scale these innovations, emphasizing the critical need for robust infrastructure, sustained research investment, and equitable healthcare policies. It concludes by envisioning a future where biomarkers and personalized therapies converge to redefine cancer care, offering earlier detection, precise interventions, and better patient experiences. This work underscores the urgency of adopting cutting-edge approaches to overcome cancer’s persistent threats, paving the way for a more effective and humane era in oncology.","container-title":"Journal of Molecular Pathology","DOI":"10.3390/jmp6030020","ISSN":"2673-5261","issue":"3","language":"en","license":"http://creativecommons.org/licenses/by/3.0/","page":"20","publisher":"Multidisciplinary Digital Publishing Institute","source":"www.mdpi.com","title":"The Future of Cancer Diagnosis and Treatment: Unlocking the Power of Biomarkers and Personalized Molecular-Targeted Therapies","title-short":"The Future of Cancer Diagnosis and Treatment","volume":"6","author":[{"family":"Molla","given":"Getnet"},{"family":"Bitew","given":"Molalegne"}],"issued":{"date-parts":[["2025",9]]}}}],"schema":"https://github.com/citation-style-language/schema/raw/master/csl-citation.json"} </w:instrText>
      </w:r>
      <w:r w:rsidR="00807837">
        <w:fldChar w:fldCharType="separate"/>
      </w:r>
      <w:r w:rsidR="00807837" w:rsidRPr="00807837">
        <w:rPr>
          <w:rFonts w:ascii="Calibri" w:hAnsi="Calibri" w:cs="Calibri"/>
        </w:rPr>
        <w:t>(Molla y Bitew 2025)</w:t>
      </w:r>
      <w:r w:rsidR="00807837">
        <w:fldChar w:fldCharType="end"/>
      </w:r>
      <w:r>
        <w:t xml:space="preserve">. La secuenciación masiva del genoma tumoral ha revelado que los tumores, incluso del mismo tipo histológico, presentan perfiles moleculares radicalmente distintos que condicionan de forma determinante su comportamiento biológico, su agresividad y su respuesta a los tratamientos. En el cáncer de mama, la clasificación molecular en subtipos intrínsecos (Luminal A, Luminal B, HER2-enriched y Triple Negativo) ha demostrado tener mayor valor pronóstico que la estadificación TNM convencional </w:t>
      </w:r>
      <w:r w:rsidR="00807837">
        <w:fldChar w:fldCharType="begin"/>
      </w:r>
      <w:r w:rsidR="00807837">
        <w:instrText xml:space="preserve"> ADDIN ZOTERO_ITEM CSL_CITATION {"citationID":"ETJSyc6n","properties":{"unsorted":false,"formattedCitation":"(Orrantia-Borunda et\\uc0\\u160{}al. 2022)","plainCitation":"(Orrantia-Borunda et al. 2022)","noteIndex":0},"citationItems":[{"id":255,"uris":["http://zotero.org/users/19775897/items/XQSQZYPU"],"itemData":{"id":255,"type":"chapter","abstract":"Breast cancer is a genetically and clinically heterogeneous disease with multiple subtypes. The classification of these subtypes has evolved over the years. The most common and widely accepted classification of breast cancer is from an immunohistochemical perspective, based on the expression of the following hormone receptors: estrogen (ER), progesterone (PR) and human epidermal growth factor (HER2). Accordingly, the following four subtypes of breast cancer are widely recognized: luminal A, luminal B, HER2-positive, and triple-negative. With the recent advances in cancer research, and an increased molecular understanding of breast cancer, the current clinical model for classification of breast cancer may be benefit from the addition of several molecular markers such as miRNAs (let-7, miR-155, miR-150, miR-153) and mutations (p53, BRCA 1 and 2 genes). This chapter provides an overview of the characteristics of these four subtypes of breast cancer.","call-number":"NBK583808","container-title":"Breast Cancer","ISBN":"978-0-6453320-3-2","language":"eng","license":"Copyright: The Authors.; The authors confirm that the materials included in this chapter do not violate copyright laws. Where relevant, appropriate permissions have been obtained from the original copyright holder(s), and all original sources have been appropriately acknowledged or referenced.","note":"PMID: 36122153","publisher":"Exon Publications","publisher-place":"Brisbane (AU)","source":"PubMed","title":"Subtypes of Breast Cancer","URL":"http://www.ncbi.nlm.nih.gov/books/NBK583808/","author":[{"family":"Orrantia-Borunda","given":"Erasmo"},{"family":"Anchondo-Nuñez","given":"Patricia"},{"family":"Acuña-Aguilar","given":"Lucero Evelia"},{"family":"Gómez-Valles","given":"Francisco Octavio"},{"family":"Ramírez-Valdespino","given":"Claudia Adriana"}],"editor":[{"family":"Mayrovitz","given":"Harvey N."}],"accessed":{"date-parts":[["2026",3,19]]},"issued":{"date-parts":[["2022"]]}}}],"schema":"https://github.com/citation-style-language/schema/raw/master/csl-citation.json"} </w:instrText>
      </w:r>
      <w:r w:rsidR="00807837">
        <w:fldChar w:fldCharType="separate"/>
      </w:r>
      <w:r w:rsidR="00807837" w:rsidRPr="00807837">
        <w:rPr>
          <w:rFonts w:ascii="Calibri" w:hAnsi="Calibri" w:cs="Calibri"/>
          <w:szCs w:val="24"/>
        </w:rPr>
        <w:t>(Orrantia-Borunda et al. 2022)</w:t>
      </w:r>
      <w:r w:rsidR="00807837">
        <w:fldChar w:fldCharType="end"/>
      </w:r>
      <w:r>
        <w:t xml:space="preserve">. En el cáncer de pulmón no microcítico, la identificación de mutaciones en EGFR, ERBB2 o KRAS tiene implicaciones directas en la selección del tratamiento dirigido </w:t>
      </w:r>
      <w:r w:rsidR="00807837">
        <w:fldChar w:fldCharType="begin"/>
      </w:r>
      <w:r w:rsidR="00807837">
        <w:instrText xml:space="preserve"> ADDIN ZOTERO_ITEM CSL_CITATION {"citationID":"UXYlCCk3","properties":{"unsorted":false,"formattedCitation":"(Cardarella y Johnson 2013)","plainCitation":"(Cardarella y Johnson 2013)","noteIndex":0},"citationItems":[{"id":11,"uris":["http://zotero.org/users/19775897/items/LFQMB3CP"],"itemData":{"id":11,"type":"article-journal","abstract":"The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00807837">
        <w:fldChar w:fldCharType="separate"/>
      </w:r>
      <w:r w:rsidR="00807837" w:rsidRPr="00807837">
        <w:rPr>
          <w:rFonts w:ascii="Calibri" w:hAnsi="Calibri" w:cs="Calibri"/>
        </w:rPr>
        <w:t>(Cardarella y Johnson 2013)</w:t>
      </w:r>
      <w:r w:rsidR="00807837">
        <w:fldChar w:fldCharType="end"/>
      </w:r>
      <w:r>
        <w:t>.</w:t>
      </w:r>
    </w:p>
    <w:p w14:paraId="31F21104" w14:textId="3E0009FA" w:rsidR="00B356CE" w:rsidRDefault="00B356CE" w:rsidP="00DF7D0B">
      <w:r>
        <w:t xml:space="preserve">La integración de datos de expresión génica, mutaciones somáticas, variaciones en el número de copias (CNV) y metilación del ADN en modelos predictivos de supervivencia ha demostrado </w:t>
      </w:r>
      <w:r w:rsidRPr="007D058C">
        <w:t>mejorar significativamente la capacidad pronóstica respecto a los modelos basados exclusivamente en variables clínicas</w:t>
      </w:r>
      <w:r w:rsidR="00A8393C">
        <w:fldChar w:fldCharType="begin"/>
      </w:r>
      <w:r w:rsidR="00A8393C">
        <w:instrText xml:space="preserve"> ADDIN ZOTERO_ITEM CSL_CITATION {"citationID":"JZeZejYB","properties":{"unsorted":false,"formattedCitation":"(Tong et\\uc0\\u160{}al. 2020)","plainCitation":"(Tong et al. 2020)","noteIndex":0},"citationItems":[{"id":102,"uris":["http://zotero.org/users/19775897/items/Z82U38ET"],"itemData":{"id":102,"type":"article-journal","abstract":"Breast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A8393C">
        <w:fldChar w:fldCharType="separate"/>
      </w:r>
      <w:r w:rsidR="00A8393C" w:rsidRPr="00A8393C">
        <w:rPr>
          <w:rFonts w:ascii="Calibri" w:hAnsi="Calibri" w:cs="Calibri"/>
          <w:szCs w:val="24"/>
        </w:rPr>
        <w:t xml:space="preserve">(Tong </w:t>
      </w:r>
      <w:r w:rsidR="00A8393C" w:rsidRPr="00A8393C">
        <w:rPr>
          <w:rFonts w:ascii="Calibri" w:hAnsi="Calibri" w:cs="Calibri"/>
          <w:i/>
          <w:iCs/>
          <w:szCs w:val="24"/>
        </w:rPr>
        <w:t>et al</w:t>
      </w:r>
      <w:r w:rsidR="00A8393C" w:rsidRPr="00A8393C">
        <w:rPr>
          <w:rFonts w:ascii="Calibri" w:hAnsi="Calibri" w:cs="Calibri"/>
          <w:szCs w:val="24"/>
        </w:rPr>
        <w:t>. 2020)</w:t>
      </w:r>
      <w:r w:rsidR="00A8393C">
        <w:fldChar w:fldCharType="end"/>
      </w:r>
      <w:r w:rsidRPr="007D058C">
        <w:t xml:space="preserve">. No obstante, el análisis de este tipo de datos multimodales presenta desafíos metodológicos sustanciales, entre los que destacan la alta dimensionalidad, la colinealidad entre variables </w:t>
      </w:r>
      <w:r w:rsidR="00A8393C">
        <w:fldChar w:fldCharType="begin"/>
      </w:r>
      <w:r w:rsidR="00A8393C">
        <w:instrText xml:space="preserve"> ADDIN ZOTERO_ITEM CSL_CITATION {"citationID":"jaOmrbq3","properties":{"unsorted":false,"formattedCitation":"(Zhao et\\uc0\\u160{}al. 2015)","plainCitation":"(Zhao et al. 2015)","noteIndex":0},"citationItems":[{"id":259,"uris":["http://zotero.org/users/19775897/items/LTJIT6J9"],"itemData":{"id":259,"type":"article-journal","abstract":"With accumulating research on the interconnections among different types of genomic regulations, researchers have found that multidimensional genomic studies outperform one-dimensional studies in multiple aspects. Among many sources of multidimensional genomic data, The Cancer Genome Atlas (TCGA) provides the public with comprehensive profiling data on &amp;gt;30 cancer types, making it an ideal test bed for conducting and comparing different analyses. In this article, the analysis goal is to apply several existing methods and associate multidimensional genomic measurements with cancer outcomes in particular prognosis, with special focus on the predictive power of genomic signatures. We exploit clinical data and four types of genomic measurement including mRNA gene expression, DNA methylation, microRNA and copy number alterations for breast invasive carcinoma, glioblastoma multiforme, acute myeloid leukemia and lung squamous cell carcinoma collected by TCGA. To accommodate the high dimensionality, we extract important features using Principal Component Analysis, Partial Least Squares and Least Absolute Shrinkage and Selection Operator (Lasso), which are representative of dimension reduction and variable selection techniques and have been extensively adopted, and fit Cox survival models with combined important features. We calibrate the predictive power of each type of genomic measurement for the prognosis of four cancer types and find that the results vary across cancers. Our analysis also suggests that for most of the cancers in our study and the adopted methods, there is no substantial improvement in prediction when adding other genomic measurement after gene expression and clinical covariates have been included in the model. This is consistent with the findings that molecular features measured at the transcription level affect clinical outcomes more directly than those measured at the DNA/epigenetic level.","container-title":"Briefings in Bioinformatics","DOI":"10.1093/bib/bbu003","ISSN":"1467-5463","issue":"2","journalAbbreviation":"Brief Bioinform","page":"291-303","source":"Silverchair","title":"Combining multidimensional genomic measurements for predicting cancer prognosis: observations from TCGA","title-short":"Combining multidimensional genomic measurements for predicting cancer prognosis","volume":"16","author":[{"family":"Zhao","given":"Qing"},{"family":"Shi","given":"Xingjie"},{"family":"Xie","given":"Yang"},{"family":"Huang","given":"Jian"},{"family":"Shia","given":"BenChang"},{"family":"Ma","given":"Shuangge"}],"issued":{"date-parts":[["2015",3,1]]}}}],"schema":"https://github.com/citation-style-language/schema/raw/master/csl-citation.json"} </w:instrText>
      </w:r>
      <w:r w:rsidR="00A8393C">
        <w:fldChar w:fldCharType="separate"/>
      </w:r>
      <w:r w:rsidR="00A8393C" w:rsidRPr="00A8393C">
        <w:rPr>
          <w:rFonts w:ascii="Calibri" w:hAnsi="Calibri" w:cs="Calibri"/>
          <w:szCs w:val="24"/>
        </w:rPr>
        <w:t>(Zhao et al. 2015)</w:t>
      </w:r>
      <w:r w:rsidR="00A8393C">
        <w:fldChar w:fldCharType="end"/>
      </w:r>
      <w:r w:rsidRPr="007D058C">
        <w:t>, el desequilibrio entre el número de eventos y el tamaño muestral</w:t>
      </w:r>
      <w:r w:rsidR="00A8393C">
        <w:t xml:space="preserve"> </w:t>
      </w:r>
      <w:r w:rsidR="00A8393C">
        <w:fldChar w:fldCharType="begin"/>
      </w:r>
      <w:r w:rsidR="00A8393C">
        <w:instrText xml:space="preserve"> ADDIN ZOTERO_ITEM CSL_CITATION {"citationID":"pO6cHQt0","properties":{"unsorted":false,"formattedCitation":"(Nguyen y Vafaee 2025)","plainCitation":"(Nguyen y Vafaee 2025)","noteIndex":0},"citationItems":[{"id":262,"uris":["http://zotero.org/users/19775897/items/DZBRXC5T"],"itemData":{"id":262,"type":"article-journal","abstract":"Survival analysis plays a critical role in predicting patient outcomes and guiding personalized cancer therapies. Although multi-omics data provide rich biological insights, their high dimensionality poses significant challenges for robust analysis and clinical implementation. While many studies rely on the traditional Cox proportional hazards model, few have explored alternative survival algorithms combined with rigorous feature selection to identify low-dimensional, clinically feasible prognostic signatures that retain strong predictive power comparable to models using the full feature set. To address these gaps, we developed PRISM (PRognostic marker Identification and Survival Modelling through Multi-omics Integration), a comprehensive framework aimed at improving survival prediction and discovering minimal yet robust biomarker panels across multiple omics modalities. PRISM systematically evaluates various feature selection methods and survival models through a robust pipeline that selects features within single-omics datasets before integrating them via feature-level fusion and multi-stage refinement. Applied to TCGA cohorts of Breast Invasive Carcinoma (BRCA), Cervical Squamous Cell Carcinoma and Endocervical Adenocarcinoma (CESC), Ovarian Serous Cystadenocarcinoma (OV), and Uterine Corpus Endometrial Carcinoma (UCEC), PRISM revealed that cancer types benefit from unique combinations of omics modalities reflecting their molecular heterogeneity. Notably, miRNA expression consistently provided complementary prognostic information across all cancers, enhancing integrated model performance (C-index: BRCA 0.698, CESC 0.754, UCEC 0.754, OV 0.618). PRISM advances cancer prognosis by delivering scalable, interpretable multi-omics integration and identifying concise biomarker signatures with performance comparable to full-feature models, promoting clinical feasibility and precision oncology.","container-title":"Scientific Reports","DOI":"10.1038/s41598-025-20572-y","ISSN":"2045-2322","issue":"1","journalAbbreviation":"Sci Rep","language":"en","license":"2025 The Author(s)","page":"36706","publisher":"Nature Publishing Group","source":"www.nature.com","title":"Multi-omics prognostic marker discovery and survival modelling: a case study on multi-cancer survival analysis of women’s specific tumours","title-short":"Multi-omics prognostic marker discovery and survival modelling","volume":"15","author":[{"family":"Nguyen","given":"Ricky"},{"family":"Vafaee","given":"Fatemeh"}],"issued":{"date-parts":[["2025",10,21]]}}}],"schema":"https://github.com/citation-style-language/schema/raw/master/csl-citation.json"} </w:instrText>
      </w:r>
      <w:r w:rsidR="00A8393C">
        <w:fldChar w:fldCharType="separate"/>
      </w:r>
      <w:r w:rsidR="00A8393C" w:rsidRPr="00A8393C">
        <w:rPr>
          <w:rFonts w:ascii="Calibri" w:hAnsi="Calibri" w:cs="Calibri"/>
        </w:rPr>
        <w:t>(Nguyen y Vafaee 2025)</w:t>
      </w:r>
      <w:r w:rsidR="00A8393C">
        <w:fldChar w:fldCharType="end"/>
      </w:r>
      <w:r w:rsidRPr="007D058C">
        <w:t xml:space="preserve">, y la necesidad de validación externa en cohortes independientes </w:t>
      </w:r>
      <w:r w:rsidR="00A8393C">
        <w:fldChar w:fldCharType="begin"/>
      </w:r>
      <w:r w:rsidR="00A8393C">
        <w:instrText xml:space="preserve"> ADDIN ZOTERO_ITEM CSL_CITATION {"citationID":"cKsC6lz6","properties":{"unsorted":false,"formattedCitation":"(Ramspek et\\uc0\\u160{}al. 2021)","plainCitation":"(Ramspek et al. 2021)","noteIndex":0},"citationItems":[{"id":152,"uris":["http://zotero.org/users/19775897/items/ADBS9PAL"],"itemData":{"id":152,"type":"article-journal","abstract":"Prognostic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A8393C">
        <w:fldChar w:fldCharType="separate"/>
      </w:r>
      <w:r w:rsidR="00A8393C" w:rsidRPr="00A8393C">
        <w:rPr>
          <w:rFonts w:ascii="Calibri" w:hAnsi="Calibri" w:cs="Calibri"/>
          <w:szCs w:val="24"/>
        </w:rPr>
        <w:t xml:space="preserve">(Ramspek </w:t>
      </w:r>
      <w:r w:rsidR="00A8393C" w:rsidRPr="00A8393C">
        <w:rPr>
          <w:rFonts w:ascii="Calibri" w:hAnsi="Calibri" w:cs="Calibri"/>
          <w:i/>
          <w:iCs/>
          <w:szCs w:val="24"/>
        </w:rPr>
        <w:t>et al</w:t>
      </w:r>
      <w:r w:rsidR="00A8393C" w:rsidRPr="00A8393C">
        <w:rPr>
          <w:rFonts w:ascii="Calibri" w:hAnsi="Calibri" w:cs="Calibri"/>
          <w:szCs w:val="24"/>
        </w:rPr>
        <w:t>. 2021)</w:t>
      </w:r>
      <w:r w:rsidR="00A8393C">
        <w:fldChar w:fldCharType="end"/>
      </w:r>
      <w:r w:rsidRPr="007D058C">
        <w:t>.</w:t>
      </w:r>
    </w:p>
    <w:p w14:paraId="0B1C29C0" w14:textId="77777777" w:rsidR="00B356CE" w:rsidRPr="00A8393C" w:rsidRDefault="00B356CE" w:rsidP="00A8393C">
      <w:pPr>
        <w:pStyle w:val="Ttulo3"/>
      </w:pPr>
      <w:bookmarkStart w:id="4" w:name="_Toc223291692"/>
      <w:r w:rsidRPr="00A8393C">
        <w:t>1.1.4 Limitaciones actuales en modelos predictivos</w:t>
      </w:r>
      <w:bookmarkEnd w:id="4"/>
    </w:p>
    <w:p w14:paraId="527A5263" w14:textId="7F4C628C" w:rsidR="00B356CE" w:rsidRPr="007D058C" w:rsidRDefault="00B356CE" w:rsidP="00A8393C">
      <w:r>
        <w:t xml:space="preserve">A pesar del notable progreso experimentado en los últimos años, los modelos predictivos de supervivencia oncológica </w:t>
      </w:r>
      <w:r w:rsidRPr="00C57447">
        <w:t xml:space="preserve">presentan limitaciones importantes que justifican nuevas investigaciones en el campo. En primer lugar, muchos modelos publicados en la literatura han sido entrenados y validados sobre un único conjunto de datos, sin comprobación de su capacidad de generalización en cohortes independientes </w:t>
      </w:r>
      <w:r w:rsidR="00A8393C">
        <w:fldChar w:fldCharType="begin"/>
      </w:r>
      <w:r w:rsidR="00A8393C">
        <w:instrText xml:space="preserve"> ADDIN ZOTERO_ITEM CSL_CITATION {"citationID":"zFd1sC3s","properties":{"unsorted":false,"formattedCitation":"(Li et\\uc0\\u160{}al. 2021)","plainCitation":"(Li et al. 2021)","noteIndex":0},"citationItems":[{"id":133,"uris":["http://zotero.org/users/19775897/items/T3BB8FD6"],"itemData":{"id":133,"type":"article-journal","abstract":"Background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A8393C">
        <w:fldChar w:fldCharType="separate"/>
      </w:r>
      <w:r w:rsidR="00A8393C" w:rsidRPr="00A8393C">
        <w:rPr>
          <w:rFonts w:ascii="Calibri" w:hAnsi="Calibri" w:cs="Calibri"/>
          <w:szCs w:val="24"/>
        </w:rPr>
        <w:t xml:space="preserve">(Li </w:t>
      </w:r>
      <w:r w:rsidR="00A8393C" w:rsidRPr="00A8393C">
        <w:rPr>
          <w:rFonts w:ascii="Calibri" w:hAnsi="Calibri" w:cs="Calibri"/>
          <w:i/>
          <w:iCs/>
          <w:szCs w:val="24"/>
        </w:rPr>
        <w:t>et al</w:t>
      </w:r>
      <w:r w:rsidR="00A8393C" w:rsidRPr="00A8393C">
        <w:rPr>
          <w:rFonts w:ascii="Calibri" w:hAnsi="Calibri" w:cs="Calibri"/>
          <w:szCs w:val="24"/>
        </w:rPr>
        <w:t>. 2021)</w:t>
      </w:r>
      <w:r w:rsidR="00A8393C">
        <w:fldChar w:fldCharType="end"/>
      </w:r>
      <w:r w:rsidR="00A8393C">
        <w:rPr>
          <w:rStyle w:val="Textoennegrita"/>
          <w:b w:val="0"/>
          <w:bCs w:val="0"/>
        </w:rPr>
        <w:t xml:space="preserve">, </w:t>
      </w:r>
      <w:r w:rsidRPr="00C57447">
        <w:t>lo que introduce riesgos de sobreajuste amplificados por prácticas metodológicas como la selección supervisada de variables fuera del marco de muestreo</w:t>
      </w:r>
      <w:r w:rsidR="00997A4F">
        <w:t xml:space="preserve"> </w:t>
      </w:r>
      <w:r w:rsidR="00997A4F">
        <w:fldChar w:fldCharType="begin"/>
      </w:r>
      <w:r w:rsidR="00997A4F">
        <w:instrText xml:space="preserve"> ADDIN ZOTERO_ITEM CSL_CITATION {"citationID":"O3UqjZw7","properties":{"unsorted":false,"formattedCitation":"(Clarke et\\uc0\\u160{}al. 2008)","plainCitation":"(Clarke et al. 2008)","noteIndex":0},"citationItems":[{"id":79,"uris":["http://zotero.org/users/19775897/items/MYJIW3JQ"],"itemData":{"id":79,"type":"article-journal","abstract":"The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997A4F">
        <w:fldChar w:fldCharType="separate"/>
      </w:r>
      <w:r w:rsidR="00997A4F" w:rsidRPr="00997A4F">
        <w:rPr>
          <w:rFonts w:ascii="Calibri" w:hAnsi="Calibri" w:cs="Calibri"/>
          <w:szCs w:val="24"/>
        </w:rPr>
        <w:t>(Clarke et al. 2008)</w:t>
      </w:r>
      <w:r w:rsidR="00997A4F">
        <w:fldChar w:fldCharType="end"/>
      </w:r>
      <w:r w:rsidRPr="007D058C">
        <w:rPr>
          <w:b/>
          <w:bCs/>
        </w:rPr>
        <w:t>.</w:t>
      </w:r>
      <w:r w:rsidRPr="00C57447">
        <w:t xml:space="preserve"> En segundo lugar, la interpretabilidad de los modelos de aprendizaje automático más complejos (como las redes neuronales profundas) sigue siendo un reto pendiente, con implicaciones directas en la adopción clínica de </w:t>
      </w:r>
      <w:r w:rsidRPr="007D058C">
        <w:t>estas herramientas</w:t>
      </w:r>
      <w:r w:rsidR="00997A4F">
        <w:t xml:space="preserve"> </w:t>
      </w:r>
      <w:r w:rsidR="00997A4F">
        <w:fldChar w:fldCharType="begin"/>
      </w:r>
      <w:r w:rsidR="00997A4F">
        <w:instrText xml:space="preserve"> ADDIN ZOTERO_ITEM CSL_CITATION {"citationID":"GOFZ1HrY","properties":{"unsorted":false,"formattedCitation":"(Abbas, Jeong, y Lee 2025)","plainCitation":"(Abbas, Jeong, y Lee 2025)","noteIndex":0},"citationItems":[{"id":264,"uris":["http://zotero.org/users/19775897/items/2BCQHYVS"],"itemData":{"id":264,"type":"article-journal","abstract":"Background: Theintegration of artificial intelligence (AI) into clinical decision support systems (CDSSs) has significantly enhanced diagnostic precision, risk stratification, and treatment planning. AI models remain a barrier to clinical adoption, emphasizing the critical role of explainable AI (XAI). Methods: This systematic meta-analysis synthesizes findings from 62 peer-reviewed studies published between 2018 and 2025, examining the use of XAI methods within CDSSs across various clinical domains, including radiology, oncology, neurology, and critical care. Model-agnostic techniques such as visualization models like Gradient-weighted Class Activation Mapping (Grad-CAM) and attention mechanisms dominated in imaging and sequential data tasks. Results: However, there are still gaps in user-friendly evaluation, methodological transparency, and ethical issues, as seen by the absence of research that evaluated explanation fidelity, clinician trust, or usability in real-world settings. In order to enable responsible AI implementation in healthcare, our analysis emphasizes the necessity of longitudinal clinical validation, participatory system design, and uniform interpretability measures. Conclusions: This review offers a thorough analysis of the state of XAI practices in CDSSs today, identifies methodological and practical issues, and suggests a path forward for AI solutions that are open, moral, and clinically relevant.","container-title":"Healthcare","DOI":"10.3390/healthcare13172154","ISSN":"2227-9032","issue":"17","language":"en","license":"http://creativecommons.org/licenses/by/3.0/","page":"2154","publisher":"Multidisciplinary Digital Publishing Institute","source":"www.mdpi.com","title":"Explainable AI in Clinical Decision Support Systems: A Meta-Analysis of Methods, Applications, and Usability Challenges","title-short":"Explainable AI in Clinical Decision Support Systems","volume":"13","author":[{"family":"Abbas","given":"Qaiser"},{"family":"Jeong","given":"Woonyoung"},{"family":"Lee","given":"Seung Won"}],"issued":{"date-parts":[["2025",1]]}}}],"schema":"https://github.com/citation-style-language/schema/raw/master/csl-citation.json"} </w:instrText>
      </w:r>
      <w:r w:rsidR="00997A4F">
        <w:fldChar w:fldCharType="separate"/>
      </w:r>
      <w:r w:rsidR="00997A4F" w:rsidRPr="00997A4F">
        <w:rPr>
          <w:rFonts w:ascii="Calibri" w:hAnsi="Calibri" w:cs="Calibri"/>
        </w:rPr>
        <w:t>(Abbas, Jeong, y Lee 2025)</w:t>
      </w:r>
      <w:r w:rsidR="00997A4F">
        <w:fldChar w:fldCharType="end"/>
      </w:r>
      <w:r w:rsidRPr="007D058C">
        <w:t xml:space="preserve">. En tercer lugar, la heterogeneidad en los protocolos de recogida y codificación de datos entre distintos repositorios dificulta la armonización y el análisis conjunto de cohortes diversas </w:t>
      </w:r>
      <w:r w:rsidR="00D319E1">
        <w:fldChar w:fldCharType="begin"/>
      </w:r>
      <w:r w:rsidR="00D319E1">
        <w:instrText xml:space="preserve"> ADDIN ZOTERO_ITEM CSL_CITATION {"citationID":"507Kwgox","properties":{"unsorted":false,"formattedCitation":"(Han, Kwon, y Jung 2025)","plainCitation":"(Han, Kwon, y Jung 2025)","noteIndex":0},"citationItems":[{"id":268,"uris":["http://zotero.org/users/19775897/items/SRZ3IS2X"],"itemData":{"id":268,"type":"article-journal","abstract":"Rapid advancements in high-throughput sequencing technologies allow for detailed and accurate measurement of omics features within their biological context. The integration of different omics types creates heterogeneous datasets, presenting challenges in analysis due to variations in measurement units, sample numbers, and features. Currently, there is a lack of generalized guidelines for making decisions in multi-omics study design (MOSD), such as selecting an appropriate number of samples and features, type of preprocessing and integration for robust analysis results. We propose a suggestive guideline for MOSD, involving nine important factors: sample size, feature selection, preprocessing strategy, noise characterization, class balance, number of classes, cancer subtype combination, omics combination, and clinical features.","container-title":"BMC Genomics","DOI":"10.1186/s12864-025-11925-y","ISSN":"1471-2164","issue":"1","journalAbbreviation":"BMC Genomics","language":"en","page":"769","source":"Springer Link","title":"A review on multi-omics integration for aiding study design of large scale TCGA cancer datasets","volume":"26","author":[{"family":"Han","given":"Eonyong"},{"family":"Kwon","given":"Hwijun"},{"family":"Jung","given":"Inuk"}],"issued":{"date-parts":[["2025",8,22]]}}}],"schema":"https://github.com/citation-style-language/schema/raw/master/csl-citation.json"} </w:instrText>
      </w:r>
      <w:r w:rsidR="00D319E1">
        <w:fldChar w:fldCharType="separate"/>
      </w:r>
      <w:r w:rsidR="00D319E1" w:rsidRPr="00D319E1">
        <w:rPr>
          <w:rFonts w:ascii="Calibri" w:hAnsi="Calibri" w:cs="Calibri"/>
        </w:rPr>
        <w:t>(Han, Kwon, y Jung 2025)</w:t>
      </w:r>
      <w:r w:rsidR="00D319E1">
        <w:fldChar w:fldCharType="end"/>
      </w:r>
      <w:r w:rsidR="00D319E1">
        <w:rPr>
          <w:rStyle w:val="Textoennegrita"/>
          <w:b w:val="0"/>
          <w:bCs w:val="0"/>
        </w:rPr>
        <w:t>,</w:t>
      </w:r>
      <w:r w:rsidRPr="007D058C">
        <w:t xml:space="preserve"> siendo especialmente relevante en el caso de TCGA y METABRIC, que emplean plataformas de perfilado molecular distintas </w:t>
      </w:r>
      <w:r w:rsidR="00D319E1">
        <w:fldChar w:fldCharType="begin"/>
      </w:r>
      <w:r w:rsidR="00D319E1">
        <w:instrText xml:space="preserve"> ADDIN ZOTERO_ITEM CSL_CITATION {"citationID":"WuLT7LGu","properties":{"unsorted":false,"formattedCitation":"(Bismeijer, Canisius, y Wessels 2018)","plainCitation":"(Bismeijer, Canisius, y Wessels 2018)","noteIndex":0},"citationItems":[{"id":270,"uris":["http://zotero.org/users/19775897/items/9HUGT948"],"itemData":{"id":270,"type":"article-journal","abstract":"Effective cancer treatment is crucially dependent on the identification of the biological processes that drive a tumor. However, multiple processes may be active simultaneously in a tumor. Clustering is inherently unsuitable to this task as it assigns a tumor to a single cluster. In addition, the wide availability of multiple data types per tumor provides the opportunity to profile the processes driving a tumor more comprehensively. Here we introduce Functional Sparse-Factor Analysis (funcSFA) to address these challenges. FuncSFA integrates multiple data types to define a lower dimensional space capturing the relevant variation. A tailor-made module associates biological processes with these factors. FuncSFA is inspired by iCluster, which we improve in several key aspects. First, we increase the convergence efficiency significantly, allowing the analysis of multiple molecular datasets that have not been pre-matched to contain only concordant features. Second, FuncSFA does not assign tumors to discrete clusters, but identifies the dominant driver processes active in each tumor. This is achieved by a regression of the factors on the RNA expression data followed by a functional enrichment analysis and manual curation step. We apply FuncSFA to the TCGA breast and lung datasets. We identify EMT and Immune processes common to both cancer types. In the breast cancer dataset we recover the known intrinsic subtypes and identify additional processes. These include immune infiltration and EMT, and processes driven by copy number gains on the 8q chromosome arm. In lung cancer we recover the major types (adenocarcinoma and squamous cell carcinoma) and processes active in both of these types. These include EMT, two immune processes, and the activity of the NFE2L2 transcription factor. We validate the breast cancer findings on the METABRIC set and demonstrate the translatability of the TCGA breast cancer factors to METABRIC. In summary, FuncSFA is a robust method to perform discovery of key driver processes in a collection of tumors through unsupervised integration of multiple molecular data types and functional annotation.","container-title":"PLOS Computational Biology","DOI":"10.1371/journal.pcbi.1006520","ISSN":"1553-7358","issue":"10","journalAbbreviation":"PLOS Computational Biology","language":"en","page":"e1006520","publisher":"Public Library of Science","source":"PLoS Journals","title":"Molecular characterization of breast and lung tumors by integration of multiple data types with functional sparse-factor analysis","volume":"14","author":[{"family":"Bismeijer","given":"Tycho"},{"family":"Canisius","given":"Sander"},{"family":"Wessels","given":"Lodewyk F. A."}],"issued":{"date-parts":[["2018",10,31]]}}}],"schema":"https://github.com/citation-style-language/schema/raw/master/csl-citation.json"} </w:instrText>
      </w:r>
      <w:r w:rsidR="00D319E1">
        <w:fldChar w:fldCharType="separate"/>
      </w:r>
      <w:r w:rsidR="00D319E1" w:rsidRPr="00D319E1">
        <w:rPr>
          <w:rFonts w:ascii="Calibri" w:hAnsi="Calibri" w:cs="Calibri"/>
        </w:rPr>
        <w:t>(Bismeijer, Canisius, y Wessels 2018)</w:t>
      </w:r>
      <w:r w:rsidR="00D319E1">
        <w:fldChar w:fldCharType="end"/>
      </w:r>
      <w:r w:rsidRPr="007D058C">
        <w:rPr>
          <w:b/>
          <w:bCs/>
        </w:rPr>
        <w:t>.</w:t>
      </w:r>
    </w:p>
    <w:p w14:paraId="39B77D2D" w14:textId="77777777" w:rsidR="00B356CE" w:rsidRPr="007D058C" w:rsidRDefault="00B356CE" w:rsidP="00A8393C">
      <w:r w:rsidRPr="007D058C">
        <w:t xml:space="preserve">El presente TFM aborda explícitamente estas limitaciones al proponer un diseño metodológico que incorpora dos conjuntos de datos independientes (TCGA y METABRIC), aplica múltiples familias de modelos con distinto nivel de complejidad e interpretabilidad, </w:t>
      </w:r>
      <w:r w:rsidRPr="007D058C">
        <w:lastRenderedPageBreak/>
        <w:t>e implementa protocolos rigurosos de validación cruzada y evaluación mediante métricas estandarizadas.</w:t>
      </w:r>
    </w:p>
    <w:p w14:paraId="4F49FFB0" w14:textId="77777777" w:rsidR="00B356CE" w:rsidRDefault="00B356CE" w:rsidP="00B356CE">
      <w:pPr>
        <w:pStyle w:val="Ttulo3"/>
      </w:pPr>
      <w:bookmarkStart w:id="5" w:name="_Toc223291693"/>
      <w:r>
        <w:t>1.1.5 Propuesta concreta de tipos de cáncer y justificación</w:t>
      </w:r>
      <w:bookmarkEnd w:id="5"/>
    </w:p>
    <w:p w14:paraId="64E2E2B2" w14:textId="77777777" w:rsidR="00B356CE" w:rsidRDefault="00B356CE" w:rsidP="00B356CE">
      <w:r>
        <w:t>Aunque el análisis de supervivencia puede aplicarse a cualquier tipo de cáncer, la amplitud del enfoque genómico exige una delimitación precisa del objeto de estudio. Se propone centrar el análisis en dos tipos de cáncer con características complementarias:</w:t>
      </w:r>
    </w:p>
    <w:p w14:paraId="6F1FA5BF" w14:textId="77777777" w:rsidR="00B356CE" w:rsidRPr="00A802BB" w:rsidRDefault="00B356CE" w:rsidP="00B356CE">
      <w:pPr>
        <w:pStyle w:val="Prrafodelista"/>
        <w:numPr>
          <w:ilvl w:val="0"/>
          <w:numId w:val="5"/>
        </w:numPr>
        <w:jc w:val="both"/>
        <w:rPr>
          <w:rFonts w:asciiTheme="minorHAnsi" w:hAnsiTheme="minorHAnsi" w:cstheme="minorHAnsi"/>
          <w:sz w:val="24"/>
          <w:szCs w:val="24"/>
        </w:rPr>
      </w:pPr>
      <w:r w:rsidRPr="007D058C">
        <w:rPr>
          <w:rFonts w:asciiTheme="minorHAnsi" w:hAnsiTheme="minorHAnsi" w:cstheme="minorHAnsi"/>
          <w:b/>
          <w:bCs/>
          <w:sz w:val="24"/>
          <w:szCs w:val="24"/>
        </w:rPr>
        <w:t>Cáncer de mama (</w:t>
      </w:r>
      <w:r w:rsidRPr="007D058C">
        <w:rPr>
          <w:rFonts w:asciiTheme="minorHAnsi" w:hAnsiTheme="minorHAnsi" w:cstheme="minorHAnsi"/>
          <w:b/>
          <w:bCs/>
          <w:i/>
          <w:iCs/>
          <w:sz w:val="24"/>
          <w:szCs w:val="24"/>
        </w:rPr>
        <w:t>breast cancer</w:t>
      </w:r>
      <w:r w:rsidRPr="007D058C">
        <w:rPr>
          <w:rFonts w:asciiTheme="minorHAnsi" w:hAnsiTheme="minorHAnsi" w:cstheme="minorHAnsi"/>
          <w:b/>
          <w:bCs/>
          <w:sz w:val="24"/>
          <w:szCs w:val="24"/>
        </w:rPr>
        <w:t>):</w:t>
      </w:r>
      <w:r w:rsidRPr="00A802BB">
        <w:rPr>
          <w:rFonts w:asciiTheme="minorHAnsi" w:hAnsiTheme="minorHAnsi" w:cstheme="minorHAnsi"/>
          <w:sz w:val="24"/>
          <w:szCs w:val="24"/>
        </w:rPr>
        <w:t xml:space="preserve"> presenta la mayor disponibilidad de datos genómicos públicos de alta calidad (TCGA-BRCA, METABRIC), una clasificación molecular bien establecida y una extensa literatura de referencia para la comparación de resultados [3, 6,</w:t>
      </w:r>
      <w:r>
        <w:rPr>
          <w:rFonts w:asciiTheme="minorHAnsi" w:hAnsiTheme="minorHAnsi" w:cstheme="minorHAnsi"/>
          <w:sz w:val="24"/>
          <w:szCs w:val="24"/>
        </w:rPr>
        <w:t xml:space="preserve"> </w:t>
      </w:r>
      <w:r w:rsidRPr="00A802BB">
        <w:rPr>
          <w:rFonts w:asciiTheme="minorHAnsi" w:hAnsiTheme="minorHAnsi" w:cstheme="minorHAnsi"/>
          <w:sz w:val="24"/>
          <w:szCs w:val="24"/>
        </w:rPr>
        <w:t>10]. La elevada incidencia y la variabilidad pronóstica entre subtipos moleculares lo convierten en un caso paradigmático para el análisis de supervivencia basado en genómica.</w:t>
      </w:r>
    </w:p>
    <w:p w14:paraId="2C267D7C" w14:textId="77777777" w:rsidR="00B356CE" w:rsidRPr="00A802BB" w:rsidRDefault="00B356CE" w:rsidP="00B356CE">
      <w:pPr>
        <w:pStyle w:val="Prrafodelista"/>
        <w:numPr>
          <w:ilvl w:val="0"/>
          <w:numId w:val="5"/>
        </w:numPr>
        <w:jc w:val="both"/>
        <w:rPr>
          <w:rFonts w:asciiTheme="minorHAnsi" w:hAnsiTheme="minorHAnsi" w:cstheme="minorHAnsi"/>
          <w:sz w:val="24"/>
          <w:szCs w:val="24"/>
        </w:rPr>
      </w:pPr>
      <w:r w:rsidRPr="007D058C">
        <w:rPr>
          <w:rFonts w:asciiTheme="minorHAnsi" w:hAnsiTheme="minorHAnsi" w:cstheme="minorHAnsi"/>
          <w:b/>
          <w:bCs/>
          <w:sz w:val="24"/>
          <w:szCs w:val="24"/>
        </w:rPr>
        <w:t>Cáncer de pulmón no microcítico (NSCLC – Non-Small Cell Lung Cancer):</w:t>
      </w:r>
      <w:r w:rsidRPr="00A802BB">
        <w:rPr>
          <w:rFonts w:asciiTheme="minorHAnsi" w:hAnsiTheme="minorHAnsi" w:cstheme="minorHAnsi"/>
          <w:sz w:val="24"/>
          <w:szCs w:val="24"/>
        </w:rPr>
        <w:t xml:space="preserve"> presenta la mayor mortalidad oncológica mundial [1], elevada heterogeneidad molecular, y una disponibilidad adecuada de datos en TCGA (cohortes TCGA-LUAD y TCGA-LUSC). El contraste entre sus subtipos histológicos (adenocarcinoma vs. carcinoma escamoso) añade valor analítico al estudio comparativo [11].</w:t>
      </w:r>
    </w:p>
    <w:p w14:paraId="5BA8C381" w14:textId="77777777" w:rsidR="00B356CE" w:rsidRDefault="00B356CE" w:rsidP="00B356CE">
      <w:r>
        <w:t>La elección de cáncer de mama como foco primario se justifica por la superior disponibilidad y calidad de datos, en particular la cohorte METABRIC (n &gt; 2.000 pacientes con seguimiento largo), que permite una validación cruzada externa robusta. El cáncer de pulmón actuará como tipo secundario de análisis, permitiendo evaluar la transferibilidad metodológica del enfoque.</w:t>
      </w:r>
    </w:p>
    <w:p w14:paraId="7461144F" w14:textId="77777777" w:rsidR="00B356CE" w:rsidRDefault="00B356CE" w:rsidP="00B356CE"/>
    <w:p w14:paraId="4B5522D8" w14:textId="77777777" w:rsidR="00B356CE" w:rsidRDefault="00B356CE" w:rsidP="00B356CE">
      <w:pPr>
        <w:pStyle w:val="Ttulo3"/>
      </w:pPr>
      <w:bookmarkStart w:id="6" w:name="_Toc223291694"/>
      <w:r>
        <w:t>1.1.6 Conjuntos de datos propuestos – Tabla comparativa</w:t>
      </w:r>
      <w:bookmarkEnd w:id="6"/>
    </w:p>
    <w:p w14:paraId="1C2693F5" w14:textId="77777777" w:rsidR="00B356CE" w:rsidRDefault="00B356CE" w:rsidP="00B356CE">
      <w:pPr>
        <w:spacing w:after="160"/>
      </w:pPr>
      <w:r>
        <w:t>A continuación, se presenta una tabla comparativa de los principales repositorios públicos de datos oncológicos disponibles para este tipo de análisis:</w:t>
      </w:r>
    </w:p>
    <w:p w14:paraId="0F06EF87" w14:textId="77777777" w:rsidR="00B356CE" w:rsidRDefault="00B356CE" w:rsidP="00B356CE">
      <w:pPr>
        <w:pStyle w:val="Descripcin"/>
        <w:keepNext/>
      </w:pPr>
      <w:bookmarkStart w:id="7" w:name="_Toc223291577"/>
      <w:r>
        <w:t xml:space="preserve">Tabla </w:t>
      </w:r>
      <w:r>
        <w:fldChar w:fldCharType="begin"/>
      </w:r>
      <w:r>
        <w:instrText xml:space="preserve"> SEQ Tabla \* ARABIC </w:instrText>
      </w:r>
      <w:r>
        <w:fldChar w:fldCharType="separate"/>
      </w:r>
      <w:r>
        <w:rPr>
          <w:noProof/>
        </w:rPr>
        <w:t>1</w:t>
      </w:r>
      <w:r>
        <w:rPr>
          <w:noProof/>
        </w:rPr>
        <w:fldChar w:fldCharType="end"/>
      </w:r>
      <w:r>
        <w:t xml:space="preserve">: </w:t>
      </w:r>
      <w:r w:rsidRPr="002B2F28">
        <w:t xml:space="preserve">Principales </w:t>
      </w:r>
      <w:r>
        <w:t>conjuntos de datos</w:t>
      </w:r>
      <w:r w:rsidRPr="002B2F28">
        <w:t xml:space="preserve"> oncológicos de acceso público y controlado utilizados en investigación biomédica, con información sobre su organismo fuente, tipo de datos, tamaño muestral aproximado, modalidad de acceso y principales ventajas.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6"/>
        <w:gridCol w:w="1470"/>
        <w:gridCol w:w="1508"/>
        <w:gridCol w:w="1574"/>
        <w:gridCol w:w="1402"/>
        <w:gridCol w:w="1496"/>
      </w:tblGrid>
      <w:tr w:rsidR="00B356CE" w14:paraId="34350F88"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1FD980" w14:textId="77777777" w:rsidR="00B356CE" w:rsidRDefault="00B356CE" w:rsidP="00804702">
            <w:pPr>
              <w:jc w:val="center"/>
            </w:pPr>
            <w:r>
              <w:rPr>
                <w:b/>
                <w:bCs/>
                <w:color w:val="FFFFFF"/>
                <w:sz w:val="20"/>
                <w:szCs w:val="20"/>
              </w:rPr>
              <w:t>Conjunto de datos</w:t>
            </w:r>
          </w:p>
        </w:tc>
        <w:tc>
          <w:tcPr>
            <w:tcW w:w="147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E7B39B" w14:textId="77777777" w:rsidR="00B356CE" w:rsidRDefault="00B356CE" w:rsidP="00804702">
            <w:pPr>
              <w:jc w:val="center"/>
            </w:pPr>
            <w:r>
              <w:rPr>
                <w:b/>
                <w:bCs/>
                <w:color w:val="FFFFFF"/>
                <w:sz w:val="20"/>
                <w:szCs w:val="20"/>
              </w:rPr>
              <w:t>Organismo / Fuente</w:t>
            </w:r>
          </w:p>
        </w:tc>
        <w:tc>
          <w:tcPr>
            <w:tcW w:w="150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BE20C51" w14:textId="77777777" w:rsidR="00B356CE" w:rsidRDefault="00B356CE" w:rsidP="00804702">
            <w:pPr>
              <w:jc w:val="center"/>
            </w:pPr>
            <w:r>
              <w:rPr>
                <w:b/>
                <w:bCs/>
                <w:color w:val="FFFFFF"/>
                <w:sz w:val="20"/>
                <w:szCs w:val="20"/>
              </w:rPr>
              <w:t>Tipo de datos</w:t>
            </w:r>
          </w:p>
        </w:tc>
        <w:tc>
          <w:tcPr>
            <w:tcW w:w="157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9FF2C14" w14:textId="77777777" w:rsidR="00B356CE" w:rsidRDefault="00B356CE" w:rsidP="00804702">
            <w:pPr>
              <w:jc w:val="center"/>
            </w:pPr>
            <w:r>
              <w:rPr>
                <w:b/>
                <w:bCs/>
                <w:color w:val="FFFFFF"/>
                <w:sz w:val="20"/>
                <w:szCs w:val="20"/>
              </w:rPr>
              <w:t>N aprox.</w:t>
            </w:r>
          </w:p>
        </w:tc>
        <w:tc>
          <w:tcPr>
            <w:tcW w:w="140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D4B055C" w14:textId="77777777" w:rsidR="00B356CE" w:rsidRDefault="00B356CE" w:rsidP="00804702">
            <w:pPr>
              <w:jc w:val="center"/>
            </w:pPr>
            <w:r>
              <w:rPr>
                <w:b/>
                <w:bCs/>
                <w:color w:val="FFFFFF"/>
                <w:sz w:val="20"/>
                <w:szCs w:val="20"/>
              </w:rPr>
              <w:t>Acceso</w:t>
            </w:r>
          </w:p>
        </w:tc>
        <w:tc>
          <w:tcPr>
            <w:tcW w:w="149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2196B45" w14:textId="77777777" w:rsidR="00B356CE" w:rsidRDefault="00B356CE" w:rsidP="00804702">
            <w:pPr>
              <w:jc w:val="center"/>
            </w:pPr>
            <w:r>
              <w:rPr>
                <w:b/>
                <w:bCs/>
                <w:color w:val="FFFFFF"/>
                <w:sz w:val="20"/>
                <w:szCs w:val="20"/>
              </w:rPr>
              <w:t>Ventajas principales</w:t>
            </w:r>
          </w:p>
        </w:tc>
      </w:tr>
      <w:tr w:rsidR="00B356CE" w14:paraId="26E4B2D3"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2A1A999" w14:textId="77777777" w:rsidR="00B356CE" w:rsidRDefault="00B356CE" w:rsidP="00804702">
            <w:r>
              <w:rPr>
                <w:b/>
                <w:bCs/>
                <w:sz w:val="20"/>
                <w:szCs w:val="20"/>
              </w:rPr>
              <w:t>TCGA (The Cancer Genome Atlas)</w:t>
            </w:r>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EF44094" w14:textId="77777777" w:rsidR="00B356CE" w:rsidRDefault="00B356CE" w:rsidP="00804702">
            <w:r>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B5E3A1E" w14:textId="77777777" w:rsidR="00B356CE" w:rsidRDefault="00B356CE" w:rsidP="00804702">
            <w:r>
              <w:rPr>
                <w:sz w:val="20"/>
                <w:szCs w:val="20"/>
              </w:rPr>
              <w:t>Expresión génica, mutaciones, CNV, metilación,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8E86E43" w14:textId="77777777" w:rsidR="00B356CE" w:rsidRDefault="00B356CE" w:rsidP="00804702">
            <w:r>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7DAC040" w14:textId="77777777" w:rsidR="00B356CE" w:rsidRDefault="00B356CE" w:rsidP="00804702">
            <w:r>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0E5522" w14:textId="77777777" w:rsidR="00B356CE" w:rsidRDefault="00B356CE" w:rsidP="00804702">
            <w:r>
              <w:rPr>
                <w:sz w:val="20"/>
                <w:szCs w:val="20"/>
              </w:rPr>
              <w:t>Multimodal, estándar de referencia en la literatura</w:t>
            </w:r>
          </w:p>
        </w:tc>
      </w:tr>
      <w:tr w:rsidR="00B356CE" w14:paraId="6EEDD0A4"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AD0858" w14:textId="77777777" w:rsidR="00B356CE" w:rsidRDefault="00B356CE" w:rsidP="00804702">
            <w:r>
              <w:rPr>
                <w:b/>
                <w:bCs/>
                <w:sz w:val="20"/>
                <w:szCs w:val="20"/>
              </w:rPr>
              <w:t xml:space="preserve">METABRIC (Molecular Taxonomy of Breast Cancer </w:t>
            </w:r>
            <w:r>
              <w:rPr>
                <w:b/>
                <w:bCs/>
                <w:sz w:val="20"/>
                <w:szCs w:val="20"/>
              </w:rPr>
              <w:lastRenderedPageBreak/>
              <w:t>International Consortium)</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F25DA95" w14:textId="77777777" w:rsidR="00B356CE" w:rsidRDefault="00B356CE" w:rsidP="00804702">
            <w:r>
              <w:rPr>
                <w:sz w:val="20"/>
                <w:szCs w:val="20"/>
              </w:rPr>
              <w:lastRenderedPageBreak/>
              <w:t xml:space="preserve">UK </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A3F4BF7" w14:textId="77777777" w:rsidR="00B356CE" w:rsidRDefault="00B356CE" w:rsidP="00804702">
            <w:r>
              <w:rPr>
                <w:sz w:val="20"/>
                <w:szCs w:val="20"/>
              </w:rPr>
              <w:t>Microarrays expresión génica, CNV,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52014B" w14:textId="77777777" w:rsidR="00B356CE" w:rsidRDefault="00B356CE" w:rsidP="00804702">
            <w:r>
              <w:rPr>
                <w:sz w:val="20"/>
                <w:szCs w:val="20"/>
              </w:rPr>
              <w:t>&gt;2.000 pacientes (cáncer de mama)</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A088DC9" w14:textId="77777777" w:rsidR="00B356CE" w:rsidRDefault="00B356CE" w:rsidP="00804702">
            <w:r>
              <w:rPr>
                <w:sz w:val="20"/>
                <w:szCs w:val="20"/>
              </w:rPr>
              <w:t>Público (cBioPortal / EGA)</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534354D" w14:textId="77777777" w:rsidR="00B356CE" w:rsidRDefault="00B356CE" w:rsidP="00804702">
            <w:r>
              <w:rPr>
                <w:sz w:val="20"/>
                <w:szCs w:val="20"/>
              </w:rPr>
              <w:t xml:space="preserve">Gran seguimiento, subtipos </w:t>
            </w:r>
            <w:r>
              <w:rPr>
                <w:sz w:val="20"/>
                <w:szCs w:val="20"/>
              </w:rPr>
              <w:lastRenderedPageBreak/>
              <w:t>moleculares validados</w:t>
            </w:r>
          </w:p>
        </w:tc>
      </w:tr>
      <w:tr w:rsidR="00B356CE" w14:paraId="50834D64"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6A2594" w14:textId="77777777" w:rsidR="00B356CE" w:rsidRDefault="00B356CE" w:rsidP="00804702">
            <w:r>
              <w:rPr>
                <w:b/>
                <w:bCs/>
                <w:sz w:val="20"/>
                <w:szCs w:val="20"/>
              </w:rPr>
              <w:lastRenderedPageBreak/>
              <w:t>TCIA (The Cancer Imaging Archive)</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7307E4C" w14:textId="77777777" w:rsidR="00B356CE" w:rsidRDefault="00B356CE" w:rsidP="00804702">
            <w:r>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A6A1A27" w14:textId="77777777" w:rsidR="00B356CE" w:rsidRDefault="00B356CE" w:rsidP="00804702">
            <w:r>
              <w:t>Datos de imágenes por tipo de cancer</w:t>
            </w:r>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37A1D43" w14:textId="77777777" w:rsidR="00B356CE" w:rsidRDefault="00B356CE" w:rsidP="00804702">
            <w:r>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EC17E09" w14:textId="77777777" w:rsidR="00B356CE" w:rsidRDefault="00B356CE" w:rsidP="00804702">
            <w:r>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0D1249" w14:textId="77777777" w:rsidR="00B356CE" w:rsidRDefault="00B356CE" w:rsidP="00804702">
            <w:r>
              <w:rPr>
                <w:sz w:val="20"/>
                <w:szCs w:val="20"/>
              </w:rPr>
              <w:t>Multimodal, estándar de referencia en la literatura</w:t>
            </w:r>
          </w:p>
        </w:tc>
      </w:tr>
      <w:tr w:rsidR="00B356CE" w14:paraId="210CAB1B"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83CCB1F" w14:textId="77777777" w:rsidR="00B356CE" w:rsidRDefault="00B356CE" w:rsidP="00804702">
            <w:r>
              <w:rPr>
                <w:b/>
                <w:bCs/>
                <w:sz w:val="20"/>
                <w:szCs w:val="20"/>
              </w:rPr>
              <w:t>UK Biobank</w:t>
            </w:r>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F493D47" w14:textId="77777777" w:rsidR="00B356CE" w:rsidRDefault="00B356CE" w:rsidP="00804702">
            <w:r>
              <w:rPr>
                <w:sz w:val="20"/>
                <w:szCs w:val="20"/>
              </w:rPr>
              <w:t>MRC / Wellcome Trust (UK)</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7C09E8B" w14:textId="77777777" w:rsidR="00B356CE" w:rsidRDefault="00B356CE" w:rsidP="00804702">
            <w:r>
              <w:rPr>
                <w:sz w:val="20"/>
                <w:szCs w:val="20"/>
              </w:rPr>
              <w:t>Genómica (GWAS), clínico, imágenes</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8EF47E" w14:textId="77777777" w:rsidR="00B356CE" w:rsidRDefault="00B356CE" w:rsidP="00804702">
            <w:r>
              <w:rPr>
                <w:sz w:val="20"/>
                <w:szCs w:val="20"/>
              </w:rPr>
              <w:t>&gt;500.000 participantes</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E464FE1" w14:textId="77777777" w:rsidR="00B356CE" w:rsidRDefault="00B356CE" w:rsidP="00804702">
            <w:r>
              <w:rPr>
                <w:sz w:val="20"/>
                <w:szCs w:val="20"/>
              </w:rPr>
              <w:t>Controlado (previa solicitud)</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A7336DE" w14:textId="77777777" w:rsidR="00B356CE" w:rsidRDefault="00B356CE" w:rsidP="00804702">
            <w:r>
              <w:rPr>
                <w:sz w:val="20"/>
                <w:szCs w:val="20"/>
              </w:rPr>
              <w:t>Muy representativo</w:t>
            </w:r>
          </w:p>
        </w:tc>
      </w:tr>
    </w:tbl>
    <w:p w14:paraId="7E0CF715" w14:textId="77777777" w:rsidR="00B356CE" w:rsidRDefault="00B356CE" w:rsidP="00B356CE"/>
    <w:p w14:paraId="526FDD62" w14:textId="77777777" w:rsidR="00B356CE" w:rsidRDefault="00B356CE" w:rsidP="00B356CE">
      <w:pPr>
        <w:spacing w:after="160"/>
      </w:pPr>
      <w:r>
        <w:t>Para este TFM se propone la combinación TCGA + METABRIC como estrategia más viable, dado que ambos están disponibles de forma pública o semipública, están ampliamente documentados en la literatura y presentan solapamiento parcial de variables que facilitará el análisis comparativo e integrado.</w:t>
      </w:r>
    </w:p>
    <w:p w14:paraId="288CE314" w14:textId="77777777" w:rsidR="00B356CE" w:rsidRDefault="00B356CE" w:rsidP="00B356CE">
      <w:pPr>
        <w:spacing w:after="160"/>
      </w:pPr>
    </w:p>
    <w:p w14:paraId="3FF02E03" w14:textId="77777777" w:rsidR="00B356CE" w:rsidRDefault="00B356CE" w:rsidP="00B356CE">
      <w:pPr>
        <w:pStyle w:val="Ttulo2"/>
      </w:pPr>
      <w:bookmarkStart w:id="8" w:name="_Toc223291695"/>
      <w:r>
        <w:t>1.2 Objetivos del trabajo</w:t>
      </w:r>
      <w:bookmarkEnd w:id="8"/>
    </w:p>
    <w:p w14:paraId="7C220852" w14:textId="77777777" w:rsidR="00B356CE" w:rsidRDefault="00B356CE" w:rsidP="00B356CE">
      <w:pPr>
        <w:pStyle w:val="Ttulo3"/>
      </w:pPr>
      <w:bookmarkStart w:id="9" w:name="_Toc223291696"/>
      <w:r>
        <w:t>Objetivo general</w:t>
      </w:r>
      <w:bookmarkEnd w:id="9"/>
    </w:p>
    <w:p w14:paraId="40A62CD2" w14:textId="77777777" w:rsidR="00B356CE" w:rsidRDefault="00B356CE" w:rsidP="00B356CE">
      <w:r>
        <w:t>Desarrollar, comparar y validar modelos de análisis de supervivencia basados en datos genómicos para la predicción del pronóstico oncológico en cáncer de mama y cáncer de pulmón, utilizando dos cohortes independientes (TCGA y METABRIC), con el fin de identificar las metodologías con mayor capacidad predictiva y generalización entre conjuntos de datos.</w:t>
      </w:r>
    </w:p>
    <w:p w14:paraId="42125805" w14:textId="77777777" w:rsidR="00B356CE" w:rsidRDefault="00B356CE" w:rsidP="00B356CE">
      <w:pPr>
        <w:pStyle w:val="Ttulo3"/>
      </w:pPr>
      <w:bookmarkStart w:id="10" w:name="_Toc223291697"/>
      <w:r>
        <w:t>Objetivos específicos</w:t>
      </w:r>
      <w:bookmarkEnd w:id="10"/>
    </w:p>
    <w:p w14:paraId="54C78897" w14:textId="77777777" w:rsidR="00B356CE" w:rsidRPr="00A802BB" w:rsidRDefault="00B356CE" w:rsidP="00B356CE">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t xml:space="preserve">Implementar y entrenar al menos cuatro modelos de análisis de supervivencia </w:t>
      </w:r>
      <w:r>
        <w:rPr>
          <w:rFonts w:asciiTheme="minorHAnsi" w:hAnsiTheme="minorHAnsi" w:cstheme="minorHAnsi"/>
        </w:rPr>
        <w:t>(</w:t>
      </w:r>
      <w:r w:rsidRPr="00A802BB">
        <w:rPr>
          <w:rFonts w:asciiTheme="minorHAnsi" w:hAnsiTheme="minorHAnsi" w:cstheme="minorHAnsi"/>
        </w:rPr>
        <w:t>Kaplan-Meier, regresión de Cox penalizada (LASSO), Random Survival Forest y DeepSurv</w:t>
      </w:r>
      <w:r>
        <w:rPr>
          <w:rFonts w:asciiTheme="minorHAnsi" w:hAnsiTheme="minorHAnsi" w:cstheme="minorHAnsi"/>
        </w:rPr>
        <w:t>)</w:t>
      </w:r>
      <w:r w:rsidRPr="00A802BB">
        <w:rPr>
          <w:rFonts w:asciiTheme="minorHAnsi" w:hAnsiTheme="minorHAnsi" w:cstheme="minorHAnsi"/>
        </w:rPr>
        <w:t xml:space="preserve"> sobre datos genómicos de las cohortes seleccionadas, documentando las decisiones de diseño y los hiperparámetros adoptados en cada caso.</w:t>
      </w:r>
    </w:p>
    <w:p w14:paraId="05CFDB5B" w14:textId="77777777" w:rsidR="00B356CE" w:rsidRPr="00A802BB" w:rsidRDefault="00B356CE" w:rsidP="00B356CE">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t>Evaluar y comparar el rendimiento predictivo de los modelos implementados mediante métricas estándar (C-index, Brier Score integrado y log-rank test), aplicando validación cruzada k-fold para controlar el sobreajuste y estimar la varianza del rendimiento.</w:t>
      </w:r>
    </w:p>
    <w:p w14:paraId="121EE503" w14:textId="77777777" w:rsidR="00B356CE" w:rsidRPr="00A802BB" w:rsidRDefault="00B356CE" w:rsidP="00B356CE">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t xml:space="preserve">Analizar la transferibilidad y robustez de los modelos mediante validación externa cruzada entre las cohortes TCGA y METABRIC, identificando diferencias de rendimiento atribuibles a la heterogeneidad entre </w:t>
      </w:r>
      <w:r>
        <w:rPr>
          <w:rFonts w:asciiTheme="minorHAnsi" w:hAnsiTheme="minorHAnsi" w:cstheme="minorHAnsi"/>
        </w:rPr>
        <w:t>conjuntos de datos</w:t>
      </w:r>
      <w:r w:rsidRPr="00A802BB">
        <w:rPr>
          <w:rFonts w:asciiTheme="minorHAnsi" w:hAnsiTheme="minorHAnsi" w:cstheme="minorHAnsi"/>
        </w:rPr>
        <w:t>.</w:t>
      </w:r>
    </w:p>
    <w:p w14:paraId="46446B59" w14:textId="77777777" w:rsidR="00B356CE" w:rsidRPr="00A802BB" w:rsidRDefault="00B356CE" w:rsidP="00B356CE">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t>Adquirir, preprocesar e integrar los datos genómicos y clínicos procedentes de las cohortes TCGA-BRCA, TCGA-LUAD/LUSC y METABRIC, garantizando la calidad, coherencia y trazabilidad del proceso de preparación de datos.</w:t>
      </w:r>
    </w:p>
    <w:p w14:paraId="49D70535" w14:textId="77777777" w:rsidR="00B356CE" w:rsidRPr="00A802BB" w:rsidRDefault="00B356CE" w:rsidP="00B356CE">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t xml:space="preserve">Identificar los factores genómicos con mayor relevancia predictiva en cada modelo y tipo de cáncer mediante técnicas de interpretabilidad (importancia de variables </w:t>
      </w:r>
      <w:r w:rsidRPr="00A802BB">
        <w:rPr>
          <w:rFonts w:asciiTheme="minorHAnsi" w:hAnsiTheme="minorHAnsi" w:cstheme="minorHAnsi"/>
        </w:rPr>
        <w:lastRenderedPageBreak/>
        <w:t>en RSF, coeficientes de Cox, análisis SHAP en DeepSurv), contrastando los resultados con la literatura científica de referencia.</w:t>
      </w:r>
    </w:p>
    <w:p w14:paraId="58EF8DDB" w14:textId="77777777" w:rsidR="00B356CE" w:rsidRPr="00A802BB" w:rsidRDefault="00B356CE" w:rsidP="00B356CE">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t>Revisar el estado del arte en análisis de supervivencia oncológica con datos genómicos, identificando los modelos más utilizados, sus fundamentos teóricos y sus limitaciones metodológicas documentadas, como marco de comparación para los resultados obtenidos.</w:t>
      </w:r>
    </w:p>
    <w:p w14:paraId="7921EEF6" w14:textId="77777777" w:rsidR="00B356CE" w:rsidRPr="00A802BB" w:rsidRDefault="00B356CE" w:rsidP="00B356CE">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t>Producir un repositorio de código público (GitHub) con todos los scripts, pipelines de preprocesamiento, notebooks de análisis y visualizaciones generados durante el TFM, siguiendo estándares de reproducibilidad (FAIR).</w:t>
      </w:r>
    </w:p>
    <w:p w14:paraId="25D93C7E" w14:textId="77777777" w:rsidR="00B356CE" w:rsidRDefault="00B356CE" w:rsidP="00B356CE">
      <w:pPr>
        <w:pStyle w:val="font-claude-response-body"/>
        <w:numPr>
          <w:ilvl w:val="0"/>
          <w:numId w:val="8"/>
        </w:numPr>
        <w:jc w:val="both"/>
      </w:pPr>
      <w:r w:rsidRPr="00A802BB">
        <w:rPr>
          <w:rFonts w:asciiTheme="minorHAnsi" w:hAnsiTheme="minorHAnsi" w:cstheme="minorHAnsi"/>
        </w:rPr>
        <w:t>Reflexionar críticamente sobre las limitaciones del trabajo, los sesgos derivados del uso de cohortes no representativas y las líneas de investigación futura que pueden derivarse de los hallazgos obtenidos.</w:t>
      </w:r>
    </w:p>
    <w:p w14:paraId="19F2819F" w14:textId="77777777" w:rsidR="00B356CE" w:rsidRDefault="00B356CE" w:rsidP="00B356CE">
      <w:pPr>
        <w:pStyle w:val="font-claude-response-body"/>
        <w:ind w:left="720"/>
        <w:jc w:val="both"/>
      </w:pPr>
    </w:p>
    <w:p w14:paraId="07636E0F" w14:textId="77777777" w:rsidR="00B356CE" w:rsidRDefault="00B356CE" w:rsidP="00B356CE">
      <w:pPr>
        <w:pStyle w:val="Ttulo2"/>
      </w:pPr>
      <w:bookmarkStart w:id="11" w:name="_Toc223291698"/>
      <w:r>
        <w:t>1.3 Impacto en sostenibilidad, ético-social y diversidad</w:t>
      </w:r>
      <w:bookmarkEnd w:id="11"/>
    </w:p>
    <w:p w14:paraId="0C81D8E5" w14:textId="77777777" w:rsidR="00B356CE" w:rsidRDefault="00B356CE" w:rsidP="00B356CE">
      <w:pPr>
        <w:pStyle w:val="Ttulo3"/>
      </w:pPr>
      <w:bookmarkStart w:id="12" w:name="_Toc223291699"/>
      <w:r>
        <w:t>1.3.1 Impacto ético del uso de datos genéticos</w:t>
      </w:r>
      <w:bookmarkEnd w:id="12"/>
    </w:p>
    <w:p w14:paraId="6C6A7971" w14:textId="77777777" w:rsidR="00B356CE" w:rsidRDefault="00B356CE" w:rsidP="00B356CE">
      <w:pPr>
        <w:spacing w:after="160"/>
      </w:pPr>
      <w:r>
        <w:t>El uso de datos genómicos en investigación biomédica plantea desafíos éticos de especial envergadura. A diferencia de los datos clínicos convencionales, los datos genéticos son inherentemente únicos y en principio irrevocablemente vinculados al individuo. Su análisis puede revelar información sensible no solo sobre el sujeto directamente estudiado, sino también sobre sus familiares biológicos, lo que amplía el perímetro de privacidad afectado más allá del paciente individual. En el contexto de un TFM basado exclusivamente en conjuntos de datos públicos y previamente anonimizados, estos riesgos se minimizan, pero no desaparecen por completo.</w:t>
      </w:r>
    </w:p>
    <w:p w14:paraId="4BC1E35B" w14:textId="77777777" w:rsidR="00B356CE" w:rsidRDefault="00B356CE" w:rsidP="00B356CE">
      <w:pPr>
        <w:spacing w:after="160"/>
      </w:pPr>
      <w:r>
        <w:t>En particular, es relevante considerar el riesgo de reidentificación: la combinación de datos genómicos con variables fenotípicas o clínicas puede, en ciertos contextos, permitir identificar a individuos específicos incluso cuando los identificadores directos han sido eliminados. Estudios como el de [20] han demostrado que la reidentificación de sujetos a partir de datos genómicos supuestamente anónimos es técnicamente posible, lo que subraya la necesidad de adoptar medidas adicionales de protección más allá de la simple eliminación de campos identificadores.</w:t>
      </w:r>
    </w:p>
    <w:p w14:paraId="683BE4E9" w14:textId="77777777" w:rsidR="00B356CE" w:rsidRDefault="00B356CE" w:rsidP="00B356CE"/>
    <w:p w14:paraId="5CC9AA17" w14:textId="77777777" w:rsidR="00B356CE" w:rsidRDefault="00B356CE" w:rsidP="00B356CE">
      <w:pPr>
        <w:pStyle w:val="Ttulo3"/>
      </w:pPr>
      <w:bookmarkStart w:id="13" w:name="_Toc223291700"/>
      <w:r>
        <w:t>1.3.2 Protección de datos y privacidad</w:t>
      </w:r>
      <w:bookmarkEnd w:id="13"/>
    </w:p>
    <w:p w14:paraId="3F8F2054" w14:textId="77777777" w:rsidR="00B356CE" w:rsidRDefault="00B356CE" w:rsidP="00B356CE">
      <w:pPr>
        <w:spacing w:after="160"/>
      </w:pPr>
      <w:r>
        <w:t>El presente trabajo se realizará íntegramente sobre datos de acceso público o de acceso controlado previamente concedido por las instituciones custodias (en el caso de datos de acceso controlado en GDC). En ningún caso se recopilarán, procesarán ni almacenarán datos de pacientes de forma directa. No obstante, se seguirán estrictamente los principios del Reglamento General de Protección de Datos (RGPD, Reglamento UE 2016/679) y las directrices de la Ley Orgánica 3/2018 de Protección de Datos Personales y Garantía de los Derechos Digitales (LOPDGDD).</w:t>
      </w:r>
    </w:p>
    <w:p w14:paraId="70D80689" w14:textId="77777777" w:rsidR="00B356CE" w:rsidRDefault="00B356CE" w:rsidP="00B356CE"/>
    <w:p w14:paraId="2A7FB5AC" w14:textId="77777777" w:rsidR="00B356CE" w:rsidRDefault="00B356CE" w:rsidP="00B356CE">
      <w:pPr>
        <w:pStyle w:val="Ttulo3"/>
      </w:pPr>
      <w:bookmarkStart w:id="14" w:name="_Toc223291701"/>
      <w:r>
        <w:t>1.3.3 Sesgos en conjuntos de datos biomédicos y equidad sanitaria</w:t>
      </w:r>
      <w:bookmarkEnd w:id="14"/>
    </w:p>
    <w:p w14:paraId="006963BA" w14:textId="77777777" w:rsidR="00B356CE" w:rsidRDefault="00B356CE" w:rsidP="00B356CE">
      <w:pPr>
        <w:spacing w:after="160"/>
      </w:pPr>
      <w:r>
        <w:lastRenderedPageBreak/>
        <w:t>Una limitación estructural relevante en los grandes repositorios genómicos públicos es la sobrerrepresentación de poblaciones de ancestría europea en detrimento de otras etnias. Los conjuntos de datos TCGA y METABRIC, aunque de gran valor científico, presentan esta característica. Esta falta de diversidad poblacional puede introducir sesgos en los modelos entrenados, cuya capacidad predictiva puede no generalizarse adecuadamente a pacientes de otras ancestrías. Este sesgo tiene implicaciones directas en la equidad sanitaria: si los modelos de predicción pronóstica son menos fiables para ciertas poblaciones, su adopción clínica puede acentuar las desigualdades en el acceso a un diagnóstico y tratamiento precisos.</w:t>
      </w:r>
    </w:p>
    <w:p w14:paraId="66237AAF" w14:textId="77777777" w:rsidR="00B356CE" w:rsidRDefault="00B356CE" w:rsidP="00B356CE">
      <w:pPr>
        <w:spacing w:after="160"/>
      </w:pPr>
      <w:r>
        <w:t xml:space="preserve">En el marco de este TFM se abordará esta limitación de forma explícita, documentando la composición étnica de los conjuntos de datos utilizados y discutiendo el alcance de los resultados en función de esta característica. </w:t>
      </w:r>
    </w:p>
    <w:p w14:paraId="7A267A8B" w14:textId="77777777" w:rsidR="00B356CE" w:rsidRDefault="00B356CE" w:rsidP="00B356CE"/>
    <w:p w14:paraId="31380F19" w14:textId="77777777" w:rsidR="00B356CE" w:rsidRDefault="00B356CE" w:rsidP="00B356CE">
      <w:pPr>
        <w:pStyle w:val="Ttulo3"/>
      </w:pPr>
      <w:bookmarkStart w:id="15" w:name="_Toc223291702"/>
      <w:r>
        <w:t>1.3.4 Relevancia social del trabajo</w:t>
      </w:r>
      <w:bookmarkEnd w:id="15"/>
    </w:p>
    <w:p w14:paraId="4EA7FB70" w14:textId="77777777" w:rsidR="00B356CE" w:rsidRDefault="00B356CE" w:rsidP="00B356CE">
      <w:pPr>
        <w:spacing w:after="160"/>
      </w:pPr>
      <w:r>
        <w:t>El desarrollo de herramientas de predicción de supervivencia oncológica con base genómica tiene un impacto social potencialmente elevado. En el corto plazo, puede contribuir a una mejor estratificación del riesgo en el momento del diagnóstico, facilitando la personalización de los tratamientos y la priorización de recursos en sistemas de salud con capacidad limitada. En el medio y largo plazo, el avance en este campo puede contribuir a reducir la mortalidad por cáncer mediante una detección más temprana de perfiles de alto riesgo y una selección más precisa de las intervenciones terapéuticas.</w:t>
      </w:r>
    </w:p>
    <w:p w14:paraId="1D65CADC" w14:textId="77777777" w:rsidR="00B356CE" w:rsidRDefault="00B356CE" w:rsidP="00B356CE">
      <w:pPr>
        <w:spacing w:after="160"/>
      </w:pPr>
      <w:r>
        <w:t>Desde el punto de vista de la sostenibilidad, el trabajo tiene un impacto ambiental limitado al uso de recursos computacionales en la nube o en infraestructura universitaria. No obstante, se contempla la optimización del consumo computacional mediante el uso eficiente de algoritmos y la reutilización de representaciones intermedias de datos (embeddings, preprocesados cacheados).</w:t>
      </w:r>
    </w:p>
    <w:p w14:paraId="65242539" w14:textId="77777777" w:rsidR="00B356CE" w:rsidRDefault="00B356CE" w:rsidP="00B356CE"/>
    <w:p w14:paraId="36B4EA9A" w14:textId="77777777" w:rsidR="00B356CE" w:rsidRDefault="00B356CE" w:rsidP="00B356CE">
      <w:pPr>
        <w:pStyle w:val="Ttulo3"/>
      </w:pPr>
      <w:bookmarkStart w:id="16" w:name="_Toc223291703"/>
      <w:r>
        <w:t>1.3.5 Protocolo ético y protección de datos</w:t>
      </w:r>
      <w:bookmarkEnd w:id="16"/>
    </w:p>
    <w:p w14:paraId="5598E931" w14:textId="77777777" w:rsidR="00B356CE" w:rsidRDefault="00B356CE" w:rsidP="00B356CE">
      <w:r>
        <w:t>El protocolo ético del presente TFM se basa en los siguientes principios y medidas concretas:</w:t>
      </w:r>
    </w:p>
    <w:p w14:paraId="6636CF12" w14:textId="77777777" w:rsidR="00B356CE" w:rsidRPr="00682F9D" w:rsidRDefault="00B356CE" w:rsidP="00B356CE">
      <w:pPr>
        <w:pStyle w:val="Prrafodelista"/>
        <w:numPr>
          <w:ilvl w:val="0"/>
          <w:numId w:val="7"/>
        </w:numPr>
        <w:jc w:val="both"/>
        <w:rPr>
          <w:rFonts w:asciiTheme="minorHAnsi" w:hAnsiTheme="minorHAnsi" w:cstheme="minorHAnsi"/>
          <w:sz w:val="24"/>
          <w:szCs w:val="24"/>
        </w:rPr>
      </w:pPr>
      <w:r w:rsidRPr="007D058C">
        <w:rPr>
          <w:rFonts w:asciiTheme="minorHAnsi" w:hAnsiTheme="minorHAnsi" w:cstheme="minorHAnsi"/>
          <w:b/>
          <w:bCs/>
          <w:sz w:val="24"/>
          <w:szCs w:val="24"/>
        </w:rPr>
        <w:t>RGPD y normativa aplicable</w:t>
      </w:r>
      <w:r w:rsidRPr="00682F9D">
        <w:rPr>
          <w:rFonts w:asciiTheme="minorHAnsi" w:hAnsiTheme="minorHAnsi" w:cstheme="minorHAnsi"/>
          <w:sz w:val="24"/>
          <w:szCs w:val="24"/>
        </w:rPr>
        <w:t>: El trabajo se enmarca en el uso secundario de datos de investigación previamente anonimizados y recopilados con el consentimiento informado de los participantes en sus estudios de origen. El tratamiento de estos datos respeta los principios de minimización, finalidad y limitación del almacenamiento establecidos por el RGPD.</w:t>
      </w:r>
    </w:p>
    <w:p w14:paraId="5FB2D04F" w14:textId="77777777" w:rsidR="00B356CE" w:rsidRPr="00682F9D" w:rsidRDefault="00B356CE" w:rsidP="00B356CE">
      <w:pPr>
        <w:pStyle w:val="Prrafodelista"/>
        <w:numPr>
          <w:ilvl w:val="0"/>
          <w:numId w:val="7"/>
        </w:numPr>
        <w:jc w:val="both"/>
        <w:rPr>
          <w:rFonts w:asciiTheme="minorHAnsi" w:hAnsiTheme="minorHAnsi" w:cstheme="minorHAnsi"/>
          <w:sz w:val="24"/>
          <w:szCs w:val="24"/>
        </w:rPr>
      </w:pPr>
      <w:r w:rsidRPr="007D058C">
        <w:rPr>
          <w:rFonts w:asciiTheme="minorHAnsi" w:hAnsiTheme="minorHAnsi" w:cstheme="minorHAnsi"/>
          <w:b/>
          <w:bCs/>
          <w:sz w:val="24"/>
          <w:szCs w:val="24"/>
        </w:rPr>
        <w:t>Anonimización</w:t>
      </w:r>
      <w:r w:rsidRPr="00682F9D">
        <w:rPr>
          <w:rFonts w:asciiTheme="minorHAnsi" w:hAnsiTheme="minorHAnsi" w:cstheme="minorHAnsi"/>
          <w:sz w:val="24"/>
          <w:szCs w:val="24"/>
        </w:rPr>
        <w:t xml:space="preserve">: Los </w:t>
      </w:r>
      <w:r>
        <w:rPr>
          <w:rFonts w:asciiTheme="minorHAnsi" w:hAnsiTheme="minorHAnsi" w:cstheme="minorHAnsi"/>
          <w:sz w:val="24"/>
          <w:szCs w:val="24"/>
        </w:rPr>
        <w:t>conjuntos de datos</w:t>
      </w:r>
      <w:r w:rsidRPr="00682F9D">
        <w:rPr>
          <w:rFonts w:asciiTheme="minorHAnsi" w:hAnsiTheme="minorHAnsi" w:cstheme="minorHAnsi"/>
          <w:sz w:val="24"/>
          <w:szCs w:val="24"/>
        </w:rPr>
        <w:t xml:space="preserve"> TCGA y METABRIC utilizan identificadores </w:t>
      </w:r>
      <w:r>
        <w:rPr>
          <w:rFonts w:asciiTheme="minorHAnsi" w:hAnsiTheme="minorHAnsi" w:cstheme="minorHAnsi"/>
          <w:sz w:val="24"/>
          <w:szCs w:val="24"/>
        </w:rPr>
        <w:t>p</w:t>
      </w:r>
      <w:r w:rsidRPr="00682F9D">
        <w:rPr>
          <w:rFonts w:asciiTheme="minorHAnsi" w:hAnsiTheme="minorHAnsi" w:cstheme="minorHAnsi"/>
          <w:sz w:val="24"/>
          <w:szCs w:val="24"/>
        </w:rPr>
        <w:t>seudoanónimos (códigos alfanuméricos) en lugar de nombres, fechas de nacimiento exactas u otros datos directamente identificativos. El TFM no realizará ningún intento de reidentificación de sujetos y los identificadores internos de los datasets no serán publicados ni compartidos fuera del entorno de investigación.</w:t>
      </w:r>
    </w:p>
    <w:p w14:paraId="69EE60AE" w14:textId="77777777" w:rsidR="00B356CE" w:rsidRPr="00682F9D" w:rsidRDefault="00B356CE" w:rsidP="00B356CE">
      <w:pPr>
        <w:pStyle w:val="Prrafodelista"/>
        <w:numPr>
          <w:ilvl w:val="0"/>
          <w:numId w:val="7"/>
        </w:numPr>
        <w:jc w:val="both"/>
        <w:rPr>
          <w:rFonts w:asciiTheme="minorHAnsi" w:hAnsiTheme="minorHAnsi" w:cstheme="minorHAnsi"/>
          <w:sz w:val="24"/>
          <w:szCs w:val="24"/>
        </w:rPr>
      </w:pPr>
      <w:r w:rsidRPr="007D058C">
        <w:rPr>
          <w:rFonts w:asciiTheme="minorHAnsi" w:hAnsiTheme="minorHAnsi" w:cstheme="minorHAnsi"/>
          <w:b/>
          <w:bCs/>
          <w:sz w:val="24"/>
          <w:szCs w:val="24"/>
        </w:rPr>
        <w:t xml:space="preserve">Uso de </w:t>
      </w:r>
      <w:r>
        <w:rPr>
          <w:rFonts w:asciiTheme="minorHAnsi" w:hAnsiTheme="minorHAnsi" w:cstheme="minorHAnsi"/>
          <w:b/>
          <w:bCs/>
          <w:sz w:val="24"/>
          <w:szCs w:val="24"/>
        </w:rPr>
        <w:t>conjuntos de datos</w:t>
      </w:r>
      <w:r w:rsidRPr="007D058C">
        <w:rPr>
          <w:rFonts w:asciiTheme="minorHAnsi" w:hAnsiTheme="minorHAnsi" w:cstheme="minorHAnsi"/>
          <w:b/>
          <w:bCs/>
          <w:sz w:val="24"/>
          <w:szCs w:val="24"/>
        </w:rPr>
        <w:t xml:space="preserve"> públicos</w:t>
      </w:r>
      <w:r w:rsidRPr="00682F9D">
        <w:rPr>
          <w:rFonts w:asciiTheme="minorHAnsi" w:hAnsiTheme="minorHAnsi" w:cstheme="minorHAnsi"/>
          <w:sz w:val="24"/>
          <w:szCs w:val="24"/>
        </w:rPr>
        <w:t xml:space="preserve">: TCGA es accesible de forma abierta para datos no controlados a través del GDC Data Portal, y de forma controlada (previo </w:t>
      </w:r>
      <w:r w:rsidRPr="00682F9D">
        <w:rPr>
          <w:rFonts w:asciiTheme="minorHAnsi" w:hAnsiTheme="minorHAnsi" w:cstheme="minorHAnsi"/>
          <w:sz w:val="24"/>
          <w:szCs w:val="24"/>
        </w:rPr>
        <w:lastRenderedPageBreak/>
        <w:t>acuerdo de acceso) para ciertos tipos de datos. METABRIC está disponible a través de cBioPortal para uso no comercial. En ambos casos, el acceso a los datos se realizará cumpliendo estrictamente los términos y condiciones de uso establecidos por las instituciones custodias.</w:t>
      </w:r>
    </w:p>
    <w:p w14:paraId="78FFE852" w14:textId="77777777" w:rsidR="00B356CE" w:rsidRDefault="00B356CE" w:rsidP="00B356CE">
      <w:pPr>
        <w:pStyle w:val="Prrafodelista"/>
        <w:numPr>
          <w:ilvl w:val="0"/>
          <w:numId w:val="7"/>
        </w:numPr>
        <w:jc w:val="both"/>
        <w:rPr>
          <w:rFonts w:asciiTheme="minorHAnsi" w:hAnsiTheme="minorHAnsi" w:cstheme="minorHAnsi"/>
          <w:sz w:val="24"/>
          <w:szCs w:val="24"/>
        </w:rPr>
      </w:pPr>
      <w:r w:rsidRPr="007D058C">
        <w:rPr>
          <w:rFonts w:asciiTheme="minorHAnsi" w:hAnsiTheme="minorHAnsi" w:cstheme="minorHAnsi"/>
          <w:b/>
          <w:bCs/>
          <w:sz w:val="24"/>
          <w:szCs w:val="24"/>
        </w:rPr>
        <w:t>Buenas prácticas en ciencia de datos biomédica</w:t>
      </w:r>
      <w:r w:rsidRPr="00682F9D">
        <w:rPr>
          <w:rFonts w:asciiTheme="minorHAnsi" w:hAnsiTheme="minorHAnsi" w:cstheme="minorHAnsi"/>
          <w:sz w:val="24"/>
          <w:szCs w:val="24"/>
        </w:rPr>
        <w:t>: Se seguirán las directrices FAIR (</w:t>
      </w:r>
      <w:r w:rsidRPr="00682F9D">
        <w:rPr>
          <w:rFonts w:asciiTheme="minorHAnsi" w:hAnsiTheme="minorHAnsi" w:cstheme="minorHAnsi"/>
          <w:i/>
          <w:iCs/>
          <w:sz w:val="24"/>
          <w:szCs w:val="24"/>
        </w:rPr>
        <w:t>Findable, Accessible, Interoperable, Reusable</w:t>
      </w:r>
      <w:r w:rsidRPr="00682F9D">
        <w:rPr>
          <w:rFonts w:asciiTheme="minorHAnsi" w:hAnsiTheme="minorHAnsi" w:cstheme="minorHAnsi"/>
          <w:sz w:val="24"/>
          <w:szCs w:val="24"/>
        </w:rPr>
        <w:t>) para la gestión de datos y código. El repositorio de código será público, pero no incluirá datos de pacientes. Se utilizará control de versiones (Git) y se documentarán exhaustivamente todas las decisiones de preprocesamiento y modelado.</w:t>
      </w:r>
    </w:p>
    <w:p w14:paraId="0C808E53" w14:textId="77777777" w:rsidR="00B356CE" w:rsidRPr="00682F9D" w:rsidRDefault="00B356CE" w:rsidP="00B356CE">
      <w:pPr>
        <w:pStyle w:val="Prrafodelista"/>
        <w:ind w:left="720"/>
        <w:jc w:val="both"/>
        <w:rPr>
          <w:rFonts w:asciiTheme="minorHAnsi" w:hAnsiTheme="minorHAnsi" w:cstheme="minorHAnsi"/>
          <w:sz w:val="24"/>
          <w:szCs w:val="24"/>
        </w:rPr>
      </w:pPr>
    </w:p>
    <w:p w14:paraId="3AE0B56F" w14:textId="77777777" w:rsidR="00B356CE" w:rsidRDefault="00B356CE" w:rsidP="00B356CE">
      <w:pPr>
        <w:pStyle w:val="Ttulo2"/>
      </w:pPr>
      <w:bookmarkStart w:id="17" w:name="_Toc223291704"/>
      <w:r>
        <w:t>1.4 Enfoque y método seguido</w:t>
      </w:r>
      <w:bookmarkEnd w:id="17"/>
    </w:p>
    <w:p w14:paraId="599D2E67" w14:textId="77777777" w:rsidR="00B356CE" w:rsidRDefault="00B356CE" w:rsidP="00B356CE">
      <w:pPr>
        <w:pStyle w:val="Ttulo3"/>
      </w:pPr>
      <w:bookmarkStart w:id="18" w:name="_Toc223291705"/>
      <w:r>
        <w:t>1.4.1 Tipo de estudio</w:t>
      </w:r>
      <w:bookmarkEnd w:id="18"/>
    </w:p>
    <w:p w14:paraId="7E09FF67" w14:textId="77777777" w:rsidR="00B356CE" w:rsidRDefault="00B356CE" w:rsidP="00B356CE">
      <w:pPr>
        <w:spacing w:after="160"/>
      </w:pPr>
      <w:r>
        <w:t>El presente trabajo corresponde a un estudio observacional retrospectivo basado en análisis secundario de datos. No se realizará ninguna intervención sobre sujetos ni se recopilarán nuevos datos. El diseño analítico es de cohorte histórica: se parte de conjuntos de datos de pacientes oncológicos con seguimiento conocido, y se modela el tiempo hasta el evento (muerte, recurrencia) en función de los perfiles genómicos y variables clínicas disponibles.</w:t>
      </w:r>
    </w:p>
    <w:p w14:paraId="60981863" w14:textId="77777777" w:rsidR="00B356CE" w:rsidRDefault="00B356CE" w:rsidP="00B356CE"/>
    <w:p w14:paraId="45EC857A" w14:textId="77777777" w:rsidR="00B356CE" w:rsidRDefault="00B356CE" w:rsidP="00B356CE">
      <w:pPr>
        <w:pStyle w:val="Ttulo3"/>
      </w:pPr>
      <w:bookmarkStart w:id="19" w:name="_Toc223291706"/>
      <w:r>
        <w:t>1.4.2 Pipeline metodológico</w:t>
      </w:r>
      <w:bookmarkEnd w:id="19"/>
    </w:p>
    <w:p w14:paraId="1DC9684C" w14:textId="77777777" w:rsidR="00B356CE" w:rsidRDefault="00B356CE" w:rsidP="00B356CE">
      <w:pPr>
        <w:spacing w:after="160"/>
      </w:pPr>
      <w:r>
        <w:t>El flujo de trabajo se estructura en las siguientes etapas secuenciales:</w:t>
      </w:r>
    </w:p>
    <w:p w14:paraId="52B2F051" w14:textId="77777777" w:rsidR="00B356CE" w:rsidRDefault="00B356CE" w:rsidP="00B356CE">
      <w:pPr>
        <w:pStyle w:val="Descripcin"/>
        <w:keepNext/>
      </w:pPr>
      <w:bookmarkStart w:id="20" w:name="_Toc223291578"/>
      <w:r>
        <w:t xml:space="preserve">Tabla </w:t>
      </w:r>
      <w:r>
        <w:fldChar w:fldCharType="begin"/>
      </w:r>
      <w:r>
        <w:instrText xml:space="preserve"> SEQ Tabla \* ARABIC </w:instrText>
      </w:r>
      <w:r>
        <w:fldChar w:fldCharType="separate"/>
      </w:r>
      <w:r>
        <w:rPr>
          <w:noProof/>
        </w:rPr>
        <w:t>2</w:t>
      </w:r>
      <w:r>
        <w:rPr>
          <w:noProof/>
        </w:rPr>
        <w:fldChar w:fldCharType="end"/>
      </w:r>
      <w:r>
        <w:t xml:space="preserve">: </w:t>
      </w:r>
      <w:r w:rsidRPr="001C13E1">
        <w:t>Fases del flujo metodológico del estudio, desde la adquisición y preprocesamiento de datos hasta el modelado de supervivencia, evaluación, interpretabilidad y análisis comparativo entre conjuntos de datos oncológicos.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1"/>
        <w:gridCol w:w="2190"/>
        <w:gridCol w:w="3785"/>
        <w:gridCol w:w="2480"/>
      </w:tblGrid>
      <w:tr w:rsidR="00B356CE" w14:paraId="0B9CC0DB"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5BA42EC" w14:textId="77777777" w:rsidR="00B356CE" w:rsidRDefault="00B356CE" w:rsidP="00804702">
            <w:pPr>
              <w:jc w:val="center"/>
            </w:pPr>
            <w:r>
              <w:rPr>
                <w:b/>
                <w:bCs/>
                <w:color w:val="FFFFFF"/>
                <w:sz w:val="20"/>
                <w:szCs w:val="20"/>
              </w:rPr>
              <w:t>Fase</w:t>
            </w:r>
          </w:p>
        </w:tc>
        <w:tc>
          <w:tcPr>
            <w:tcW w:w="21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5A61600" w14:textId="77777777" w:rsidR="00B356CE" w:rsidRDefault="00B356CE" w:rsidP="00804702">
            <w:pPr>
              <w:jc w:val="center"/>
            </w:pPr>
            <w:r>
              <w:rPr>
                <w:b/>
                <w:bCs/>
                <w:color w:val="FFFFFF"/>
                <w:sz w:val="20"/>
                <w:szCs w:val="20"/>
              </w:rPr>
              <w:t>Etapa</w:t>
            </w:r>
          </w:p>
        </w:tc>
        <w:tc>
          <w:tcPr>
            <w:tcW w:w="3785"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FA6D5AB" w14:textId="77777777" w:rsidR="00B356CE" w:rsidRDefault="00B356CE" w:rsidP="00804702">
            <w:pPr>
              <w:jc w:val="center"/>
            </w:pPr>
            <w:r>
              <w:rPr>
                <w:b/>
                <w:bCs/>
                <w:color w:val="FFFFFF"/>
                <w:sz w:val="20"/>
                <w:szCs w:val="20"/>
              </w:rPr>
              <w:t>Actividades principales</w:t>
            </w:r>
          </w:p>
        </w:tc>
        <w:tc>
          <w:tcPr>
            <w:tcW w:w="248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E5FC888" w14:textId="77777777" w:rsidR="00B356CE" w:rsidRDefault="00B356CE" w:rsidP="00804702">
            <w:pPr>
              <w:jc w:val="center"/>
            </w:pPr>
            <w:r>
              <w:rPr>
                <w:b/>
                <w:bCs/>
                <w:color w:val="FFFFFF"/>
                <w:sz w:val="20"/>
                <w:szCs w:val="20"/>
              </w:rPr>
              <w:t>Herramientas / Librerías</w:t>
            </w:r>
          </w:p>
        </w:tc>
      </w:tr>
      <w:tr w:rsidR="00B356CE" w14:paraId="78F4A445"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9F54EC" w14:textId="77777777" w:rsidR="00B356CE" w:rsidRDefault="00B356CE" w:rsidP="00804702">
            <w:r>
              <w:rPr>
                <w:b/>
                <w:bCs/>
                <w:sz w:val="20"/>
                <w:szCs w:val="20"/>
              </w:rPr>
              <w:t>1</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689A086" w14:textId="77777777" w:rsidR="00B356CE" w:rsidRDefault="00B356CE" w:rsidP="00804702">
            <w:r>
              <w:rPr>
                <w:sz w:val="20"/>
                <w:szCs w:val="20"/>
              </w:rPr>
              <w:t>Adquisición de datos</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8E016C2" w14:textId="77777777" w:rsidR="00B356CE" w:rsidRDefault="00B356CE" w:rsidP="00804702">
            <w:r>
              <w:rPr>
                <w:sz w:val="20"/>
                <w:szCs w:val="20"/>
              </w:rPr>
              <w:t>Descarga de datasets TCGA y METABRIC; selección de variables relevantes (expresión génica, mutaciones, CNV, variables clínicas de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7D607C3" w14:textId="77777777" w:rsidR="00B356CE" w:rsidRDefault="00B356CE" w:rsidP="00804702">
            <w:r>
              <w:rPr>
                <w:sz w:val="20"/>
                <w:szCs w:val="20"/>
              </w:rPr>
              <w:t>GDC Data Transfer Tool, cBioPortal API, TCGAbiolinks (R/Python)</w:t>
            </w:r>
          </w:p>
        </w:tc>
      </w:tr>
      <w:tr w:rsidR="00B356CE" w14:paraId="3FA15743"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C4EE280" w14:textId="77777777" w:rsidR="00B356CE" w:rsidRDefault="00B356CE" w:rsidP="00804702">
            <w:r>
              <w:rPr>
                <w:b/>
                <w:bCs/>
                <w:sz w:val="20"/>
                <w:szCs w:val="20"/>
              </w:rPr>
              <w:t>2</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543705" w14:textId="77777777" w:rsidR="00B356CE" w:rsidRDefault="00B356CE" w:rsidP="00804702">
            <w:r>
              <w:rPr>
                <w:sz w:val="20"/>
                <w:szCs w:val="20"/>
              </w:rPr>
              <w:t>Preprocesamiento y calidad</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ECF9196" w14:textId="77777777" w:rsidR="00B356CE" w:rsidRDefault="00B356CE" w:rsidP="00804702">
            <w:r>
              <w:rPr>
                <w:sz w:val="20"/>
                <w:szCs w:val="20"/>
              </w:rPr>
              <w:t>Filtrado de genes de baja varianza, normalización, imputación de valores ausentes, selección de características (PCA)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C10E801" w14:textId="77777777" w:rsidR="00B356CE" w:rsidRDefault="00B356CE" w:rsidP="00804702">
            <w:r>
              <w:rPr>
                <w:sz w:val="20"/>
                <w:szCs w:val="20"/>
              </w:rPr>
              <w:t>Python (pandas, numpy, scikit-learn, …)</w:t>
            </w:r>
          </w:p>
        </w:tc>
      </w:tr>
      <w:tr w:rsidR="00B356CE" w14:paraId="56548557"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B9D8A92" w14:textId="77777777" w:rsidR="00B356CE" w:rsidRDefault="00B356CE" w:rsidP="00804702">
            <w:r>
              <w:rPr>
                <w:b/>
                <w:bCs/>
                <w:sz w:val="20"/>
                <w:szCs w:val="20"/>
              </w:rPr>
              <w:t>3</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5D9C5B9" w14:textId="77777777" w:rsidR="00B356CE" w:rsidRDefault="00B356CE" w:rsidP="00804702">
            <w:r>
              <w:rPr>
                <w:sz w:val="20"/>
                <w:szCs w:val="20"/>
              </w:rPr>
              <w:t>Análisis exploratorio (EDA)</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833D60" w14:textId="77777777" w:rsidR="00B356CE" w:rsidRDefault="00B356CE" w:rsidP="00804702">
            <w:r>
              <w:rPr>
                <w:sz w:val="20"/>
                <w:szCs w:val="20"/>
              </w:rPr>
              <w:t>Distribución de variables clínicas, tasas de eventos, análisis de censura, correlaciones entre expresión génica y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BD64652" w14:textId="77777777" w:rsidR="00B356CE" w:rsidRDefault="00B356CE" w:rsidP="00804702">
            <w:r>
              <w:rPr>
                <w:sz w:val="20"/>
                <w:szCs w:val="20"/>
              </w:rPr>
              <w:t>matplotlib, seaborn, plotly lifelines (Python)</w:t>
            </w:r>
          </w:p>
        </w:tc>
      </w:tr>
      <w:tr w:rsidR="00B356CE" w14:paraId="5F842666"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38C3460" w14:textId="77777777" w:rsidR="00B356CE" w:rsidRDefault="00B356CE" w:rsidP="00804702">
            <w:r>
              <w:rPr>
                <w:b/>
                <w:bCs/>
                <w:sz w:val="20"/>
                <w:szCs w:val="20"/>
              </w:rPr>
              <w:t>4</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C1EB37" w14:textId="77777777" w:rsidR="00B356CE" w:rsidRDefault="00B356CE" w:rsidP="00804702">
            <w:r>
              <w:rPr>
                <w:sz w:val="20"/>
                <w:szCs w:val="20"/>
              </w:rPr>
              <w:t>Modelado de supervivencia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E697A7F" w14:textId="77777777" w:rsidR="00B356CE" w:rsidRDefault="00B356CE" w:rsidP="00804702">
            <w:r>
              <w:rPr>
                <w:sz w:val="20"/>
                <w:szCs w:val="20"/>
              </w:rPr>
              <w:t>Implementación de Kaplan-Meier, Cox PH, RSF y DeepSurv; ajuste de hiperparámetros mediante búsqueda en rejilla o Bayesiana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F8D019F" w14:textId="77777777" w:rsidR="00B356CE" w:rsidRDefault="00B356CE" w:rsidP="00804702">
            <w:r>
              <w:rPr>
                <w:sz w:val="20"/>
                <w:szCs w:val="20"/>
              </w:rPr>
              <w:t>scikit-learn, scikit-survival, pycox, PyTorch / TensorFlow</w:t>
            </w:r>
          </w:p>
        </w:tc>
      </w:tr>
      <w:tr w:rsidR="00B356CE" w14:paraId="67105688"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BC1F7C9" w14:textId="77777777" w:rsidR="00B356CE" w:rsidRDefault="00B356CE" w:rsidP="00804702">
            <w:r>
              <w:rPr>
                <w:b/>
                <w:bCs/>
                <w:sz w:val="20"/>
                <w:szCs w:val="20"/>
              </w:rPr>
              <w:lastRenderedPageBreak/>
              <w:t>5</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4BC6F8" w14:textId="77777777" w:rsidR="00B356CE" w:rsidRDefault="00B356CE" w:rsidP="00804702">
            <w:r>
              <w:rPr>
                <w:sz w:val="20"/>
                <w:szCs w:val="20"/>
              </w:rPr>
              <w:t>Evaluación y validación</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51CCFC3" w14:textId="77777777" w:rsidR="00B356CE" w:rsidRDefault="00B356CE" w:rsidP="00804702">
            <w:r>
              <w:rPr>
                <w:sz w:val="20"/>
                <w:szCs w:val="20"/>
              </w:rPr>
              <w:t>C-index, Brier Score, log-rank test; validación cruzada k-fold (k=5 o k=10); validación externa cruzando datasets</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5B6A77" w14:textId="77777777" w:rsidR="00B356CE" w:rsidRDefault="00B356CE" w:rsidP="00804702">
            <w:r>
              <w:rPr>
                <w:sz w:val="20"/>
                <w:szCs w:val="20"/>
              </w:rPr>
              <w:t>scikit-survival, scikit-learn, scipy.stats</w:t>
            </w:r>
          </w:p>
        </w:tc>
      </w:tr>
      <w:tr w:rsidR="00B356CE" w14:paraId="6286F30A"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D4909F" w14:textId="77777777" w:rsidR="00B356CE" w:rsidRDefault="00B356CE" w:rsidP="00804702">
            <w:r>
              <w:rPr>
                <w:b/>
                <w:bCs/>
                <w:sz w:val="20"/>
                <w:szCs w:val="20"/>
              </w:rPr>
              <w:t>6</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DBD0F36" w14:textId="77777777" w:rsidR="00B356CE" w:rsidRDefault="00B356CE" w:rsidP="00804702">
            <w:r>
              <w:rPr>
                <w:sz w:val="20"/>
                <w:szCs w:val="20"/>
              </w:rPr>
              <w:t>Interpretabilidad y análisis de importancia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FD5061" w14:textId="77777777" w:rsidR="00B356CE" w:rsidRDefault="00B356CE" w:rsidP="00804702">
            <w:r>
              <w:rPr>
                <w:sz w:val="20"/>
                <w:szCs w:val="20"/>
              </w:rPr>
              <w:t>Extracción de variables más relevantes; comparación con literatura genómica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90150D6" w14:textId="77777777" w:rsidR="00B356CE" w:rsidRDefault="00B356CE" w:rsidP="00804702">
            <w:r>
              <w:rPr>
                <w:sz w:val="20"/>
                <w:szCs w:val="20"/>
              </w:rPr>
              <w:t>RSF feature importance, coeficientes Cox</w:t>
            </w:r>
          </w:p>
        </w:tc>
      </w:tr>
      <w:tr w:rsidR="00B356CE" w14:paraId="3A16E881"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E26A38B" w14:textId="77777777" w:rsidR="00B356CE" w:rsidRDefault="00B356CE" w:rsidP="00804702">
            <w:r>
              <w:rPr>
                <w:b/>
                <w:bCs/>
                <w:sz w:val="20"/>
                <w:szCs w:val="20"/>
              </w:rPr>
              <w:t>7</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B5CEE53" w14:textId="77777777" w:rsidR="00B356CE" w:rsidRDefault="00B356CE" w:rsidP="00804702">
            <w:r>
              <w:rPr>
                <w:sz w:val="20"/>
                <w:szCs w:val="20"/>
              </w:rPr>
              <w:t xml:space="preserve">Análisis comparativo </w:t>
            </w:r>
            <w:r w:rsidRPr="00682F9D">
              <w:rPr>
                <w:i/>
                <w:iCs/>
                <w:sz w:val="20"/>
                <w:szCs w:val="20"/>
              </w:rPr>
              <w:t>inter-dataset</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2FD679" w14:textId="77777777" w:rsidR="00B356CE" w:rsidRDefault="00B356CE" w:rsidP="00804702">
            <w:r>
              <w:rPr>
                <w:sz w:val="20"/>
                <w:szCs w:val="20"/>
              </w:rPr>
              <w:t>Transferencia de modelos entre TCGA y METABRIC; análisis de diferencias en rendimiento; discusión de causas</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1439E26" w14:textId="77777777" w:rsidR="00B356CE" w:rsidRDefault="00B356CE" w:rsidP="00804702">
            <w:r>
              <w:rPr>
                <w:sz w:val="20"/>
                <w:szCs w:val="20"/>
              </w:rPr>
              <w:t>Python, tablas comparativas, visualizaciones</w:t>
            </w:r>
          </w:p>
        </w:tc>
      </w:tr>
    </w:tbl>
    <w:p w14:paraId="1BE26865" w14:textId="77777777" w:rsidR="00B356CE" w:rsidRDefault="00B356CE" w:rsidP="00B356CE"/>
    <w:p w14:paraId="57CBA1C3" w14:textId="77777777" w:rsidR="00B356CE" w:rsidRDefault="00B356CE" w:rsidP="00B356CE">
      <w:pPr>
        <w:pStyle w:val="Ttulo3"/>
      </w:pPr>
      <w:bookmarkStart w:id="21" w:name="_Toc223291707"/>
      <w:r>
        <w:t>1.4.3 Técnicas de análisis de supervivencia</w:t>
      </w:r>
      <w:bookmarkEnd w:id="21"/>
    </w:p>
    <w:p w14:paraId="3A09A316" w14:textId="77777777" w:rsidR="00B356CE" w:rsidRDefault="00B356CE" w:rsidP="00B356CE">
      <w:pPr>
        <w:spacing w:after="160"/>
      </w:pPr>
      <w:r>
        <w:t>Se describen a continuación las técnicas metodológicas que se implementarán en el trabajo:</w:t>
      </w:r>
    </w:p>
    <w:p w14:paraId="1EC25664" w14:textId="77777777" w:rsidR="00B356CE" w:rsidRPr="00682F9D"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Estimador de Kaplan-Meier</w:t>
      </w:r>
      <w:r w:rsidRPr="00682F9D">
        <w:rPr>
          <w:rFonts w:asciiTheme="minorHAnsi" w:hAnsiTheme="minorHAnsi" w:cstheme="minorHAnsi"/>
          <w:sz w:val="24"/>
          <w:szCs w:val="24"/>
        </w:rPr>
        <w:t>: Método no paramétrico para la estimación de la función de supervivencia a partir de datos censurados. Se utilizará para la descripción inicial de las curvas de supervivencia por grupos (subtipos moleculares, estadios) y para la visualización de diferencias entre cohortes mediante el test log-rank.</w:t>
      </w:r>
    </w:p>
    <w:p w14:paraId="2078F42D" w14:textId="77777777" w:rsidR="00B356CE" w:rsidRPr="00682F9D"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Modelo de riesgos proporcionales de Cox (Cox PH):</w:t>
      </w:r>
      <w:r w:rsidRPr="00682F9D">
        <w:rPr>
          <w:rFonts w:asciiTheme="minorHAnsi" w:hAnsiTheme="minorHAnsi" w:cstheme="minorHAnsi"/>
          <w:sz w:val="24"/>
          <w:szCs w:val="24"/>
        </w:rPr>
        <w:t xml:space="preserve"> Modelo semiparamétrico que modela la tasa de riesgo instantánea (hazard) como producto de una función basal no especificada y una función exponencial de las covariables. Permite estimar el efecto relativo de cada variable genómica sobre el riesgo de evento. Se explorará la regularización mediante penalización LASSO para el manejo de alta dimensionalidad.</w:t>
      </w:r>
    </w:p>
    <w:p w14:paraId="5B3C1E84" w14:textId="77777777" w:rsidR="00B356CE" w:rsidRPr="00682F9D"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Random Survival Forest (RSF):</w:t>
      </w:r>
      <w:r w:rsidRPr="00682F9D">
        <w:rPr>
          <w:rFonts w:asciiTheme="minorHAnsi" w:hAnsiTheme="minorHAnsi" w:cstheme="minorHAnsi"/>
          <w:sz w:val="24"/>
          <w:szCs w:val="24"/>
        </w:rPr>
        <w:t xml:space="preserve"> Extensión del algoritmo de bosque aleatorio al contexto de supervivencia, basada en la construcción de múltiples árboles de supervivencia mediante la función de log-rank como criterio de división. Permite capturar relaciones no lineales e interacciones entre variables sin necesidad de asumir proporcionalidad de los riesgos.</w:t>
      </w:r>
    </w:p>
    <w:p w14:paraId="2C6B8253" w14:textId="77777777" w:rsidR="00B356CE" w:rsidRPr="00682F9D"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DeepSurv</w:t>
      </w:r>
      <w:r w:rsidRPr="00682F9D">
        <w:rPr>
          <w:rFonts w:asciiTheme="minorHAnsi" w:hAnsiTheme="minorHAnsi" w:cstheme="minorHAnsi"/>
          <w:sz w:val="24"/>
          <w:szCs w:val="24"/>
        </w:rPr>
        <w:t xml:space="preserve">: Red neuronal profunda de tipo </w:t>
      </w:r>
      <w:r w:rsidRPr="00682F9D">
        <w:rPr>
          <w:rFonts w:asciiTheme="minorHAnsi" w:hAnsiTheme="minorHAnsi" w:cstheme="minorHAnsi"/>
          <w:i/>
          <w:iCs/>
          <w:sz w:val="24"/>
          <w:szCs w:val="24"/>
        </w:rPr>
        <w:t>feedforward</w:t>
      </w:r>
      <w:r w:rsidRPr="00682F9D">
        <w:rPr>
          <w:rFonts w:asciiTheme="minorHAnsi" w:hAnsiTheme="minorHAnsi" w:cstheme="minorHAnsi"/>
          <w:sz w:val="24"/>
          <w:szCs w:val="24"/>
        </w:rPr>
        <w:t xml:space="preserve"> que minimiza la función de pérdida de verosimilitud parcial de Cox. Permite modelar relaciones altamente no lineales entre las variables de entrada y el riesgo de evento, ofreciendo mayor flexibilidad a costa de mayor complejidad de entrenamiento e interpretabilidad reducida.</w:t>
      </w:r>
    </w:p>
    <w:p w14:paraId="337371DC" w14:textId="77777777" w:rsidR="00B356CE" w:rsidRDefault="00B356CE" w:rsidP="00B356CE"/>
    <w:p w14:paraId="6EE3D83D" w14:textId="77777777" w:rsidR="00B356CE" w:rsidRDefault="00B356CE" w:rsidP="00B356CE">
      <w:pPr>
        <w:pStyle w:val="Ttulo3"/>
      </w:pPr>
      <w:bookmarkStart w:id="22" w:name="_Toc223291708"/>
      <w:r>
        <w:t>1.4.4 Métricas de evaluación</w:t>
      </w:r>
      <w:bookmarkEnd w:id="22"/>
    </w:p>
    <w:p w14:paraId="35EB9BC4" w14:textId="77777777" w:rsidR="00B356CE" w:rsidRDefault="00B356CE" w:rsidP="00B356CE">
      <w:pPr>
        <w:spacing w:after="160"/>
      </w:pPr>
      <w:r>
        <w:t>Se utilizarán las siguientes métricas para la evaluación y comparación de modelos:</w:t>
      </w:r>
    </w:p>
    <w:p w14:paraId="2AC36E91" w14:textId="77777777" w:rsidR="00B356CE" w:rsidRPr="00682F9D"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C-index (</w:t>
      </w:r>
      <w:r w:rsidRPr="007D058C">
        <w:rPr>
          <w:rFonts w:asciiTheme="minorHAnsi" w:hAnsiTheme="minorHAnsi" w:cstheme="minorHAnsi"/>
          <w:b/>
          <w:bCs/>
          <w:i/>
          <w:iCs/>
          <w:sz w:val="24"/>
          <w:szCs w:val="24"/>
        </w:rPr>
        <w:t>Concordance Index</w:t>
      </w:r>
      <w:r w:rsidRPr="007D058C">
        <w:rPr>
          <w:rFonts w:asciiTheme="minorHAnsi" w:hAnsiTheme="minorHAnsi" w:cstheme="minorHAnsi"/>
          <w:b/>
          <w:bCs/>
          <w:sz w:val="24"/>
          <w:szCs w:val="24"/>
        </w:rPr>
        <w:t>):</w:t>
      </w:r>
      <w:r w:rsidRPr="00682F9D">
        <w:rPr>
          <w:rFonts w:asciiTheme="minorHAnsi" w:hAnsiTheme="minorHAnsi" w:cstheme="minorHAnsi"/>
          <w:sz w:val="24"/>
          <w:szCs w:val="24"/>
        </w:rPr>
        <w:t xml:space="preserve"> Mide la probabilidad de que, dado un par de pacientes, el modelo asigne un riesgo mayor al que experimenta el evento primero. Equivalente al área bajo la curva ROC para datos de supervivencia. </w:t>
      </w:r>
      <w:r w:rsidRPr="00682F9D">
        <w:rPr>
          <w:rFonts w:asciiTheme="minorHAnsi" w:hAnsiTheme="minorHAnsi" w:cstheme="minorHAnsi"/>
          <w:sz w:val="24"/>
          <w:szCs w:val="24"/>
        </w:rPr>
        <w:lastRenderedPageBreak/>
        <w:t>Valores próximos a 1 indican discriminación excelente; valores cercanos a 0,5 indican rendimiento similar al azar.</w:t>
      </w:r>
    </w:p>
    <w:p w14:paraId="26758BA4" w14:textId="77777777" w:rsidR="00B356CE" w:rsidRPr="00682F9D"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Brier Score integrado (IBS)</w:t>
      </w:r>
      <w:r w:rsidRPr="00682F9D">
        <w:rPr>
          <w:rFonts w:asciiTheme="minorHAnsi" w:hAnsiTheme="minorHAnsi" w:cstheme="minorHAnsi"/>
          <w:sz w:val="24"/>
          <w:szCs w:val="24"/>
        </w:rPr>
        <w:t>: Mide el error cuadrático medio de la probabilidad de supervivencia estimada respecto al resultado real observado, integrado sobre el horizonte temporal de seguimiento. Proporciona una medida de calibración y discriminación conjunta.</w:t>
      </w:r>
    </w:p>
    <w:p w14:paraId="067AD9B0" w14:textId="77777777" w:rsidR="00B356CE" w:rsidRPr="00682F9D"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Log-rank test</w:t>
      </w:r>
      <w:r w:rsidRPr="00682F9D">
        <w:rPr>
          <w:rFonts w:asciiTheme="minorHAnsi" w:hAnsiTheme="minorHAnsi" w:cstheme="minorHAnsi"/>
          <w:sz w:val="24"/>
          <w:szCs w:val="24"/>
        </w:rPr>
        <w:t xml:space="preserve">: Test estadístico no paramétrico para la comparación de curvas de supervivencia entre grupos. Se utilizará para evaluar si las diferencias en supervivencia entre subgrupos definidos por perfil genómico o por </w:t>
      </w:r>
      <w:r>
        <w:rPr>
          <w:rFonts w:asciiTheme="minorHAnsi" w:hAnsiTheme="minorHAnsi" w:cstheme="minorHAnsi"/>
          <w:sz w:val="24"/>
          <w:szCs w:val="24"/>
        </w:rPr>
        <w:t>conjunto de datos</w:t>
      </w:r>
      <w:r w:rsidRPr="00682F9D">
        <w:rPr>
          <w:rFonts w:asciiTheme="minorHAnsi" w:hAnsiTheme="minorHAnsi" w:cstheme="minorHAnsi"/>
          <w:sz w:val="24"/>
          <w:szCs w:val="24"/>
        </w:rPr>
        <w:t xml:space="preserve"> son estadísticamente significativas.</w:t>
      </w:r>
    </w:p>
    <w:p w14:paraId="31FDF6E0" w14:textId="77777777" w:rsidR="00B356CE" w:rsidRDefault="00B356CE" w:rsidP="00B356CE"/>
    <w:p w14:paraId="76F4C337" w14:textId="77777777" w:rsidR="00B356CE" w:rsidRDefault="00B356CE" w:rsidP="00B356CE">
      <w:pPr>
        <w:pStyle w:val="Ttulo2"/>
      </w:pPr>
      <w:bookmarkStart w:id="23" w:name="_Toc223291709"/>
      <w:r>
        <w:t>1.5 Planificación del trabajo</w:t>
      </w:r>
      <w:bookmarkEnd w:id="23"/>
    </w:p>
    <w:p w14:paraId="26F21F00" w14:textId="77777777" w:rsidR="00B356CE" w:rsidRDefault="00B356CE" w:rsidP="00B356CE">
      <w:pPr>
        <w:pStyle w:val="Ttulo3"/>
      </w:pPr>
      <w:bookmarkStart w:id="24" w:name="_Toc223291710"/>
      <w:r>
        <w:t>1.5.1 Fases, tareas, entregables e hitos</w:t>
      </w:r>
      <w:bookmarkEnd w:id="24"/>
    </w:p>
    <w:p w14:paraId="319C0CF5" w14:textId="77777777" w:rsidR="00B356CE" w:rsidRDefault="00B356CE" w:rsidP="00B356CE">
      <w:pPr>
        <w:pStyle w:val="Descripcin"/>
        <w:keepNext/>
      </w:pPr>
      <w:bookmarkStart w:id="25" w:name="_Toc223291579"/>
      <w:r>
        <w:t xml:space="preserve">Tabla </w:t>
      </w:r>
      <w:r>
        <w:fldChar w:fldCharType="begin"/>
      </w:r>
      <w:r>
        <w:instrText xml:space="preserve"> SEQ Tabla \* ARABIC </w:instrText>
      </w:r>
      <w:r>
        <w:fldChar w:fldCharType="separate"/>
      </w:r>
      <w:r>
        <w:rPr>
          <w:noProof/>
        </w:rPr>
        <w:t>3</w:t>
      </w:r>
      <w:r>
        <w:rPr>
          <w:noProof/>
        </w:rPr>
        <w:fldChar w:fldCharType="end"/>
      </w:r>
      <w:r>
        <w:t xml:space="preserve">: </w:t>
      </w:r>
      <w:r w:rsidRPr="00434DFC">
        <w:t>Planificación temporal del proyecto, detallando las fases del TFM, sus tareas principales, entregables asociados, hitos académicos y duración estimada desde la definición inicial hasta la entrega final.</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320"/>
        <w:gridCol w:w="2197"/>
        <w:gridCol w:w="1390"/>
        <w:gridCol w:w="1419"/>
      </w:tblGrid>
      <w:tr w:rsidR="00B356CE" w14:paraId="3E04687F"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AA9D132" w14:textId="77777777" w:rsidR="00B356CE" w:rsidRDefault="00B356CE" w:rsidP="00804702">
            <w:pPr>
              <w:jc w:val="center"/>
            </w:pPr>
            <w:r>
              <w:rPr>
                <w:rFonts w:ascii="Arial" w:hAnsi="Arial"/>
                <w:b/>
                <w:bCs/>
                <w:color w:val="FFFFFF"/>
                <w:sz w:val="20"/>
                <w:szCs w:val="20"/>
              </w:rPr>
              <w:t>Fase</w:t>
            </w:r>
          </w:p>
        </w:tc>
        <w:tc>
          <w:tcPr>
            <w:tcW w:w="232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FCB3BDC" w14:textId="77777777" w:rsidR="00B356CE" w:rsidRDefault="00B356CE" w:rsidP="00804702">
            <w:pPr>
              <w:jc w:val="center"/>
            </w:pPr>
            <w:r>
              <w:rPr>
                <w:rFonts w:ascii="Arial" w:hAnsi="Arial"/>
                <w:b/>
                <w:bCs/>
                <w:color w:val="FFFFFF"/>
                <w:sz w:val="20"/>
                <w:szCs w:val="20"/>
              </w:rPr>
              <w:t>Tareas principales</w:t>
            </w:r>
          </w:p>
        </w:tc>
        <w:tc>
          <w:tcPr>
            <w:tcW w:w="219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2C458D0" w14:textId="77777777" w:rsidR="00B356CE" w:rsidRDefault="00B356CE" w:rsidP="00804702">
            <w:pPr>
              <w:jc w:val="center"/>
            </w:pPr>
            <w:r>
              <w:rPr>
                <w:rFonts w:ascii="Arial" w:hAnsi="Arial"/>
                <w:b/>
                <w:bCs/>
                <w:color w:val="FFFFFF"/>
                <w:sz w:val="20"/>
                <w:szCs w:val="20"/>
              </w:rPr>
              <w:t>Entregables</w:t>
            </w:r>
          </w:p>
        </w:tc>
        <w:tc>
          <w:tcPr>
            <w:tcW w:w="13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1900100" w14:textId="77777777" w:rsidR="00B356CE" w:rsidRDefault="00B356CE" w:rsidP="00804702">
            <w:pPr>
              <w:jc w:val="center"/>
            </w:pPr>
            <w:r>
              <w:rPr>
                <w:rFonts w:ascii="Arial" w:hAnsi="Arial"/>
                <w:b/>
                <w:bCs/>
                <w:color w:val="FFFFFF"/>
                <w:sz w:val="20"/>
                <w:szCs w:val="20"/>
              </w:rPr>
              <w:t>Hito</w:t>
            </w:r>
          </w:p>
        </w:tc>
        <w:tc>
          <w:tcPr>
            <w:tcW w:w="141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C8323E2" w14:textId="77777777" w:rsidR="00B356CE" w:rsidRDefault="00B356CE" w:rsidP="00804702">
            <w:pPr>
              <w:jc w:val="center"/>
            </w:pPr>
            <w:r>
              <w:rPr>
                <w:rFonts w:ascii="Arial" w:hAnsi="Arial"/>
                <w:b/>
                <w:bCs/>
                <w:color w:val="FFFFFF"/>
                <w:sz w:val="20"/>
                <w:szCs w:val="20"/>
              </w:rPr>
              <w:t>Duración est.</w:t>
            </w:r>
          </w:p>
        </w:tc>
      </w:tr>
      <w:tr w:rsidR="00B356CE" w14:paraId="2AA22080"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A29B058" w14:textId="77777777" w:rsidR="00B356CE" w:rsidRDefault="00B356CE" w:rsidP="00804702">
            <w:r>
              <w:rPr>
                <w:rFonts w:ascii="Arial" w:hAnsi="Arial"/>
                <w:b/>
                <w:bCs/>
                <w:sz w:val="20"/>
                <w:szCs w:val="20"/>
              </w:rPr>
              <w:t>F1 – Definición y estado del arte</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C5F0280" w14:textId="77777777" w:rsidR="00B356CE" w:rsidRDefault="00B356CE" w:rsidP="00804702">
            <w:r>
              <w:rPr>
                <w:rFonts w:ascii="Arial" w:hAnsi="Arial"/>
                <w:sz w:val="20"/>
                <w:szCs w:val="20"/>
              </w:rPr>
              <w:t>Revisión bibliográfica; definición del alcance; selección definitiva de datasets y metodología</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EFBCDF" w14:textId="77777777" w:rsidR="00B356CE" w:rsidRDefault="00B356CE" w:rsidP="00804702">
            <w:r>
              <w:rPr>
                <w:rFonts w:ascii="Arial" w:hAnsi="Arial"/>
                <w:sz w:val="20"/>
                <w:szCs w:val="20"/>
              </w:rPr>
              <w:t>Capítulo 1 (Introducción) + Capítulo 2 (Estado del arte)</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F2D7EB8" w14:textId="77777777" w:rsidR="00B356CE" w:rsidRDefault="00B356CE" w:rsidP="00804702">
            <w:r>
              <w:rPr>
                <w:rFonts w:ascii="Arial" w:hAnsi="Arial"/>
                <w:sz w:val="20"/>
                <w:szCs w:val="20"/>
              </w:rPr>
              <w:t>Aprobación del plan por el tutor</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F632C2A" w14:textId="77777777" w:rsidR="00B356CE" w:rsidRDefault="00B356CE" w:rsidP="00804702">
            <w:r>
              <w:rPr>
                <w:rFonts w:ascii="Arial" w:hAnsi="Arial"/>
                <w:sz w:val="20"/>
                <w:szCs w:val="20"/>
              </w:rPr>
              <w:t>Feb – Mar</w:t>
            </w:r>
          </w:p>
        </w:tc>
      </w:tr>
      <w:tr w:rsidR="00B356CE" w14:paraId="55E3929A"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C58ECA" w14:textId="77777777" w:rsidR="00B356CE" w:rsidRDefault="00B356CE" w:rsidP="00804702">
            <w:r>
              <w:rPr>
                <w:rFonts w:ascii="Arial" w:hAnsi="Arial"/>
                <w:b/>
                <w:bCs/>
                <w:sz w:val="20"/>
                <w:szCs w:val="20"/>
              </w:rPr>
              <w:t>F2 – Adquisición y preprocesamiento</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E03AF61" w14:textId="77777777" w:rsidR="00B356CE" w:rsidRDefault="00B356CE" w:rsidP="00804702">
            <w:r>
              <w:rPr>
                <w:rFonts w:ascii="Arial" w:hAnsi="Arial"/>
                <w:sz w:val="20"/>
                <w:szCs w:val="20"/>
              </w:rPr>
              <w:t>Descarga de TCGA y METABRIC; limpieza, normalización, reducción dimensional y análisis exploratorio</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6BE778" w14:textId="77777777" w:rsidR="00B356CE" w:rsidRDefault="00B356CE" w:rsidP="00804702">
            <w:r>
              <w:rPr>
                <w:rFonts w:ascii="Arial" w:hAnsi="Arial"/>
                <w:sz w:val="20"/>
                <w:szCs w:val="20"/>
              </w:rPr>
              <w:t>Capítulo 3 (Datos) + scripts de preprocesamiento</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C9BA827" w14:textId="77777777" w:rsidR="00B356CE" w:rsidRDefault="00B356CE" w:rsidP="00804702">
            <w:r>
              <w:rPr>
                <w:rFonts w:ascii="Arial" w:hAnsi="Arial"/>
                <w:sz w:val="20"/>
                <w:szCs w:val="20"/>
              </w:rPr>
              <w:t>Dataset listo para modelado</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A8EDDE5" w14:textId="77777777" w:rsidR="00B356CE" w:rsidRDefault="00B356CE" w:rsidP="00804702">
            <w:r>
              <w:rPr>
                <w:rFonts w:ascii="Arial" w:hAnsi="Arial"/>
                <w:sz w:val="20"/>
                <w:szCs w:val="20"/>
              </w:rPr>
              <w:t xml:space="preserve">Abr </w:t>
            </w:r>
          </w:p>
        </w:tc>
      </w:tr>
      <w:tr w:rsidR="00B356CE" w14:paraId="76F05EF3"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67BF3E4" w14:textId="77777777" w:rsidR="00B356CE" w:rsidRDefault="00B356CE" w:rsidP="00804702">
            <w:r>
              <w:rPr>
                <w:rFonts w:ascii="Arial" w:hAnsi="Arial"/>
                <w:b/>
                <w:bCs/>
                <w:sz w:val="20"/>
                <w:szCs w:val="20"/>
              </w:rPr>
              <w:t>F3 – Implementación de modelos</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C48326B" w14:textId="77777777" w:rsidR="00B356CE" w:rsidRDefault="00B356CE" w:rsidP="00804702">
            <w:r>
              <w:rPr>
                <w:rFonts w:ascii="Arial" w:hAnsi="Arial"/>
                <w:sz w:val="20"/>
                <w:szCs w:val="20"/>
              </w:rPr>
              <w:t>Implementación de KM, Cox, RSF y DeepSurv; ajuste de hiperparámetros; primera evaluación</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8C2FC60" w14:textId="77777777" w:rsidR="00B356CE" w:rsidRDefault="00B356CE" w:rsidP="00804702">
            <w:r>
              <w:rPr>
                <w:rFonts w:ascii="Arial" w:hAnsi="Arial"/>
                <w:sz w:val="20"/>
                <w:szCs w:val="20"/>
              </w:rPr>
              <w:t>Capítulo 4 (Metodología) + notebooks de modelos</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B58CFFC" w14:textId="77777777" w:rsidR="00B356CE" w:rsidRDefault="00B356CE" w:rsidP="00804702">
            <w:r>
              <w:rPr>
                <w:rFonts w:ascii="Arial" w:hAnsi="Arial"/>
                <w:sz w:val="20"/>
                <w:szCs w:val="20"/>
              </w:rPr>
              <w:t>Modelos entrenados y evaluados</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92FB99C" w14:textId="77777777" w:rsidR="00B356CE" w:rsidRDefault="00B356CE" w:rsidP="00804702">
            <w:r>
              <w:rPr>
                <w:rFonts w:ascii="Arial" w:hAnsi="Arial"/>
                <w:sz w:val="20"/>
                <w:szCs w:val="20"/>
              </w:rPr>
              <w:t>May</w:t>
            </w:r>
          </w:p>
        </w:tc>
      </w:tr>
      <w:tr w:rsidR="00B356CE" w14:paraId="3FFAA17A"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E7782D7" w14:textId="77777777" w:rsidR="00B356CE" w:rsidRDefault="00B356CE" w:rsidP="00804702">
            <w:r>
              <w:rPr>
                <w:rFonts w:ascii="Arial" w:hAnsi="Arial"/>
                <w:b/>
                <w:bCs/>
                <w:sz w:val="20"/>
                <w:szCs w:val="20"/>
              </w:rPr>
              <w:t>F4 – Análisis y validación</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9E367F8" w14:textId="77777777" w:rsidR="00B356CE" w:rsidRDefault="00B356CE" w:rsidP="00804702">
            <w:r>
              <w:rPr>
                <w:rFonts w:ascii="Arial" w:hAnsi="Arial"/>
                <w:sz w:val="20"/>
                <w:szCs w:val="20"/>
              </w:rPr>
              <w:t>Validación cruzada; análisis de importancia de variables; validación externa entre datasets</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18644B" w14:textId="77777777" w:rsidR="00B356CE" w:rsidRDefault="00B356CE" w:rsidP="00804702">
            <w:r>
              <w:rPr>
                <w:rFonts w:ascii="Arial" w:hAnsi="Arial"/>
                <w:sz w:val="20"/>
                <w:szCs w:val="20"/>
              </w:rPr>
              <w:t>Capítulo 5 (Resultados y discusion) + tablas y figuras</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6CC6ADD" w14:textId="77777777" w:rsidR="00B356CE" w:rsidRDefault="00B356CE" w:rsidP="00804702">
            <w:r>
              <w:rPr>
                <w:rFonts w:ascii="Arial" w:hAnsi="Arial"/>
                <w:sz w:val="20"/>
                <w:szCs w:val="20"/>
              </w:rPr>
              <w:t>Resultados comparativos completos</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B2C5D0E" w14:textId="77777777" w:rsidR="00B356CE" w:rsidRDefault="00B356CE" w:rsidP="00804702">
            <w:r>
              <w:rPr>
                <w:rFonts w:ascii="Arial" w:hAnsi="Arial"/>
                <w:sz w:val="20"/>
                <w:szCs w:val="20"/>
              </w:rPr>
              <w:t>May-Jun</w:t>
            </w:r>
          </w:p>
        </w:tc>
      </w:tr>
      <w:tr w:rsidR="00B356CE" w14:paraId="58CD45A0"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D11926D" w14:textId="77777777" w:rsidR="00B356CE" w:rsidRDefault="00B356CE" w:rsidP="00804702">
            <w:r>
              <w:rPr>
                <w:rFonts w:ascii="Arial" w:hAnsi="Arial"/>
                <w:b/>
                <w:bCs/>
                <w:sz w:val="20"/>
                <w:szCs w:val="20"/>
              </w:rPr>
              <w:t>F5 – Redacción y revisión</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62B0F8C" w14:textId="77777777" w:rsidR="00B356CE" w:rsidRDefault="00B356CE" w:rsidP="00804702">
            <w:r>
              <w:rPr>
                <w:rFonts w:ascii="Arial" w:hAnsi="Arial"/>
                <w:sz w:val="20"/>
                <w:szCs w:val="20"/>
              </w:rPr>
              <w:t>Redacción de Capítulos 6 y 7; revisión integral de la memoria; preparación del repositorio público</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0077A6" w14:textId="77777777" w:rsidR="00B356CE" w:rsidRDefault="00B356CE" w:rsidP="00804702">
            <w:r>
              <w:rPr>
                <w:rFonts w:ascii="Arial" w:hAnsi="Arial"/>
                <w:sz w:val="20"/>
                <w:szCs w:val="20"/>
              </w:rPr>
              <w:t>Memoria completa (capítulos 1-7) + repositorio GitHub</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5FB1D01" w14:textId="77777777" w:rsidR="00B356CE" w:rsidRDefault="00B356CE" w:rsidP="00804702">
            <w:r>
              <w:rPr>
                <w:rFonts w:ascii="Arial" w:hAnsi="Arial"/>
                <w:sz w:val="20"/>
                <w:szCs w:val="20"/>
              </w:rPr>
              <w:t>Entrega formal del TFM</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D949963" w14:textId="77777777" w:rsidR="00B356CE" w:rsidRDefault="00B356CE" w:rsidP="00804702">
            <w:r>
              <w:rPr>
                <w:rFonts w:ascii="Arial" w:hAnsi="Arial"/>
                <w:sz w:val="20"/>
                <w:szCs w:val="20"/>
              </w:rPr>
              <w:t>Jun</w:t>
            </w:r>
          </w:p>
        </w:tc>
      </w:tr>
    </w:tbl>
    <w:p w14:paraId="55F50316" w14:textId="77777777" w:rsidR="00B356CE" w:rsidRDefault="00B356CE" w:rsidP="00B356CE"/>
    <w:p w14:paraId="3384356A" w14:textId="77777777" w:rsidR="00B356CE" w:rsidRDefault="00B356CE" w:rsidP="00B356CE">
      <w:pPr>
        <w:pStyle w:val="Ttulo3"/>
      </w:pPr>
      <w:bookmarkStart w:id="26" w:name="_Toc223291711"/>
      <w:r>
        <w:lastRenderedPageBreak/>
        <w:t>1.5.2 Diagrama de Gantt con planificación del TFM</w:t>
      </w:r>
      <w:bookmarkEnd w:id="26"/>
    </w:p>
    <w:p w14:paraId="7201F5DA" w14:textId="77777777" w:rsidR="00B356CE" w:rsidRDefault="00B356CE" w:rsidP="00B356CE">
      <w:pPr>
        <w:keepNext/>
        <w:jc w:val="center"/>
      </w:pPr>
      <w:r>
        <w:t>.</w:t>
      </w:r>
      <w:r w:rsidRPr="00A242C0">
        <w:rPr>
          <w:noProof/>
        </w:rPr>
        <w:drawing>
          <wp:inline distT="0" distB="0" distL="0" distR="0" wp14:anchorId="1AAA6BA0" wp14:editId="16EF94EC">
            <wp:extent cx="7903525" cy="1686316"/>
            <wp:effectExtent l="3492" t="0" r="6033" b="6032"/>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rot="5400000">
                      <a:off x="0" y="0"/>
                      <a:ext cx="8124894" cy="1733548"/>
                    </a:xfrm>
                    <a:prstGeom prst="rect">
                      <a:avLst/>
                    </a:prstGeom>
                  </pic:spPr>
                </pic:pic>
              </a:graphicData>
            </a:graphic>
          </wp:inline>
        </w:drawing>
      </w:r>
    </w:p>
    <w:p w14:paraId="50419DF0" w14:textId="77777777" w:rsidR="00B356CE" w:rsidRDefault="00B356CE" w:rsidP="00B356CE">
      <w:pPr>
        <w:pStyle w:val="Descripcin"/>
      </w:pPr>
      <w:bookmarkStart w:id="27" w:name="_Toc223291562"/>
      <w:r>
        <w:t xml:space="preserve">Figura </w:t>
      </w:r>
      <w:r>
        <w:fldChar w:fldCharType="begin"/>
      </w:r>
      <w:r>
        <w:instrText xml:space="preserve"> SEQ Figura \* ARABIC </w:instrText>
      </w:r>
      <w:r>
        <w:fldChar w:fldCharType="separate"/>
      </w:r>
      <w:r>
        <w:rPr>
          <w:noProof/>
        </w:rPr>
        <w:t>1</w:t>
      </w:r>
      <w:r>
        <w:rPr>
          <w:noProof/>
        </w:rPr>
        <w:fldChar w:fldCharType="end"/>
      </w:r>
      <w:r w:rsidRPr="00B11C49">
        <w:t>: Diagrama de Gantt del cronograma del TFM, que muestra la planificación temporal de las fases del proyecto (definición y estado del arte, adquisición y preprocesamiento, implementación de modelos, análisis y validación, y redacción), con sus fec</w:t>
      </w:r>
      <w:r>
        <w:t>has de inicio, duración estimada y fecha de finalización.</w:t>
      </w:r>
      <w:bookmarkEnd w:id="27"/>
    </w:p>
    <w:p w14:paraId="0054CFD7" w14:textId="77777777" w:rsidR="00B356CE" w:rsidRDefault="00B356CE" w:rsidP="00B356CE">
      <w:pPr>
        <w:pStyle w:val="Ttulo3"/>
      </w:pPr>
      <w:bookmarkStart w:id="28" w:name="_Toc223291712"/>
      <w:r>
        <w:lastRenderedPageBreak/>
        <w:t>1.5.3 Tabla de riesgos y mitigaciones</w:t>
      </w:r>
      <w:bookmarkEnd w:id="28"/>
    </w:p>
    <w:p w14:paraId="50B621CD" w14:textId="77777777" w:rsidR="00B356CE" w:rsidRDefault="00B356CE" w:rsidP="00B356CE">
      <w:pPr>
        <w:pStyle w:val="Descripcin"/>
        <w:keepNext/>
      </w:pPr>
      <w:bookmarkStart w:id="29" w:name="_Toc223291580"/>
      <w:r>
        <w:t xml:space="preserve">Tabla </w:t>
      </w:r>
      <w:r>
        <w:fldChar w:fldCharType="begin"/>
      </w:r>
      <w:r>
        <w:instrText xml:space="preserve"> SEQ Tabla \* ARABIC </w:instrText>
      </w:r>
      <w:r>
        <w:fldChar w:fldCharType="separate"/>
      </w:r>
      <w:r>
        <w:rPr>
          <w:noProof/>
        </w:rPr>
        <w:t>4</w:t>
      </w:r>
      <w:r>
        <w:rPr>
          <w:noProof/>
        </w:rPr>
        <w:fldChar w:fldCharType="end"/>
      </w:r>
      <w:r>
        <w:t xml:space="preserve">: </w:t>
      </w:r>
      <w:r w:rsidRPr="00995D25">
        <w:t>Matriz de riesgos del proyecto, que identifica las principales amenazas técnicas y metodológicas, su probabilidad e impacto, junto con los planes de mitigación y contingencia asociados.</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4"/>
        <w:gridCol w:w="1260"/>
        <w:gridCol w:w="898"/>
        <w:gridCol w:w="2244"/>
        <w:gridCol w:w="2230"/>
      </w:tblGrid>
      <w:tr w:rsidR="00B356CE" w14:paraId="4B01A207"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63BA63D" w14:textId="77777777" w:rsidR="00B356CE" w:rsidRDefault="00B356CE" w:rsidP="00804702">
            <w:pPr>
              <w:jc w:val="center"/>
            </w:pPr>
            <w:r>
              <w:rPr>
                <w:b/>
                <w:bCs/>
                <w:color w:val="FFFFFF"/>
                <w:sz w:val="20"/>
                <w:szCs w:val="20"/>
              </w:rPr>
              <w:t>Riesgo identificado</w:t>
            </w:r>
          </w:p>
        </w:tc>
        <w:tc>
          <w:tcPr>
            <w:tcW w:w="126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965688B" w14:textId="77777777" w:rsidR="00B356CE" w:rsidRDefault="00B356CE" w:rsidP="00804702">
            <w:pPr>
              <w:jc w:val="center"/>
            </w:pPr>
            <w:r>
              <w:rPr>
                <w:b/>
                <w:bCs/>
                <w:color w:val="FFFFFF"/>
                <w:sz w:val="20"/>
                <w:szCs w:val="20"/>
              </w:rPr>
              <w:t>Probabilidad</w:t>
            </w:r>
          </w:p>
        </w:tc>
        <w:tc>
          <w:tcPr>
            <w:tcW w:w="89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2689C65" w14:textId="77777777" w:rsidR="00B356CE" w:rsidRDefault="00B356CE" w:rsidP="00804702">
            <w:pPr>
              <w:jc w:val="center"/>
            </w:pPr>
            <w:r>
              <w:rPr>
                <w:b/>
                <w:bCs/>
                <w:color w:val="FFFFFF"/>
                <w:sz w:val="20"/>
                <w:szCs w:val="20"/>
              </w:rPr>
              <w:t>Impacto</w:t>
            </w:r>
          </w:p>
        </w:tc>
        <w:tc>
          <w:tcPr>
            <w:tcW w:w="224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244D138" w14:textId="77777777" w:rsidR="00B356CE" w:rsidRDefault="00B356CE" w:rsidP="00804702">
            <w:pPr>
              <w:jc w:val="center"/>
            </w:pPr>
            <w:r>
              <w:rPr>
                <w:b/>
                <w:bCs/>
                <w:color w:val="FFFFFF"/>
                <w:sz w:val="20"/>
                <w:szCs w:val="20"/>
              </w:rPr>
              <w:t>Plan de mitigación</w:t>
            </w:r>
          </w:p>
        </w:tc>
        <w:tc>
          <w:tcPr>
            <w:tcW w:w="223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51B1502" w14:textId="77777777" w:rsidR="00B356CE" w:rsidRDefault="00B356CE" w:rsidP="00804702">
            <w:pPr>
              <w:jc w:val="center"/>
            </w:pPr>
            <w:r>
              <w:rPr>
                <w:b/>
                <w:bCs/>
                <w:color w:val="FFFFFF"/>
                <w:sz w:val="20"/>
                <w:szCs w:val="20"/>
              </w:rPr>
              <w:t>Plan de contingencia</w:t>
            </w:r>
          </w:p>
        </w:tc>
      </w:tr>
      <w:tr w:rsidR="00B356CE" w14:paraId="3A24B210"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8B1B825" w14:textId="77777777" w:rsidR="00B356CE" w:rsidRDefault="00B356CE" w:rsidP="00804702">
            <w:r>
              <w:rPr>
                <w:sz w:val="20"/>
                <w:szCs w:val="20"/>
              </w:rPr>
              <w:t>Problemas de acceso o descarga de datos (TCGA/METABRIC)</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4F20F7F" w14:textId="77777777" w:rsidR="00B356CE" w:rsidRDefault="00B356CE" w:rsidP="00804702">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54973DA" w14:textId="77777777" w:rsidR="00B356CE" w:rsidRDefault="00B356CE" w:rsidP="00804702">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EE1748" w14:textId="77777777" w:rsidR="00B356CE" w:rsidRDefault="00B356CE" w:rsidP="00804702">
            <w:r>
              <w:rPr>
                <w:sz w:val="20"/>
                <w:szCs w:val="20"/>
              </w:rPr>
              <w:t>Consultar documentación oficial; usar herramientas de descarga alternativas (TCGAbiolinks, cBioPortal API)</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20021FC" w14:textId="77777777" w:rsidR="00B356CE" w:rsidRDefault="00B356CE" w:rsidP="00804702">
            <w:r>
              <w:rPr>
                <w:sz w:val="20"/>
                <w:szCs w:val="20"/>
              </w:rPr>
              <w:t>Usar versión pre-procesada disponible en repositorios de referencia (Synapse, GEO)</w:t>
            </w:r>
          </w:p>
        </w:tc>
      </w:tr>
      <w:tr w:rsidR="00B356CE" w14:paraId="1DE2BCB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CCFF0C5" w14:textId="77777777" w:rsidR="00B356CE" w:rsidRDefault="00B356CE" w:rsidP="00804702">
            <w:r>
              <w:rPr>
                <w:sz w:val="20"/>
                <w:szCs w:val="20"/>
              </w:rPr>
              <w:t>Alta dimensionalidad que dificulte convergencia de modelos</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54910E" w14:textId="77777777" w:rsidR="00B356CE" w:rsidRDefault="00B356CE" w:rsidP="00804702">
            <w:r>
              <w:rPr>
                <w:sz w:val="20"/>
                <w:szCs w:val="20"/>
              </w:rPr>
              <w:t>Alta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74D979D" w14:textId="77777777" w:rsidR="00B356CE" w:rsidRDefault="00B356CE" w:rsidP="00804702">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6BE0720" w14:textId="77777777" w:rsidR="00B356CE" w:rsidRDefault="00B356CE" w:rsidP="00804702">
            <w:r>
              <w:rPr>
                <w:sz w:val="20"/>
                <w:szCs w:val="20"/>
              </w:rPr>
              <w:t>Aplicar reducción dimensional previa (PCA, LASSO, selección por varianza)</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3242D19" w14:textId="77777777" w:rsidR="00B356CE" w:rsidRDefault="00B356CE" w:rsidP="00804702">
            <w:r>
              <w:rPr>
                <w:sz w:val="20"/>
                <w:szCs w:val="20"/>
              </w:rPr>
              <w:t>Limitar el análisis a un subconjunto de genes validados en la literatura</w:t>
            </w:r>
          </w:p>
        </w:tc>
      </w:tr>
      <w:tr w:rsidR="00B356CE" w14:paraId="527DC0E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6ED83B" w14:textId="77777777" w:rsidR="00B356CE" w:rsidRDefault="00B356CE" w:rsidP="00804702">
            <w:r>
              <w:rPr>
                <w:sz w:val="20"/>
                <w:szCs w:val="20"/>
              </w:rPr>
              <w:t>Bajo número de eventos en algún conjunto de datos (pocos fallecimientos registrados)</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D6A23CE" w14:textId="77777777" w:rsidR="00B356CE" w:rsidRDefault="00B356CE" w:rsidP="00804702">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EC5D8C" w14:textId="77777777" w:rsidR="00B356CE" w:rsidRDefault="00B356CE" w:rsidP="00804702">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5CD70D2" w14:textId="77777777" w:rsidR="00B356CE" w:rsidRDefault="00B356CE" w:rsidP="00804702">
            <w:r>
              <w:rPr>
                <w:sz w:val="20"/>
                <w:szCs w:val="20"/>
              </w:rPr>
              <w:t>Verificar tasas de evento antes de comenzar el análisis; ajustar el horizonte temporal de seguimiento</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56DDB2B" w14:textId="77777777" w:rsidR="00B356CE" w:rsidRDefault="00B356CE" w:rsidP="00804702">
            <w:r>
              <w:rPr>
                <w:sz w:val="20"/>
                <w:szCs w:val="20"/>
              </w:rPr>
              <w:t>Combinar endpoints (muerte + recurrencia); o enfocar el análisis en supervivencia libre de enfermedad</w:t>
            </w:r>
          </w:p>
        </w:tc>
      </w:tr>
      <w:tr w:rsidR="00B356CE" w14:paraId="7E9092DB"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D5E7EA4" w14:textId="77777777" w:rsidR="00B356CE" w:rsidRDefault="00B356CE" w:rsidP="00804702">
            <w:r>
              <w:rPr>
                <w:sz w:val="20"/>
                <w:szCs w:val="20"/>
              </w:rPr>
              <w:t>Tiempo de entrenamiento excesivo para modelos de deep learning</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D2D24CE" w14:textId="77777777" w:rsidR="00B356CE" w:rsidRDefault="00B356CE" w:rsidP="00804702">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7E9DAC2" w14:textId="77777777" w:rsidR="00B356CE" w:rsidRDefault="00B356CE" w:rsidP="00804702">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17A4248" w14:textId="77777777" w:rsidR="00B356CE" w:rsidRDefault="00B356CE" w:rsidP="00804702">
            <w:r>
              <w:rPr>
                <w:sz w:val="20"/>
                <w:szCs w:val="20"/>
              </w:rPr>
              <w:t>Usar GPU de Google Colab Pro / Kaggle Notebooks; limitar número de épocas y usar early stopping</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A4D9D19" w14:textId="77777777" w:rsidR="00B356CE" w:rsidRDefault="00B356CE" w:rsidP="00804702">
            <w:r>
              <w:rPr>
                <w:sz w:val="20"/>
                <w:szCs w:val="20"/>
              </w:rPr>
              <w:t>Simplificar la arquitectura de DeepSurv o priorizar RSF como modelo complejo principal</w:t>
            </w:r>
          </w:p>
        </w:tc>
      </w:tr>
      <w:tr w:rsidR="00B356CE" w14:paraId="1E74909E"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5EE667" w14:textId="77777777" w:rsidR="00B356CE" w:rsidRDefault="00B356CE" w:rsidP="00804702">
            <w:r>
              <w:rPr>
                <w:sz w:val="20"/>
                <w:szCs w:val="20"/>
              </w:rPr>
              <w:t>Divergencia metodológica entre TCGA y METABRIC que dificulte la comparación</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2B9C739" w14:textId="77777777" w:rsidR="00B356CE" w:rsidRDefault="00B356CE" w:rsidP="00804702">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C1CAC53" w14:textId="77777777" w:rsidR="00B356CE" w:rsidRDefault="00B356CE" w:rsidP="00804702">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30BC518" w14:textId="77777777" w:rsidR="00B356CE" w:rsidRDefault="00B356CE" w:rsidP="00804702">
            <w:r>
              <w:rPr>
                <w:sz w:val="20"/>
                <w:szCs w:val="20"/>
              </w:rPr>
              <w:t>Documentar diferencias en protocolos de recogida; realizar análisis de batch effect</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594F47F" w14:textId="77777777" w:rsidR="00B356CE" w:rsidRDefault="00B356CE" w:rsidP="00804702">
            <w:r>
              <w:rPr>
                <w:sz w:val="20"/>
                <w:szCs w:val="20"/>
              </w:rPr>
              <w:t>Centrar el análisis comparativo en variables comunes y bien caracterizadas en ambos datasets</w:t>
            </w:r>
          </w:p>
        </w:tc>
      </w:tr>
      <w:tr w:rsidR="00B356CE" w14:paraId="6DC5E38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DCC720" w14:textId="77777777" w:rsidR="00B356CE" w:rsidRDefault="00B356CE" w:rsidP="00804702">
            <w:r>
              <w:rPr>
                <w:sz w:val="20"/>
                <w:szCs w:val="20"/>
              </w:rPr>
              <w:t>Dificultades en la redacción y estructura de la memoria</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8D00CA3" w14:textId="77777777" w:rsidR="00B356CE" w:rsidRDefault="00B356CE" w:rsidP="00804702">
            <w:r>
              <w:rPr>
                <w:sz w:val="20"/>
                <w:szCs w:val="20"/>
              </w:rPr>
              <w:t>Baja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081A659" w14:textId="77777777" w:rsidR="00B356CE" w:rsidRDefault="00B356CE" w:rsidP="00804702">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8D79C11" w14:textId="77777777" w:rsidR="00B356CE" w:rsidRDefault="00B356CE" w:rsidP="00804702">
            <w:r>
              <w:rPr>
                <w:sz w:val="20"/>
                <w:szCs w:val="20"/>
              </w:rPr>
              <w:t>Seguir la estructura definida en este Capítulo 1; mantener reuniones regulares con el tutor</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28B1C35" w14:textId="77777777" w:rsidR="00B356CE" w:rsidRDefault="00B356CE" w:rsidP="00804702">
            <w:r>
              <w:rPr>
                <w:sz w:val="20"/>
                <w:szCs w:val="20"/>
              </w:rPr>
              <w:t>Usar plantillas académicas y ejemplos de TFM anteriores aprobados en el máster</w:t>
            </w:r>
          </w:p>
        </w:tc>
      </w:tr>
    </w:tbl>
    <w:p w14:paraId="5BB6E725" w14:textId="77777777" w:rsidR="00B356CE" w:rsidRDefault="00B356CE" w:rsidP="00B356CE"/>
    <w:p w14:paraId="12CE5155" w14:textId="77777777" w:rsidR="00B356CE" w:rsidRDefault="00B356CE" w:rsidP="00B356CE">
      <w:r>
        <w:br w:type="page"/>
      </w:r>
    </w:p>
    <w:p w14:paraId="1012EA05" w14:textId="77777777" w:rsidR="00B356CE" w:rsidRDefault="00B356CE" w:rsidP="00B356CE">
      <w:pPr>
        <w:pStyle w:val="Ttulo2"/>
      </w:pPr>
      <w:bookmarkStart w:id="30" w:name="_Toc223291713"/>
      <w:r>
        <w:lastRenderedPageBreak/>
        <w:t>1.6 Breve sumario de productos obtenidos</w:t>
      </w:r>
      <w:bookmarkEnd w:id="30"/>
    </w:p>
    <w:p w14:paraId="40A887E0" w14:textId="77777777" w:rsidR="00B356CE" w:rsidRDefault="00B356CE" w:rsidP="00B356CE">
      <w:pPr>
        <w:spacing w:after="160"/>
      </w:pPr>
      <w:r>
        <w:t>El presente TFM generará los siguientes productos concretos y verificables:</w:t>
      </w:r>
    </w:p>
    <w:p w14:paraId="1C716FD9"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Modelos de supervivencia entrenados</w:t>
      </w:r>
      <w:r w:rsidRPr="00A242C0">
        <w:rPr>
          <w:rFonts w:asciiTheme="minorHAnsi" w:hAnsiTheme="minorHAnsi" w:cstheme="minorHAnsi"/>
          <w:sz w:val="24"/>
          <w:szCs w:val="24"/>
        </w:rPr>
        <w:t>: Se obtendrán al menos cuatro modelos entrenados y evaluados (Kaplan-Meier, Cox PH, Random Survival Forest y DeepSurv) sobre dos conjuntos de datos (TCGA y METABRIC), para un total de hasta ocho configuraciones evaluadas. Los modelos serán serializados (formato pickle o similar) para su reproducibilidad.</w:t>
      </w:r>
    </w:p>
    <w:p w14:paraId="46DC98A5"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Código reproducible y documentado</w:t>
      </w:r>
      <w:r w:rsidRPr="00A242C0">
        <w:rPr>
          <w:rFonts w:asciiTheme="minorHAnsi" w:hAnsiTheme="minorHAnsi" w:cstheme="minorHAnsi"/>
          <w:sz w:val="24"/>
          <w:szCs w:val="24"/>
        </w:rPr>
        <w:t>: Se desarrollará un repositorio GitHub que incluirá scripts de preprocesamiento, notebooks de análisis exploratorio, implementación de modelos, evaluación y visualización. El repositorio seguirá estándares de reproducibilidad (requirements.txt, entornos conda/pip, instrucciones claras de ejecución).</w:t>
      </w:r>
    </w:p>
    <w:p w14:paraId="17D8D05B"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 xml:space="preserve">Análisis comparativo entre modelos y </w:t>
      </w:r>
      <w:r>
        <w:rPr>
          <w:rFonts w:asciiTheme="minorHAnsi" w:hAnsiTheme="minorHAnsi" w:cstheme="minorHAnsi"/>
          <w:b/>
          <w:bCs/>
          <w:sz w:val="24"/>
          <w:szCs w:val="24"/>
        </w:rPr>
        <w:t>conjuntos de datos</w:t>
      </w:r>
      <w:r w:rsidRPr="00A242C0">
        <w:rPr>
          <w:rFonts w:asciiTheme="minorHAnsi" w:hAnsiTheme="minorHAnsi" w:cstheme="minorHAnsi"/>
          <w:sz w:val="24"/>
          <w:szCs w:val="24"/>
        </w:rPr>
        <w:t xml:space="preserve">: Se producirá un análisis sistemático que compare el rendimiento de cada modelo en términos de C-index, Brier Score y log-rank test, tanto dentro de cada </w:t>
      </w:r>
      <w:r>
        <w:rPr>
          <w:rFonts w:asciiTheme="minorHAnsi" w:hAnsiTheme="minorHAnsi" w:cstheme="minorHAnsi"/>
          <w:sz w:val="24"/>
          <w:szCs w:val="24"/>
        </w:rPr>
        <w:t>conjunto de datos</w:t>
      </w:r>
      <w:r w:rsidRPr="00A242C0">
        <w:rPr>
          <w:rFonts w:asciiTheme="minorHAnsi" w:hAnsiTheme="minorHAnsi" w:cstheme="minorHAnsi"/>
          <w:sz w:val="24"/>
          <w:szCs w:val="24"/>
        </w:rPr>
        <w:t xml:space="preserve"> (validación cruzada interna) como entre </w:t>
      </w:r>
      <w:r>
        <w:rPr>
          <w:rFonts w:asciiTheme="minorHAnsi" w:hAnsiTheme="minorHAnsi" w:cstheme="minorHAnsi"/>
          <w:sz w:val="24"/>
          <w:szCs w:val="24"/>
        </w:rPr>
        <w:t>conjuntos de datos</w:t>
      </w:r>
      <w:r w:rsidRPr="00A242C0">
        <w:rPr>
          <w:rFonts w:asciiTheme="minorHAnsi" w:hAnsiTheme="minorHAnsi" w:cstheme="minorHAnsi"/>
          <w:sz w:val="24"/>
          <w:szCs w:val="24"/>
        </w:rPr>
        <w:t xml:space="preserve"> (validación externa cruzada).</w:t>
      </w:r>
    </w:p>
    <w:p w14:paraId="73BDE170"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Visualizaciones</w:t>
      </w:r>
      <w:r w:rsidRPr="00A242C0">
        <w:rPr>
          <w:rFonts w:asciiTheme="minorHAnsi" w:hAnsiTheme="minorHAnsi" w:cstheme="minorHAnsi"/>
          <w:sz w:val="24"/>
          <w:szCs w:val="24"/>
        </w:rPr>
        <w:t>: Se generarán curvas de Kaplan-Meier estratificadas, gráficos de importancia de variables, mapas de calor de correlaciones genómicas, curvas de calibración y gráficos comparativos de métricas de evaluación. Se buscará que todas las figuras sean reproducibles desde el repositorio.</w:t>
      </w:r>
    </w:p>
    <w:p w14:paraId="567E703C"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Repositorio público (GitHub):</w:t>
      </w:r>
      <w:r w:rsidRPr="00A242C0">
        <w:rPr>
          <w:rFonts w:asciiTheme="minorHAnsi" w:hAnsiTheme="minorHAnsi" w:cstheme="minorHAnsi"/>
          <w:sz w:val="24"/>
          <w:szCs w:val="24"/>
        </w:rPr>
        <w:t xml:space="preserve"> Además del código, el repositorio incluirá la documentación técnica del proyecto (README extendido), los archivos de configuración y las instrucciones para reproducir los resultados. Los datos no serán incluidos directamente por motivos de licencia, pero se indicarán las instrucciones para su descarga.</w:t>
      </w:r>
    </w:p>
    <w:p w14:paraId="4BA49306"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Memoria académica completa (TFM):</w:t>
      </w:r>
      <w:r w:rsidRPr="00A242C0">
        <w:rPr>
          <w:rFonts w:asciiTheme="minorHAnsi" w:hAnsiTheme="minorHAnsi" w:cstheme="minorHAnsi"/>
          <w:sz w:val="24"/>
          <w:szCs w:val="24"/>
        </w:rPr>
        <w:t xml:space="preserve"> El producto central del trabajo será la memoria escrita, estructurada en siete capítulos, que documentará de forma rigurosa todo el proceso de investigación, desde la justificación hasta las conclusiones y las recomendaciones para trabajos futuros.</w:t>
      </w:r>
    </w:p>
    <w:p w14:paraId="03A9363C" w14:textId="77777777" w:rsidR="00B356CE" w:rsidRDefault="00B356CE" w:rsidP="00B356CE"/>
    <w:p w14:paraId="0D92423D" w14:textId="77777777" w:rsidR="00B356CE" w:rsidRDefault="00B356CE" w:rsidP="00B356CE">
      <w:r>
        <w:br w:type="page"/>
      </w:r>
    </w:p>
    <w:p w14:paraId="3F03D89B" w14:textId="77777777" w:rsidR="00B356CE" w:rsidRDefault="00B356CE" w:rsidP="00B356CE">
      <w:pPr>
        <w:pStyle w:val="Ttulo2"/>
      </w:pPr>
      <w:bookmarkStart w:id="31" w:name="_Toc223291714"/>
      <w:r>
        <w:lastRenderedPageBreak/>
        <w:t>1.7 Breve descripción de los otros capítulos</w:t>
      </w:r>
      <w:bookmarkEnd w:id="31"/>
    </w:p>
    <w:p w14:paraId="11997FDD" w14:textId="77777777" w:rsidR="00B356CE" w:rsidRDefault="00B356CE" w:rsidP="00B356CE">
      <w:pPr>
        <w:spacing w:after="160"/>
      </w:pPr>
      <w:r>
        <w:t>La memoria del TFM se organiza en siete capítulos cuya estructura y contenido se describe a continuación:</w:t>
      </w:r>
    </w:p>
    <w:p w14:paraId="48CAF4B0" w14:textId="77777777" w:rsidR="00B356CE"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Capítulo 2 – Estado del arte</w:t>
      </w:r>
      <w:r w:rsidRPr="00A242C0">
        <w:rPr>
          <w:rFonts w:asciiTheme="minorHAnsi" w:hAnsiTheme="minorHAnsi" w:cstheme="minorHAnsi"/>
          <w:sz w:val="24"/>
          <w:szCs w:val="24"/>
        </w:rPr>
        <w:t xml:space="preserve">: Este capítulo realizará una revisión sistemática y actualizada de la literatura científica sobre análisis de supervivencia en oncología, con especial atención a los trabajos que incorporan datos genómicos. Se revisarán los fundamentos teóricos de los modelos utilizados, los </w:t>
      </w:r>
      <w:r>
        <w:rPr>
          <w:rFonts w:asciiTheme="minorHAnsi" w:hAnsiTheme="minorHAnsi" w:cstheme="minorHAnsi"/>
          <w:sz w:val="24"/>
          <w:szCs w:val="24"/>
        </w:rPr>
        <w:t>conjuntos de datos</w:t>
      </w:r>
      <w:r w:rsidRPr="00A242C0">
        <w:rPr>
          <w:rFonts w:asciiTheme="minorHAnsi" w:hAnsiTheme="minorHAnsi" w:cstheme="minorHAnsi"/>
          <w:sz w:val="24"/>
          <w:szCs w:val="24"/>
        </w:rPr>
        <w:t xml:space="preserve"> más empleados, las métricas de evaluación estándar y las limitaciones identificadas en estudios previos. Se incluirá una sección específica sobre los avances en modelos de aprendizaje automático y deep learning aplicados a la supervivencia oncológica, con énfasis en DeepSurv, SurvivalNet y arquitecturas de transformers adaptadas al contexto.</w:t>
      </w:r>
    </w:p>
    <w:p w14:paraId="2D19CEA4" w14:textId="77777777" w:rsidR="00B356CE" w:rsidRPr="00A127CA" w:rsidRDefault="00B356CE" w:rsidP="00B356CE">
      <w:pPr>
        <w:pStyle w:val="Prrafodelista"/>
        <w:numPr>
          <w:ilvl w:val="0"/>
          <w:numId w:val="2"/>
        </w:numPr>
        <w:spacing w:after="80"/>
        <w:jc w:val="both"/>
        <w:rPr>
          <w:rFonts w:asciiTheme="minorHAnsi" w:hAnsiTheme="minorHAnsi" w:cstheme="minorHAnsi"/>
          <w:sz w:val="24"/>
          <w:szCs w:val="24"/>
        </w:rPr>
      </w:pPr>
      <w:r w:rsidRPr="00A127CA">
        <w:rPr>
          <w:rFonts w:asciiTheme="minorHAnsi" w:hAnsiTheme="minorHAnsi" w:cstheme="minorHAnsi"/>
          <w:b/>
          <w:bCs/>
          <w:sz w:val="24"/>
          <w:szCs w:val="24"/>
        </w:rPr>
        <w:t>Capítulo 3 – Datos</w:t>
      </w:r>
      <w:r w:rsidRPr="00A127CA">
        <w:rPr>
          <w:rFonts w:asciiTheme="minorHAnsi" w:hAnsiTheme="minorHAnsi" w:cstheme="minorHAnsi"/>
          <w:sz w:val="24"/>
          <w:szCs w:val="24"/>
        </w:rPr>
        <w:t xml:space="preserve">: Este capítulo describirá en detalle los </w:t>
      </w:r>
      <w:r>
        <w:rPr>
          <w:rFonts w:asciiTheme="minorHAnsi" w:hAnsiTheme="minorHAnsi" w:cstheme="minorHAnsi"/>
          <w:sz w:val="24"/>
          <w:szCs w:val="24"/>
        </w:rPr>
        <w:t>conjuntos de datos</w:t>
      </w:r>
      <w:r w:rsidRPr="00A127CA">
        <w:rPr>
          <w:rFonts w:asciiTheme="minorHAnsi" w:hAnsiTheme="minorHAnsi" w:cstheme="minorHAnsi"/>
          <w:sz w:val="24"/>
          <w:szCs w:val="24"/>
        </w:rPr>
        <w:t xml:space="preserve"> utilizados (TCGA y METABRIC), incluyendo su origen, proceso de recogida, variables disponibles, estructura de los datos de supervivencia (tiempo al evento, indicador de censura), y el proceso completo de preprocesamiento y preparación de datos. Se documentarán todas las decisiones de limpieza, normalización, imputación y reducción dimensional, con justificación metodológica de cada elección. Se incluirán estadísticas descriptivas y visualizaciones exploratorias de ambas cohortes.</w:t>
      </w:r>
    </w:p>
    <w:p w14:paraId="52194716"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Capítulo 4 – Metodología</w:t>
      </w:r>
      <w:r w:rsidRPr="00A242C0">
        <w:rPr>
          <w:rFonts w:asciiTheme="minorHAnsi" w:hAnsiTheme="minorHAnsi" w:cstheme="minorHAnsi"/>
          <w:sz w:val="24"/>
          <w:szCs w:val="24"/>
        </w:rPr>
        <w:t>: Este capítulo describirá con máximo detalle el diseño metodológico del estudio, incluyendo la formalización matemática de cada modelo de supervivencia implementado, los criterios de selección de hiperparámetros, los procedimientos de validación cruzada y las métricas de evaluación. Se explicarán las decisiones de diseño adoptadas y su justificación. Se incluirá también la descripción del entorno tecnológico utilizado (lenguajes, librerías, infraestructura computacional).</w:t>
      </w:r>
    </w:p>
    <w:p w14:paraId="2EC90B35"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Capítulo 5 – Resultados</w:t>
      </w:r>
      <w:r w:rsidRPr="00A242C0">
        <w:rPr>
          <w:rFonts w:asciiTheme="minorHAnsi" w:hAnsiTheme="minorHAnsi" w:cstheme="minorHAnsi"/>
          <w:sz w:val="24"/>
          <w:szCs w:val="24"/>
        </w:rPr>
        <w:t xml:space="preserve">: Este capítulo presentará los resultados empíricos del análisis en forma de tablas, figuras y estadísticas interpretadas. Se presentarán las curvas de supervivencia, las métricas de rendimiento de cada modelo en cada </w:t>
      </w:r>
      <w:r>
        <w:rPr>
          <w:rFonts w:asciiTheme="minorHAnsi" w:hAnsiTheme="minorHAnsi" w:cstheme="minorHAnsi"/>
          <w:sz w:val="24"/>
          <w:szCs w:val="24"/>
        </w:rPr>
        <w:t>conjunto de datos</w:t>
      </w:r>
      <w:r w:rsidRPr="00A242C0">
        <w:rPr>
          <w:rFonts w:asciiTheme="minorHAnsi" w:hAnsiTheme="minorHAnsi" w:cstheme="minorHAnsi"/>
          <w:sz w:val="24"/>
          <w:szCs w:val="24"/>
        </w:rPr>
        <w:t>, los análisis de importancia de variables y los resultados de la validación cruzada interna y externa. La presentación será objetiva y sistemática, reservando la interpretación crítica para el capítulo de discusión.</w:t>
      </w:r>
    </w:p>
    <w:p w14:paraId="71BFBF86"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Capítulo 6 – Discusión</w:t>
      </w:r>
      <w:r w:rsidRPr="00A242C0">
        <w:rPr>
          <w:rFonts w:asciiTheme="minorHAnsi" w:hAnsiTheme="minorHAnsi" w:cstheme="minorHAnsi"/>
          <w:sz w:val="24"/>
          <w:szCs w:val="24"/>
        </w:rPr>
        <w:t>: Este capítulo analizará e interpretará críticamente los resultados obtenidos, comparándolos con los reportados en la literatura científica de referencia. Se discutirán las fortalezas y limitaciones del trabajo, el grado en que se han alcanzado los objetivos planteados, las implicaciones clínicas potenciales de los hallazgos y las líneas de investigación futura más prometedoras derivadas del estudio.</w:t>
      </w:r>
    </w:p>
    <w:p w14:paraId="64237EA0"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Capítulo 7 – Conclusiones</w:t>
      </w:r>
      <w:r w:rsidRPr="00A242C0">
        <w:rPr>
          <w:rFonts w:asciiTheme="minorHAnsi" w:hAnsiTheme="minorHAnsi" w:cstheme="minorHAnsi"/>
          <w:sz w:val="24"/>
          <w:szCs w:val="24"/>
        </w:rPr>
        <w:t>: Este capítulo sintetizará las principales aportaciones del TFM, respondiendo de forma directa a cada uno de los objetivos específicos planteados en el Capítulo 1. Se presentarán las conclusiones de mayor relevancia científica y metodológica, y se formulará una reflexión final sobre el valor del trabajo en el contexto de la medicina de precisión oncológica y la ciencia de datos biomédica.</w:t>
      </w:r>
    </w:p>
    <w:p w14:paraId="40BD9F36" w14:textId="77777777" w:rsidR="00B356CE" w:rsidRPr="007D058C" w:rsidRDefault="00B356CE" w:rsidP="00B356CE">
      <w:pPr>
        <w:pStyle w:val="Ttulo2"/>
        <w:rPr>
          <w:rFonts w:cstheme="minorHAnsi"/>
          <w:szCs w:val="24"/>
        </w:rPr>
      </w:pPr>
      <w:bookmarkStart w:id="32" w:name="_Toc223291715"/>
      <w:r>
        <w:lastRenderedPageBreak/>
        <w:t>1.8 Declaración sobre uso de inteligencia artificial generativa</w:t>
      </w:r>
      <w:bookmarkEnd w:id="32"/>
    </w:p>
    <w:p w14:paraId="4591A159" w14:textId="77777777" w:rsidR="00B356CE" w:rsidRDefault="00B356CE" w:rsidP="00B356CE">
      <w:pPr>
        <w:spacing w:after="160"/>
      </w:pPr>
      <w:r>
        <w:t>Yo Julio Úbeda Quesada, autor del presente Trabajo de Fin de Máster, declaro lo siguiente en relación con el uso de herramientas de inteligencia artificial generativa (en adelante, IAG) durante la elaboración de este trabajo:</w:t>
      </w:r>
    </w:p>
    <w:p w14:paraId="7EE7BF26"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EE4EB9">
        <w:rPr>
          <w:rFonts w:asciiTheme="minorHAnsi" w:hAnsiTheme="minorHAnsi" w:cstheme="minorHAnsi"/>
          <w:b/>
          <w:bCs/>
          <w:sz w:val="24"/>
          <w:szCs w:val="24"/>
        </w:rPr>
        <w:t>Uso responsable y transparente</w:t>
      </w:r>
      <w:r w:rsidRPr="00A242C0">
        <w:rPr>
          <w:rFonts w:asciiTheme="minorHAnsi" w:hAnsiTheme="minorHAnsi" w:cstheme="minorHAnsi"/>
          <w:sz w:val="24"/>
          <w:szCs w:val="24"/>
        </w:rPr>
        <w:t xml:space="preserve">: Durante el proceso de elaboración de este TFM se ha hecho uso de herramientas de IAG </w:t>
      </w:r>
      <w:r>
        <w:rPr>
          <w:rFonts w:asciiTheme="minorHAnsi" w:hAnsiTheme="minorHAnsi" w:cstheme="minorHAnsi"/>
          <w:sz w:val="24"/>
          <w:szCs w:val="24"/>
        </w:rPr>
        <w:t>(</w:t>
      </w:r>
      <w:r w:rsidRPr="00A242C0">
        <w:rPr>
          <w:rFonts w:asciiTheme="minorHAnsi" w:hAnsiTheme="minorHAnsi" w:cstheme="minorHAnsi"/>
          <w:sz w:val="24"/>
          <w:szCs w:val="24"/>
        </w:rPr>
        <w:t xml:space="preserve">concretamente </w:t>
      </w:r>
      <w:r>
        <w:rPr>
          <w:rFonts w:asciiTheme="minorHAnsi" w:hAnsiTheme="minorHAnsi" w:cstheme="minorHAnsi"/>
          <w:sz w:val="24"/>
          <w:szCs w:val="24"/>
        </w:rPr>
        <w:t xml:space="preserve">Claude </w:t>
      </w:r>
      <w:r w:rsidRPr="00A242C0">
        <w:rPr>
          <w:rFonts w:asciiTheme="minorHAnsi" w:hAnsiTheme="minorHAnsi" w:cstheme="minorHAnsi"/>
          <w:sz w:val="24"/>
          <w:szCs w:val="24"/>
        </w:rPr>
        <w:t>(Anthropic), ChatGPT (OpenAI)</w:t>
      </w:r>
      <w:r>
        <w:rPr>
          <w:rFonts w:asciiTheme="minorHAnsi" w:hAnsiTheme="minorHAnsi" w:cstheme="minorHAnsi"/>
          <w:sz w:val="24"/>
          <w:szCs w:val="24"/>
        </w:rPr>
        <w:t xml:space="preserve"> o Gemini (Google))</w:t>
      </w:r>
      <w:r w:rsidRPr="00A242C0">
        <w:rPr>
          <w:rFonts w:asciiTheme="minorHAnsi" w:hAnsiTheme="minorHAnsi" w:cstheme="minorHAnsi"/>
          <w:sz w:val="24"/>
          <w:szCs w:val="24"/>
        </w:rPr>
        <w:t xml:space="preserve"> como apoyo en tareas de escritura académica, revisión estilística, búsqueda de referencias bibliográficas y estructuración del contenido. El uso de estas herramientas ha sido en todo momento consciente, declarado y subordinado al criterio intelectual del autor/a.</w:t>
      </w:r>
    </w:p>
    <w:p w14:paraId="1B9D239F"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EE4EB9">
        <w:rPr>
          <w:rFonts w:asciiTheme="minorHAnsi" w:hAnsiTheme="minorHAnsi" w:cstheme="minorHAnsi"/>
          <w:b/>
          <w:bCs/>
          <w:sz w:val="24"/>
          <w:szCs w:val="24"/>
        </w:rPr>
        <w:t>Validación manual del contenido</w:t>
      </w:r>
      <w:r w:rsidRPr="00A242C0">
        <w:rPr>
          <w:rFonts w:asciiTheme="minorHAnsi" w:hAnsiTheme="minorHAnsi" w:cstheme="minorHAnsi"/>
          <w:sz w:val="24"/>
          <w:szCs w:val="24"/>
        </w:rPr>
        <w:t xml:space="preserve">: Todo el contenido generado con ayuda de herramientas de IAG ha sido revisado, contrastado, editado y validado manualmente por el autor. En ningún caso se ha aceptado de forma acrítica el </w:t>
      </w:r>
      <w:r w:rsidRPr="00A242C0">
        <w:rPr>
          <w:rFonts w:asciiTheme="minorHAnsi" w:hAnsiTheme="minorHAnsi" w:cstheme="minorHAnsi"/>
          <w:i/>
          <w:iCs/>
          <w:sz w:val="24"/>
          <w:szCs w:val="24"/>
        </w:rPr>
        <w:t>output</w:t>
      </w:r>
      <w:r w:rsidRPr="00A242C0">
        <w:rPr>
          <w:rFonts w:asciiTheme="minorHAnsi" w:hAnsiTheme="minorHAnsi" w:cstheme="minorHAnsi"/>
          <w:sz w:val="24"/>
          <w:szCs w:val="24"/>
        </w:rPr>
        <w:t xml:space="preserve"> de estas herramientas sin verificación. Las referencias bibliográficas sugeridas por herramientas de IAG han sido comprobadas en bases de datos académicas originales (PubMed, Google Scholar, IEEE Xplore u otras) antes de su inclusión en el trabajo.</w:t>
      </w:r>
    </w:p>
    <w:p w14:paraId="766C4654"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EE4EB9">
        <w:rPr>
          <w:rFonts w:asciiTheme="minorHAnsi" w:hAnsiTheme="minorHAnsi" w:cstheme="minorHAnsi"/>
          <w:b/>
          <w:bCs/>
          <w:sz w:val="24"/>
          <w:szCs w:val="24"/>
        </w:rPr>
        <w:t>Responsabilidad intelectual final</w:t>
      </w:r>
      <w:r w:rsidRPr="00A242C0">
        <w:rPr>
          <w:rFonts w:asciiTheme="minorHAnsi" w:hAnsiTheme="minorHAnsi" w:cstheme="minorHAnsi"/>
          <w:sz w:val="24"/>
          <w:szCs w:val="24"/>
        </w:rPr>
        <w:t>: El autor asume plena y exclusiva responsabilidad intelectual y académica sobre la totalidad del contenido de este TFM, incluyendo las ideas, argumentaciones, análisis, interpretaciones de resultados y conclusiones presentadas. El uso de herramientas de IAG no exime al autor de dicha responsabilidad, ni traslada la autoría del trabajo a dichas herramientas o a sus desarrolladores.</w:t>
      </w:r>
    </w:p>
    <w:p w14:paraId="32D2EDDE"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EE4EB9">
        <w:rPr>
          <w:rFonts w:asciiTheme="minorHAnsi" w:hAnsiTheme="minorHAnsi" w:cstheme="minorHAnsi"/>
          <w:b/>
          <w:bCs/>
          <w:sz w:val="24"/>
          <w:szCs w:val="24"/>
        </w:rPr>
        <w:t>Conformidad con la normativa institucional</w:t>
      </w:r>
      <w:r w:rsidRPr="00A242C0">
        <w:rPr>
          <w:rFonts w:asciiTheme="minorHAnsi" w:hAnsiTheme="minorHAnsi" w:cstheme="minorHAnsi"/>
          <w:sz w:val="24"/>
          <w:szCs w:val="24"/>
        </w:rPr>
        <w:t xml:space="preserve">: El uso de herramientas de IAG se ha realizado en conformidad con las directrices académicas vigentes en la </w:t>
      </w:r>
      <w:r>
        <w:rPr>
          <w:rFonts w:asciiTheme="minorHAnsi" w:hAnsiTheme="minorHAnsi" w:cstheme="minorHAnsi"/>
          <w:sz w:val="24"/>
          <w:szCs w:val="24"/>
        </w:rPr>
        <w:t>UOC [20]</w:t>
      </w:r>
      <w:r w:rsidRPr="00A242C0">
        <w:rPr>
          <w:rFonts w:asciiTheme="minorHAnsi" w:hAnsiTheme="minorHAnsi" w:cstheme="minorHAnsi"/>
          <w:sz w:val="24"/>
          <w:szCs w:val="24"/>
        </w:rPr>
        <w:t>. En aquellos casos en que la normativa institucional establezca restricciones adicionales o requiera comunicación específica al tutor, el autor</w:t>
      </w:r>
      <w:r>
        <w:rPr>
          <w:rFonts w:asciiTheme="minorHAnsi" w:hAnsiTheme="minorHAnsi" w:cstheme="minorHAnsi"/>
          <w:sz w:val="24"/>
          <w:szCs w:val="24"/>
        </w:rPr>
        <w:t xml:space="preserve"> </w:t>
      </w:r>
      <w:r w:rsidRPr="00A242C0">
        <w:rPr>
          <w:rFonts w:asciiTheme="minorHAnsi" w:hAnsiTheme="minorHAnsi" w:cstheme="minorHAnsi"/>
          <w:sz w:val="24"/>
          <w:szCs w:val="24"/>
        </w:rPr>
        <w:t>declara haber cumplido con dichas obligaciones.</w:t>
      </w:r>
    </w:p>
    <w:p w14:paraId="60FC201C" w14:textId="77777777" w:rsidR="00B356CE" w:rsidRDefault="00B356CE" w:rsidP="00B356CE"/>
    <w:p w14:paraId="4368B06F" w14:textId="77777777" w:rsidR="00B356CE" w:rsidRDefault="00B356CE" w:rsidP="00B356CE">
      <w:pPr>
        <w:spacing w:before="400" w:after="200"/>
        <w:jc w:val="right"/>
      </w:pPr>
      <w:r>
        <w:t>Madrid 01/03/2026</w:t>
      </w:r>
    </w:p>
    <w:p w14:paraId="22455922" w14:textId="77777777" w:rsidR="00B356CE" w:rsidRDefault="00B356CE" w:rsidP="00B356CE">
      <w:pPr>
        <w:spacing w:after="80"/>
        <w:jc w:val="right"/>
      </w:pPr>
      <w:r>
        <w:t>Firmado:</w:t>
      </w:r>
    </w:p>
    <w:p w14:paraId="597939C7" w14:textId="77777777" w:rsidR="00B356CE" w:rsidRDefault="00B356CE" w:rsidP="00B356CE">
      <w:pPr>
        <w:spacing w:after="80"/>
        <w:jc w:val="right"/>
      </w:pPr>
      <w:r>
        <w:rPr>
          <w:b/>
          <w:bCs/>
        </w:rPr>
        <w:t>Julio Úbeda Quesada</w:t>
      </w:r>
    </w:p>
    <w:p w14:paraId="01E4092C" w14:textId="77777777" w:rsidR="00B356CE" w:rsidRDefault="00B356CE" w:rsidP="00F439B4">
      <w:pPr>
        <w:pStyle w:val="Ttulo1"/>
      </w:pPr>
    </w:p>
    <w:p w14:paraId="5901854F" w14:textId="7D4CAF0A" w:rsidR="00CC1AE6" w:rsidRDefault="00783C55" w:rsidP="00F439B4">
      <w:pPr>
        <w:pStyle w:val="Ttulo1"/>
      </w:pPr>
      <w:r>
        <w:t>CAPÍTULO 2</w:t>
      </w:r>
    </w:p>
    <w:p w14:paraId="32743973" w14:textId="3E4ADCB3" w:rsidR="00783C55" w:rsidRDefault="00783C55" w:rsidP="00F439B4">
      <w:pPr>
        <w:pStyle w:val="Ttulo1"/>
      </w:pPr>
      <w:r>
        <w:t>ESTADO DEL ARTE</w:t>
      </w:r>
    </w:p>
    <w:p w14:paraId="2FCCC992" w14:textId="77777777" w:rsidR="00783C55" w:rsidRPr="00F439B4" w:rsidRDefault="00783C55" w:rsidP="00F439B4">
      <w:pPr>
        <w:pStyle w:val="Ttulo2"/>
      </w:pPr>
      <w:bookmarkStart w:id="33" w:name="_Toc224681489"/>
      <w:r w:rsidRPr="00F439B4">
        <w:t>2.1 Introducción al capítulo</w:t>
      </w:r>
      <w:bookmarkEnd w:id="33"/>
    </w:p>
    <w:p w14:paraId="5E5DA2E1" w14:textId="66BE9317" w:rsidR="00783C55" w:rsidRDefault="00783C55" w:rsidP="00CC1AE6">
      <w:r>
        <w:lastRenderedPageBreak/>
        <w:t xml:space="preserve">El presente capítulo tiene como objetivo trazar una fotografía actualizada del estado del conocimiento científico en el ámbito del análisis de supervivencia aplicado a la oncología de precisión basada en datos genómicos. Siguiendo la metodología de revisión documental descrita por </w:t>
      </w:r>
      <w:r w:rsidR="00436AFB">
        <w:fldChar w:fldCharType="begin"/>
      </w:r>
      <w:r w:rsidR="00436AFB">
        <w:instrText xml:space="preserve"> ADDIN ZOTERO_ITEM CSL_CITATION {"citationID":"qfPjNNSP","properties":{"unsorted":false,"formattedCitation":"(Oates 2022)","plainCitation":"(Oates 2022)","noteIndex":0},"citationItems":[{"id":168,"uris":["http://zotero.org/users/19775897/items/7VGN3IVM"],"itemData":{"id":168,"type":"book","edition":"Second edition","ISBN":"978-1-5297-3269-6","language":"eng","number-of-pages":"xviii+349","publisher":"SAGE Publications Ltd","publisher-place":"London","source":"discovery.biblioteca.uoc.edu","title":"Researching information systems and computing","author":[{"family":"Oates","given":"Briony J."}],"contributor":[{"family":"Griffiths","given":"Marie"},{"family":"McLean","given":"Rachel"}],"issued":{"date-parts":[["2022"]]}}}],"schema":"https://github.com/citation-style-language/schema/raw/master/csl-citation.json"} </w:instrText>
      </w:r>
      <w:r w:rsidR="00436AFB">
        <w:fldChar w:fldCharType="separate"/>
      </w:r>
      <w:r w:rsidR="00436AFB" w:rsidRPr="00436AFB">
        <w:rPr>
          <w:rFonts w:ascii="Calibri" w:hAnsi="Calibri" w:cs="Calibri"/>
        </w:rPr>
        <w:t>(Oates 2022)</w:t>
      </w:r>
      <w:r w:rsidR="00436AFB">
        <w:fldChar w:fldCharType="end"/>
      </w:r>
      <w:r w:rsidR="00436AFB">
        <w:t>. E</w:t>
      </w:r>
      <w:r>
        <w:t xml:space="preserve">n su marco de investigación en sistemas de información, se adopta un enfoque de </w:t>
      </w:r>
      <w:r w:rsidRPr="00155D4F">
        <w:rPr>
          <w:i/>
          <w:iCs/>
        </w:rPr>
        <w:t>survey</w:t>
      </w:r>
      <w:r>
        <w:t xml:space="preserve"> que sistematiza los trabajos previos más relevantes, identifica las tendencias metodológicas dominantes y localiza las brechas de conocimiento que el presente TFM pretende contribuir a cubrir.</w:t>
      </w:r>
    </w:p>
    <w:p w14:paraId="493E7E76" w14:textId="77777777" w:rsidR="00783C55" w:rsidRDefault="00783C55" w:rsidP="00CC1AE6">
      <w:r>
        <w:t>La revisión se estructura en torno a cuatro ejes temáticos fundamentales: (i) la evolución de los métodos de análisis de supervivencia, desde los enfoques clásicos hasta los modelos de aprendizaje profundo; (ii) el papel de los datos genómicos en la predicción del pronóstico oncológico; (iii) el estado específico del arte en cáncer de mama y cáncer de pulmón no microcítico; y (iv) los retos metodológicos abiertos en términos de validación, interpretabilidad y equidad de los modelos.</w:t>
      </w:r>
    </w:p>
    <w:p w14:paraId="7D863DD8" w14:textId="61A2BD22" w:rsidR="00783C55" w:rsidRDefault="00783C55" w:rsidP="00CC1AE6">
      <w:r>
        <w:t xml:space="preserve">La búsqueda bibliográfica se realizó principalmente en Google Scholar, PubMed y </w:t>
      </w:r>
      <w:r w:rsidR="0083013E">
        <w:t>OpenEvidence</w:t>
      </w:r>
      <w:r>
        <w:t>, utilizando las siguientes palabras clave en combinaciones variables: survival analysis, cancer prognosis, genomic biomarkers, TCGA, METABRIC, Cox proportional hazards, Random Survival Forest, DeepSurv, breast cancer, lung cancer, machine learning, deep learning. El período de cobertura preferente abarca desde 2010 hasta 2025, con inclusión de referencias fundacionales anteriores.</w:t>
      </w:r>
    </w:p>
    <w:p w14:paraId="60E0CBC1" w14:textId="47B7E669" w:rsidR="00AF39B8" w:rsidRPr="00F439B4" w:rsidRDefault="00AF39B8" w:rsidP="00F439B4">
      <w:pPr>
        <w:pStyle w:val="Ttulo2"/>
      </w:pPr>
      <w:bookmarkStart w:id="34" w:name="_Toc224681490"/>
      <w:r w:rsidRPr="00F439B4">
        <w:t>2.2 Evolución histórica de los métodos de análisis de supervivencia</w:t>
      </w:r>
      <w:bookmarkEnd w:id="34"/>
    </w:p>
    <w:p w14:paraId="3DAB2222" w14:textId="56FCB58D" w:rsidR="00CC1AE6" w:rsidRDefault="00CC1AE6" w:rsidP="00CC1AE6">
      <w:pPr>
        <w:rPr>
          <w:rFonts w:ascii="Times New Roman" w:hAnsi="Times New Roman"/>
        </w:rPr>
      </w:pPr>
      <w:r>
        <w:t>La figura 1 presenta una línea temporal que ilustra la evolución histórica de los principales métodos de análisis de supervivencia en oncología, desde enfoques clásicos no paramétricos como Kaplan-Meier (1958), pasando por modelos semiparamétricos como el Modelo de Cox (1972) y su regularización L1 en Cox LASSO (1997), hasta la incorporación de técnicas de aprendizaje automático como Random Survival Forest (2008). Asimismo, se destaca el impacto del auge de los datos ómicos con iniciativas como TCGA Pan-Cancer (2013) y la transición hacia modelos de aprendizaje profundo, incluyendo DeepSurv (2018) y enfoques multimodales basados en Transformers multimodales (+ 2021), evidenciando una progresiva sofisticación metodológica orientada a mejorar la predicción y comprensión de la supervivencia en contextos oncológicos complejos.</w:t>
      </w:r>
    </w:p>
    <w:p w14:paraId="750F288D" w14:textId="77777777" w:rsidR="00CC1AE6" w:rsidRDefault="00CC1AE6" w:rsidP="00AF39B8">
      <w:pPr>
        <w:pStyle w:val="Ttulo2"/>
      </w:pPr>
    </w:p>
    <w:p w14:paraId="3BE51628" w14:textId="77777777" w:rsidR="00AF39B8" w:rsidRDefault="00AF39B8" w:rsidP="00AF39B8">
      <w:pPr>
        <w:spacing w:after="80"/>
        <w:jc w:val="center"/>
      </w:pPr>
      <w:r>
        <w:rPr>
          <w:noProof/>
        </w:rPr>
        <w:lastRenderedPageBreak/>
        <w:drawing>
          <wp:inline distT="0" distB="0" distL="0" distR="0" wp14:anchorId="6D9DBAFB" wp14:editId="571B3095">
            <wp:extent cx="5715000" cy="22574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257425"/>
                    </a:xfrm>
                    <a:prstGeom prst="rect">
                      <a:avLst/>
                    </a:prstGeom>
                  </pic:spPr>
                </pic:pic>
              </a:graphicData>
            </a:graphic>
          </wp:inline>
        </w:drawing>
      </w:r>
    </w:p>
    <w:p w14:paraId="5089FBE3" w14:textId="7DF03478" w:rsidR="00AF39B8" w:rsidRDefault="00AF39B8" w:rsidP="00AF39B8">
      <w:pPr>
        <w:pStyle w:val="Descripcin"/>
      </w:pPr>
      <w:bookmarkStart w:id="35" w:name="_Toc224680651"/>
      <w:bookmarkStart w:id="36" w:name="_Toc224681475"/>
      <w:r w:rsidRPr="00AF39B8">
        <w:rPr>
          <w:b/>
          <w:bCs/>
        </w:rPr>
        <w:t xml:space="preserve">Figura </w:t>
      </w:r>
      <w:r w:rsidRPr="00AF39B8">
        <w:rPr>
          <w:b/>
          <w:bCs/>
        </w:rPr>
        <w:fldChar w:fldCharType="begin"/>
      </w:r>
      <w:r w:rsidRPr="00AF39B8">
        <w:rPr>
          <w:b/>
          <w:bCs/>
        </w:rPr>
        <w:instrText xml:space="preserve"> SEQ Figura \* ARABIC </w:instrText>
      </w:r>
      <w:r w:rsidRPr="00AF39B8">
        <w:rPr>
          <w:b/>
          <w:bCs/>
        </w:rPr>
        <w:fldChar w:fldCharType="separate"/>
      </w:r>
      <w:r w:rsidR="00F439B4">
        <w:rPr>
          <w:b/>
          <w:bCs/>
          <w:noProof/>
        </w:rPr>
        <w:t>1</w:t>
      </w:r>
      <w:r w:rsidRPr="00AF39B8">
        <w:rPr>
          <w:b/>
          <w:bCs/>
        </w:rPr>
        <w:fldChar w:fldCharType="end"/>
      </w:r>
      <w:r>
        <w:rPr>
          <w:noProof/>
        </w:rPr>
        <w:t xml:space="preserve">. </w:t>
      </w:r>
      <w:r w:rsidRPr="00F03932">
        <w:rPr>
          <w:noProof/>
        </w:rPr>
        <w:t>Evolución cronológica de los principales métodos de análisis de supervivencia oncológica, desde el estimador de Kaplan-Meier (1958) hasta los modelos de aprendizaje profundo multimodal (2021+). Los colores distinguen las familias metodológicas: azul (mé</w:t>
      </w:r>
      <w:r w:rsidR="0080682B">
        <w:rPr>
          <w:noProof/>
        </w:rPr>
        <w:t>todos clásicos), verde (machine learning/aprendizaje automatico), naranja (datos genómicos) y morado (deep learning/aprendizaje profundo).</w:t>
      </w:r>
      <w:bookmarkEnd w:id="35"/>
      <w:bookmarkEnd w:id="36"/>
    </w:p>
    <w:p w14:paraId="58911EB0" w14:textId="77777777" w:rsidR="00AF39B8" w:rsidRPr="00F439B4" w:rsidRDefault="00AF39B8" w:rsidP="00F439B4">
      <w:pPr>
        <w:pStyle w:val="Ttulo3"/>
      </w:pPr>
      <w:bookmarkStart w:id="37" w:name="_Toc224681491"/>
      <w:r w:rsidRPr="00F439B4">
        <w:t>2.2.1 El estimador de Kaplan-Meier</w:t>
      </w:r>
      <w:bookmarkEnd w:id="37"/>
    </w:p>
    <w:p w14:paraId="52531D01" w14:textId="7716D62F" w:rsidR="00AF39B8" w:rsidRPr="0041755F" w:rsidRDefault="00AF39B8" w:rsidP="00CC1AE6">
      <w:r w:rsidRPr="0041755F">
        <w:t>El estimador no paramétrico de Kaplan y Meier</w:t>
      </w:r>
      <w:r w:rsidR="0083013E" w:rsidRPr="0041755F">
        <w:t xml:space="preserve"> </w:t>
      </w:r>
      <w:r w:rsidR="0083013E" w:rsidRPr="0041755F">
        <w:fldChar w:fldCharType="begin"/>
      </w:r>
      <w:r w:rsidR="0083013E" w:rsidRPr="0041755F">
        <w:instrText xml:space="preserve"> ADDIN ZOTERO_ITEM CSL_CITATION {"citationID":"tMg3qkY1","properties":{"unsorted":false,"formattedCitation":"(Kaplan y Meier 1958)","plainCitation":"(Kaplan y Meier 1958)","noteIndex":0},"citationItems":[{"id":170,"uris":["http://zotero.org/users/19775897/items/DTR7ZIEV"],"itemData":{"id":170,"type":"article-journal","abstract":"In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83013E" w:rsidRPr="0041755F">
        <w:fldChar w:fldCharType="separate"/>
      </w:r>
      <w:r w:rsidR="0083013E" w:rsidRPr="0041755F">
        <w:t>(Kaplan y Meier 1958)</w:t>
      </w:r>
      <w:r w:rsidR="0083013E" w:rsidRPr="0041755F">
        <w:fldChar w:fldCharType="end"/>
      </w:r>
      <w:r w:rsidRPr="0041755F">
        <w:t xml:space="preserve"> permite calcular la función de supervivencia empírica S(t) a partir de datos con censura, sin asumir ninguna forma paramétrica para la distribución del tiempo de supervivencia. Su representación gráfica escalonada se ha convertido en el estándar universal para comunicar resultados de supervivencia en estudios clínicos. Su limitación fundamental es que no permite ajustar covariables de forma multivariable, lo que lo convierte en un instrumento descriptivo y exploratorio. </w:t>
      </w:r>
      <w:r w:rsidR="001B6118" w:rsidRPr="0041755F">
        <w:t>A pesar de esto, e</w:t>
      </w:r>
      <w:r w:rsidRPr="0041755F">
        <w:t xml:space="preserve">l test log-rank, habitualmente asociado a las curvas de Kaplan-Meier, proporciona una prueba estadística no paramétrica para comparar curvas entre grupos </w:t>
      </w:r>
      <w:r w:rsidR="00C310D5" w:rsidRPr="0041755F">
        <w:fldChar w:fldCharType="begin"/>
      </w:r>
      <w:r w:rsidR="00C310D5" w:rsidRPr="0041755F">
        <w:instrText xml:space="preserve"> ADDIN ZOTERO_ITEM CSL_CITATION {"citationID":"rXPf0KUe","properties":{"unsorted":false,"formattedCitation":"(Le-Rademacher y Wang 2021)","plainCitation":"(Le-Rademacher y Wang 2021)","noteIndex":0},"citationItems":[{"id":58,"uris":["http://zotero.org/users/19775897/items/LSEMXNCW"],"itemData":{"id":58,"type":"article-journal","abstract":"In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C310D5" w:rsidRPr="0041755F">
        <w:fldChar w:fldCharType="separate"/>
      </w:r>
      <w:r w:rsidR="00C310D5" w:rsidRPr="0041755F">
        <w:t>(Le-Rademacher y Wang 2021)</w:t>
      </w:r>
      <w:r w:rsidR="00C310D5" w:rsidRPr="0041755F">
        <w:fldChar w:fldCharType="end"/>
      </w:r>
      <w:r w:rsidRPr="0041755F">
        <w:t>.</w:t>
      </w:r>
    </w:p>
    <w:p w14:paraId="598C8BC0" w14:textId="77777777" w:rsidR="00AF39B8" w:rsidRPr="00F439B4" w:rsidRDefault="00AF39B8" w:rsidP="00F439B4">
      <w:pPr>
        <w:pStyle w:val="Ttulo3"/>
      </w:pPr>
      <w:bookmarkStart w:id="38" w:name="_Toc224681492"/>
      <w:r w:rsidRPr="00F439B4">
        <w:t>2.2.2 El modelo de riesgos proporcionales de Cox</w:t>
      </w:r>
      <w:bookmarkEnd w:id="38"/>
    </w:p>
    <w:p w14:paraId="3071F4E4" w14:textId="0B5A0ED7" w:rsidR="00783C55" w:rsidRPr="0041755F" w:rsidRDefault="00AF39B8" w:rsidP="00CC1AE6">
      <w:r w:rsidRPr="0041755F">
        <w:t xml:space="preserve">El modelo de Cox </w:t>
      </w:r>
      <w:r w:rsidR="00831EC0" w:rsidRPr="0041755F">
        <w:fldChar w:fldCharType="begin"/>
      </w:r>
      <w:r w:rsidR="00831EC0" w:rsidRPr="0041755F">
        <w:instrText xml:space="preserve"> ADDIN ZOTERO_ITEM CSL_CITATION {"citationID":"jkwKCKd1","properties":{"unsorted":false,"formattedCitation":"(Cox 1972)","plainCitation":"(Cox 1972)","noteIndex":0},"citationItems":[{"id":67,"uris":["http://zotero.org/users/19775897/items/EQ2QEUXM"],"itemData":{"id":67,"type":"article-journal","abstract":"The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831EC0" w:rsidRPr="0041755F">
        <w:fldChar w:fldCharType="separate"/>
      </w:r>
      <w:r w:rsidR="00831EC0" w:rsidRPr="0041755F">
        <w:t>(Cox 1972)</w:t>
      </w:r>
      <w:r w:rsidR="00831EC0" w:rsidRPr="0041755F">
        <w:fldChar w:fldCharType="end"/>
      </w:r>
      <w:r w:rsidR="00831EC0" w:rsidRPr="0041755F">
        <w:t xml:space="preserve"> </w:t>
      </w:r>
      <w:r w:rsidRPr="0041755F">
        <w:t>supuso un avance fundamental al introducir un marco semiparamétrico capaz de modelar simultáneamente el efecto de múltiples covariables sobre la tasa de riesgo</w:t>
      </w:r>
      <w:r w:rsidR="00D741F8" w:rsidRPr="0041755F">
        <w:t xml:space="preserve">, </w:t>
      </w:r>
      <w:r w:rsidRPr="0041755F">
        <w:t xml:space="preserve">asumiendo </w:t>
      </w:r>
      <w:r w:rsidR="00525D5C" w:rsidRPr="0041755F">
        <w:t>que la razón de riesgos entre grupos se mantiene constante a lo largo del tiempo (la suposición de riesgos proporcionales)</w:t>
      </w:r>
      <w:r w:rsidRPr="0041755F">
        <w:t xml:space="preserve">. Su extensión mediante regularización LASSO </w:t>
      </w:r>
      <w:r w:rsidR="00525D5C" w:rsidRPr="0041755F">
        <w:fldChar w:fldCharType="begin"/>
      </w:r>
      <w:r w:rsidR="00525D5C" w:rsidRPr="0041755F">
        <w:instrText xml:space="preserve"> ADDIN ZOTERO_ITEM CSL_CITATION {"citationID":"kjcutmdP","properties":{"unsorted":false,"formattedCitation":"(Tibshirani 1997)","plainCitation":"(Tibshirani 1997)","noteIndex":0},"citationItems":[{"id":73,"uris":["http://zotero.org/users/19775897/items/X3VBJF4Z"],"itemData":{"id":73,"type":"article-journal","abstract":"I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rsidR="00525D5C" w:rsidRPr="0041755F">
        <w:fldChar w:fldCharType="separate"/>
      </w:r>
      <w:r w:rsidR="00525D5C" w:rsidRPr="0041755F">
        <w:t>(Tibshirani 1997)</w:t>
      </w:r>
      <w:r w:rsidR="00525D5C" w:rsidRPr="0041755F">
        <w:fldChar w:fldCharType="end"/>
      </w:r>
      <w:r w:rsidR="00525D5C" w:rsidRPr="0041755F">
        <w:t xml:space="preserve"> </w:t>
      </w:r>
      <w:r w:rsidRPr="0041755F">
        <w:t xml:space="preserve">ha permitido adaptar el modelo a escenarios de alta dimensionalidad, realizando simultáneamente selección de variables y estimación de coeficientes. A pesar de su amplia adopción, el modelo de Cox no captura interacciones entre variables ni relaciones no lineales entre marcadores genómicos y el riesgo de evento, limitando su capacidad predictiva en contextos moleculares complejos </w:t>
      </w:r>
      <w:r w:rsidR="0080682B" w:rsidRPr="0041755F">
        <w:fldChar w:fldCharType="begin"/>
      </w:r>
      <w:r w:rsidR="0080682B" w:rsidRPr="0041755F">
        <w:instrText xml:space="preserve"> ADDIN ZOTERO_ITEM CSL_CITATION {"citationID":"Ok3rfDD2","properties":{"unsorted":false,"formattedCitation":"(Stensrud y Hern\\uc0\\u225{}n 2020)","plainCitation":"(Stensrud y Hernán 2020)","noteIndex":0},"citationItems":[{"id":76,"uris":["http://zotero.org/users/19775897/items/PXFAUBJ2"],"itemData":{"id":76,"type":"article-journal","abstract":"The Cox proportional hazards model, introduced in 1972, has become the default approach for survival analysis in randomized trials. The Cox model estimates the ratio of the hazard of the event or outcome of interest (eg, death) between 2 treatment groups. Informally, the hazard at any given time is the probability of experiencing the event of interest in the next interval among individuals who had not yet experienced the event by the start of the interval. Because the Cox model requires the hazards in both groups to be proportional, researchers are often asked to “test” whether hazards are proportional.","container-title":"JAMA","DOI":"10.1001/jama.2020.1267","ISSN":"0098-7484","issue":"14","journalAbbreviation":"JAMA","page":"1401-1402","source":"Silverchair","title":"Why Test for Proportional Hazards?","volume":"323","author":[{"family":"Stensrud","given":"Mats J."},{"family":"Hernán","given":"Miguel A."}],"issued":{"date-parts":[["2020",4,14]]}}}],"schema":"https://github.com/citation-style-language/schema/raw/master/csl-citation.json"} </w:instrText>
      </w:r>
      <w:r w:rsidR="0080682B" w:rsidRPr="0041755F">
        <w:fldChar w:fldCharType="separate"/>
      </w:r>
      <w:r w:rsidR="0080682B" w:rsidRPr="0041755F">
        <w:rPr>
          <w:szCs w:val="24"/>
        </w:rPr>
        <w:t>(Stensrud y Hernán 2020)</w:t>
      </w:r>
      <w:r w:rsidR="0080682B" w:rsidRPr="0041755F">
        <w:fldChar w:fldCharType="end"/>
      </w:r>
      <w:r w:rsidR="0080682B" w:rsidRPr="0041755F">
        <w:t>.</w:t>
      </w:r>
    </w:p>
    <w:p w14:paraId="1D1BF22A" w14:textId="77777777" w:rsidR="00CA003D" w:rsidRPr="00F439B4" w:rsidRDefault="00CA003D" w:rsidP="00F439B4">
      <w:pPr>
        <w:pStyle w:val="Ttulo2"/>
      </w:pPr>
      <w:bookmarkStart w:id="39" w:name="_Toc224681493"/>
      <w:r w:rsidRPr="00F439B4">
        <w:t>2.3 Métodos de aprendizaje automático para análisis de supervivencia</w:t>
      </w:r>
      <w:bookmarkEnd w:id="39"/>
    </w:p>
    <w:p w14:paraId="5425F818" w14:textId="77777777" w:rsidR="00CA003D" w:rsidRPr="00F439B4" w:rsidRDefault="00CA003D" w:rsidP="00F439B4">
      <w:pPr>
        <w:pStyle w:val="Ttulo3"/>
      </w:pPr>
      <w:bookmarkStart w:id="40" w:name="_Toc224681494"/>
      <w:r w:rsidRPr="00F439B4">
        <w:t>2.3.1 Motivación del enfoque de machine learning</w:t>
      </w:r>
      <w:bookmarkEnd w:id="40"/>
    </w:p>
    <w:p w14:paraId="4FAB8B75" w14:textId="49FAEA49" w:rsidR="00CA003D" w:rsidRPr="0041755F" w:rsidRDefault="00CA003D" w:rsidP="00CC1AE6">
      <w:r w:rsidRPr="0041755F">
        <w:t>La irrupción de los datos genómicos de alta dimensionalidad planteó desafíos que los modelos clásicos no podían abordar eficientemente. Con decenas de miles de variables por paciente y cohortes de tamaño moderado</w:t>
      </w:r>
      <w:r w:rsidR="00575DCA">
        <w:t xml:space="preserve">, </w:t>
      </w:r>
      <w:r w:rsidRPr="0041755F">
        <w:t>el espacio D &gt;&gt; n</w:t>
      </w:r>
      <w:r w:rsidR="00575DCA">
        <w:t xml:space="preserve"> (fenómeno de alta dimensionalidad)</w:t>
      </w:r>
      <w:r w:rsidRPr="0041755F">
        <w:t xml:space="preserve"> provoca sobreajuste y baja generalización en modelos convencionales </w:t>
      </w:r>
      <w:r w:rsidR="00575DCA">
        <w:lastRenderedPageBreak/>
        <w:fldChar w:fldCharType="begin"/>
      </w:r>
      <w:r w:rsidR="00575DCA">
        <w:instrText xml:space="preserve"> ADDIN ZOTERO_ITEM CSL_CITATION {"citationID":"Ro53tYcx","properties":{"unsorted":false,"formattedCitation":"(Clarke et\\uc0\\u160{}al. 2008)","plainCitation":"(Clarke et al. 2008)","noteIndex":0},"citationItems":[{"id":79,"uris":["http://zotero.org/users/19775897/items/MYJIW3JQ"],"itemData":{"id":79,"type":"article-journal","abstract":"The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575DCA">
        <w:fldChar w:fldCharType="separate"/>
      </w:r>
      <w:r w:rsidR="00575DCA" w:rsidRPr="00575DCA">
        <w:rPr>
          <w:rFonts w:ascii="Calibri" w:hAnsi="Calibri" w:cs="Calibri"/>
          <w:szCs w:val="24"/>
        </w:rPr>
        <w:t>(Clarke et al. 2008)</w:t>
      </w:r>
      <w:r w:rsidR="00575DCA">
        <w:fldChar w:fldCharType="end"/>
      </w:r>
      <w:r w:rsidR="00575DCA">
        <w:t xml:space="preserve">. </w:t>
      </w:r>
      <w:r w:rsidRPr="0041755F">
        <w:t xml:space="preserve">La extensión de los algoritmos de </w:t>
      </w:r>
      <w:r w:rsidRPr="009E0283">
        <w:rPr>
          <w:i/>
          <w:iCs/>
        </w:rPr>
        <w:t>machine learning</w:t>
      </w:r>
      <w:r w:rsidRPr="0041755F">
        <w:t xml:space="preserve"> al marco de la supervivencia requiere incorporar el mecanismo de censura de forma nativa, lo que ha generado adaptaciones específicas de los principales algoritmos, de las cuales el Random Survival Forest </w:t>
      </w:r>
      <w:r w:rsidR="00442E2D">
        <w:t xml:space="preserve">cuenta con </w:t>
      </w:r>
      <w:r w:rsidR="00BF6679">
        <w:t xml:space="preserve">un </w:t>
      </w:r>
      <w:r w:rsidR="00442E2D">
        <w:t>gran reconocimiento</w:t>
      </w:r>
      <w:r w:rsidRPr="0041755F">
        <w:t xml:space="preserve"> en la literatura biomédica </w:t>
      </w:r>
      <w:r w:rsidR="00442E2D">
        <w:fldChar w:fldCharType="begin"/>
      </w:r>
      <w:r w:rsidR="00442E2D">
        <w:instrText xml:space="preserve"> ADDIN ZOTERO_ITEM CSL_CITATION {"citationID":"WeU4yOS8","properties":{"unsorted":false,"formattedCitation":"(Wang, Li, y Reddy 2019)","plainCitation":"(Wang, Li, y Reddy 2019)","noteIndex":0},"citationItems":[{"id":81,"uris":["http://zotero.org/users/19775897/items/BVRTFI9A"],"itemData":{"id":81,"type":"article-journal","abstract":"Survival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442E2D">
        <w:fldChar w:fldCharType="separate"/>
      </w:r>
      <w:r w:rsidR="00442E2D" w:rsidRPr="00442E2D">
        <w:rPr>
          <w:rFonts w:ascii="Calibri" w:hAnsi="Calibri" w:cs="Calibri"/>
        </w:rPr>
        <w:t>(Wang, Li, y Reddy 2019)</w:t>
      </w:r>
      <w:r w:rsidR="00442E2D">
        <w:fldChar w:fldCharType="end"/>
      </w:r>
      <w:r w:rsidR="00442E2D">
        <w:t>.</w:t>
      </w:r>
    </w:p>
    <w:p w14:paraId="0311E013" w14:textId="77777777" w:rsidR="00CA003D" w:rsidRPr="00F439B4" w:rsidRDefault="00CA003D" w:rsidP="00F439B4">
      <w:pPr>
        <w:pStyle w:val="Ttulo3"/>
      </w:pPr>
      <w:bookmarkStart w:id="41" w:name="_Toc224681495"/>
      <w:r w:rsidRPr="00F439B4">
        <w:t>2.3.2 Random Survival Forest</w:t>
      </w:r>
      <w:bookmarkEnd w:id="41"/>
    </w:p>
    <w:p w14:paraId="5FCDE0D6" w14:textId="63CD2EAD" w:rsidR="00CA003D" w:rsidRDefault="00CA003D" w:rsidP="00CC1AE6">
      <w:r>
        <w:t xml:space="preserve">El Random Survival Forest (RSF) fue propuesto por </w:t>
      </w:r>
      <w:r w:rsidR="00442E2D">
        <w:fldChar w:fldCharType="begin"/>
      </w:r>
      <w:r w:rsidR="00DA5E1B">
        <w:instrText xml:space="preserve"> ADDIN ZOTERO_ITEM CSL_CITATION {"citationID":"2GT22NZi","properties":{"unsorted":false,"formattedCitation":"(Ishwaran et\\uc0\\u160{}al. 2008)","plainCitation":"(Ishwaran et al. 2008)","dontUpdate":true,"noteIndex":0},"citationItems":[{"id":83,"uris":["http://zotero.org/users/19775897/items/SATSKVD7"],"itemData":{"id":83,"type":"article-journal","abstract":"We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rsidR="00442E2D">
        <w:fldChar w:fldCharType="separate"/>
      </w:r>
      <w:r w:rsidR="00442E2D" w:rsidRPr="00442E2D">
        <w:rPr>
          <w:rFonts w:ascii="Calibri" w:hAnsi="Calibri" w:cs="Calibri"/>
        </w:rPr>
        <w:t xml:space="preserve">Ishwaran et al. </w:t>
      </w:r>
      <w:r w:rsidR="00442E2D">
        <w:rPr>
          <w:rFonts w:ascii="Calibri" w:hAnsi="Calibri" w:cs="Calibri"/>
        </w:rPr>
        <w:t xml:space="preserve">en </w:t>
      </w:r>
      <w:r w:rsidR="00442E2D" w:rsidRPr="00442E2D">
        <w:rPr>
          <w:rFonts w:ascii="Calibri" w:hAnsi="Calibri" w:cs="Calibri"/>
        </w:rPr>
        <w:t>2008</w:t>
      </w:r>
      <w:r w:rsidR="00442E2D">
        <w:fldChar w:fldCharType="end"/>
      </w:r>
      <w:r w:rsidR="00442E2D">
        <w:t xml:space="preserve"> </w:t>
      </w:r>
      <w:r>
        <w:t>como extensión del Random Forest</w:t>
      </w:r>
      <w:r w:rsidR="00BF6679">
        <w:t xml:space="preserve"> </w:t>
      </w:r>
      <w:r w:rsidR="00BF6679">
        <w:fldChar w:fldCharType="begin"/>
      </w:r>
      <w:r w:rsidR="00BF6679">
        <w:instrText xml:space="preserve"> ADDIN ZOTERO_ITEM CSL_CITATION {"citationID":"VBULkRLk","properties":{"unsorted":false,"formattedCitation":"(Breiman 2001)","plainCitation":"(Breiman 2001)","noteIndex":0},"citationItems":[{"id":172,"uris":["http://zotero.org/users/19775897/items/2WWK833P"],"itemData":{"id":172,"type":"article-journal","abstract":"Random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BF6679">
        <w:fldChar w:fldCharType="separate"/>
      </w:r>
      <w:r w:rsidR="00BF6679" w:rsidRPr="00BF6679">
        <w:rPr>
          <w:rFonts w:ascii="Calibri" w:hAnsi="Calibri" w:cs="Calibri"/>
        </w:rPr>
        <w:t>(Breiman 2001)</w:t>
      </w:r>
      <w:r w:rsidR="00BF6679">
        <w:fldChar w:fldCharType="end"/>
      </w:r>
      <w:r>
        <w:t xml:space="preserve"> al contexto de la supervivencia. El RSF construye un ensemble de árboles de supervivencia aleatorios utilizando la función de log-rank como criterio de división de nodos, evaluada sobre subconjuntos aleatorios de variables. Sus ventajas sobre el modelo de Cox incluyen: (i) no asume proporcionalidad de riesgos ni linealidad; (ii) maneja interacciones entre variables; (iii) es robusto frente a datos ausentes; y (iv) proporciona medidas nativas de importancia de variables (VIMP y minimal depth). </w:t>
      </w:r>
      <w:r w:rsidR="00DA5E1B">
        <w:fldChar w:fldCharType="begin"/>
      </w:r>
      <w:r w:rsidR="00FB135E">
        <w:instrText xml:space="preserve"> ADDIN ZOTERO_ITEM CSL_CITATION {"citationID":"WSN4nbbZ","properties":{"unsorted":false,"formattedCitation":"(Jin et\\uc0\\u160{}al. 2025)","plainCitation":"(Jin et al. 2025)","dontUpdate":true,"noteIndex":0},"citationItems":[{"id":174,"uris":["http://zotero.org/users/19775897/items/P7F6FMW2"],"itemData":{"id":174,"type":"article-journal","abstract":"Background: Breast cancer is one of the most common malignancies among women worldwide. Patients who do not achieve a pathological complete response (pCR) or a clinical complete response (cCR) post–neoadjuvant chemotherapy (NAC) typically have a worse prognosis compared to those who do achieve these responses.\nObjective: This study aimed to develop and validate a random survival forest (RSF) model to predict survival risk in patients with breast cancer who do not achieve a pCR or cCR post-NAC.\nMethods: We analyzed patients with no pCR/cCR post-NAC treated at the First Affiliated Hospital of Chongqing Medical University from January 2019 to 2023, with external validation in Duke University and Surveillance, Epidemiology, and End Results (SEER) cohorts. RSF and Cox regression models were compared using the time-dependent area under the curve (AUC), the concordance index (C-index), and risk stratification.\nResults: The study cohort included 306 patients with breast cancer, with most aged 40-60 years (204/306, 66.7%). The majority had invasive ductal carcinoma (290/306, 94.8%), with estrogen receptor (ER)+ (182/306, 59.5%), progesterone receptor (PR)– (179/306, 58.5%), and human epidermal growth factor receptor 2 (HER2)+ (94/306, 30.7%) profiles. Most patients presented with T2 (185/306, 60.5%), N1 (142/306, 46.4%), and M0 (295/306, 96.4%) staging (TNM meaning “tumor, node, metastasis”), with 17.6% (54/306) experiencing disease progression during a median follow-up of 25.9 months (IQR 17.2-36.3). External validation using Duke (N=94) and SEER (N=2760) cohorts confirmed consistent patterns in age (40-60 years: 59/94, 63%, vs 1480/2760, 53.6%), HER2+ rates (26/94, 28%, vs 935/2760, 33.9%), and invasive ductal carcinoma prevalence (89/94, 95%, vs 2506/2760, 90.8%). In the internal cohort, the RSF achieved significantly higher time-dependent AUCs compared to Cox regression at 1-year (0.811 vs 0.763), 3-year (0.834 vs 0.783), and 5-year (0.810 vs 0.771) intervals (overall C-index: 0.803, 95% CI 0.747-0.859, vs 0.736, 95% CI 0.673-0.799). External validation confirmed robust generalizability: the Duke cohort showed 1-, 3-, and 5-year AUCs of 0.912, 0.803, and 0.776, respectively, while the SEER cohort maintained consistent performance with AUCs of 0.771, 0.729, and 0.702, respectively. Risk stratification using the RSF identified 25.8% (79/306) high-risk patients and a significantly reduced survival time (P&amp;lt;.001). Notably, the RSF maintained improved net benefits across decision thresholds in decision curve analysis (DCA); similar results were observed in external studies. The RSF model also showed promising performance across different molecular subtypes in all datasets. Based on the RSF predicted scores, patients were stratified into high- and low-risk groups, with notably poorer survival outcomes observed in the high-risk group compared to the low-risk group.\nConclusions: The RSF model, based solely on clinicopathological variables, provides a promising tool for identifying high-risk patients with breast cancer post-NAC. This approach may facilitate personalized treatment strategies and improve patient management in clinical practice.","container-title":"Journal of Medical Internet Research","DOI":"10.2196/69864","issue":"1","language":"EN","page":"e69864","publisher":"JMIR Publications Inc., Toronto, Canada","source":"www.jmir.org","title":"Comparing Random Survival Forests and Cox Regression for Nonresponders to Neoadjuvant Chemotherapy Among Patients With Breast Cancer: Multicenter Retrospective Cohort Study","title-short":"Comparing Random Survival Forests and Cox Regression for Nonresponders to Neoadjuvant Chemotherapy Among Patients With Breast Cancer","volume":"27","author":[{"family":"Jin","given":"Yudi"},{"family":"Zhao","given":"Min"},{"family":"Su","given":"Tong"},{"family":"Fan","given":"Yanjia"},{"family":"Ouyang","given":"Zubin"},{"family":"Lv","given":"Fajin"}],"issued":{"date-parts":[["2025",4,8]]}}}],"schema":"https://github.com/citation-style-language/schema/raw/master/csl-citation.json"} </w:instrText>
      </w:r>
      <w:r w:rsidR="00DA5E1B">
        <w:fldChar w:fldCharType="separate"/>
      </w:r>
      <w:r w:rsidR="00DA5E1B" w:rsidRPr="00DA5E1B">
        <w:rPr>
          <w:rFonts w:ascii="Calibri" w:hAnsi="Calibri" w:cs="Calibri"/>
        </w:rPr>
        <w:t xml:space="preserve">Jin et al. </w:t>
      </w:r>
      <w:r w:rsidR="00DA5E1B">
        <w:rPr>
          <w:rFonts w:ascii="Calibri" w:hAnsi="Calibri" w:cs="Calibri"/>
        </w:rPr>
        <w:t xml:space="preserve">en </w:t>
      </w:r>
      <w:r w:rsidR="00DA5E1B" w:rsidRPr="00DA5E1B">
        <w:rPr>
          <w:rFonts w:ascii="Calibri" w:hAnsi="Calibri" w:cs="Calibri"/>
        </w:rPr>
        <w:t>2025</w:t>
      </w:r>
      <w:r w:rsidR="00DA5E1B">
        <w:fldChar w:fldCharType="end"/>
      </w:r>
      <w:r w:rsidR="00DA5E1B">
        <w:t xml:space="preserve"> reportaron como el </w:t>
      </w:r>
      <w:r w:rsidR="00DA5E1B" w:rsidRPr="00DA5E1B">
        <w:t>RSF superó significativamente a la regresión de Cox en el índice de concordancia (C-index: 0.803 vs. 0.736)</w:t>
      </w:r>
      <w:r w:rsidR="00DA5E1B">
        <w:t xml:space="preserve"> para datos de c</w:t>
      </w:r>
      <w:r w:rsidR="00FB135E">
        <w:t>á</w:t>
      </w:r>
      <w:r w:rsidR="00DA5E1B">
        <w:t>ncer de mama.</w:t>
      </w:r>
    </w:p>
    <w:p w14:paraId="78376AD3" w14:textId="77777777" w:rsidR="00CA003D" w:rsidRPr="00F439B4" w:rsidRDefault="00CA003D" w:rsidP="00F439B4">
      <w:pPr>
        <w:pStyle w:val="Ttulo3"/>
      </w:pPr>
      <w:bookmarkStart w:id="42" w:name="_Toc224681496"/>
      <w:r w:rsidRPr="00F439B4">
        <w:t>2.3.3 Gradient Boosting para supervivencia</w:t>
      </w:r>
      <w:bookmarkEnd w:id="42"/>
    </w:p>
    <w:p w14:paraId="3B0B4C2B" w14:textId="02CD7A16" w:rsidR="00AF39B8" w:rsidRDefault="003D1898" w:rsidP="00CC1AE6">
      <w:r>
        <w:t xml:space="preserve">El </w:t>
      </w:r>
      <w:r>
        <w:rPr>
          <w:rStyle w:val="nfasis"/>
        </w:rPr>
        <w:t>gradient boosting</w:t>
      </w:r>
      <w:r>
        <w:t xml:space="preserve"> es una técnica de </w:t>
      </w:r>
      <w:r>
        <w:rPr>
          <w:rStyle w:val="nfasis"/>
        </w:rPr>
        <w:t>ensemble learning</w:t>
      </w:r>
      <w:r>
        <w:t xml:space="preserve"> que construye modelos predictivos mediante la combinación secuencial de modelos simples, donde cada iteración busca corregir los errores de las anteriores. En el contexto del análisis de supervivencia, este enfoque puede adaptarse para optimizar funciones de pérdida específicas del problema, como la asociada al modelo de riesgos proporcionales de Cox o métricas de concordancia </w:t>
      </w:r>
      <w:r w:rsidR="00FB135E">
        <w:fldChar w:fldCharType="begin"/>
      </w:r>
      <w:r w:rsidR="00FB135E">
        <w:instrText xml:space="preserve"> ADDIN ZOTERO_ITEM CSL_CITATION {"citationID":"2TTytmi1","properties":{"unsorted":false,"formattedCitation":"(Chen et\\uc0\\u160{}al. 2013)","plainCitation":"(Chen et al. 2013)","noteIndex":0},"citationItems":[{"id":179,"uris":["http://zotero.org/users/19775897/items/BPIPA5QS"],"itemData":{"id":179,"type":"article-journal","abstract":"Survival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rsidR="00FB135E">
        <w:fldChar w:fldCharType="separate"/>
      </w:r>
      <w:r w:rsidR="00FB135E" w:rsidRPr="00FB135E">
        <w:rPr>
          <w:rFonts w:ascii="Calibri" w:hAnsi="Calibri" w:cs="Calibri"/>
          <w:szCs w:val="24"/>
        </w:rPr>
        <w:t>(Chen et al. 2013)</w:t>
      </w:r>
      <w:r w:rsidR="00FB135E">
        <w:fldChar w:fldCharType="end"/>
      </w:r>
      <w:r>
        <w:t xml:space="preserve">. Este enfoque combina la capacidad del </w:t>
      </w:r>
      <w:r>
        <w:rPr>
          <w:rStyle w:val="nfasis"/>
        </w:rPr>
        <w:t>boosting</w:t>
      </w:r>
      <w:r>
        <w:t xml:space="preserve"> para manejar conjuntos de datos de alta dimensionalidad con la relativa interpretabilidad del marco de Cox. Aunque su rendimiento puede ser </w:t>
      </w:r>
      <w:r w:rsidR="003516E0">
        <w:t xml:space="preserve">comparable o superior </w:t>
      </w:r>
      <w:r>
        <w:t xml:space="preserve">al de métodos basados en árboles como </w:t>
      </w:r>
      <w:r>
        <w:rPr>
          <w:rStyle w:val="nfasis"/>
        </w:rPr>
        <w:t>Random Survival Forest</w:t>
      </w:r>
      <w:r>
        <w:t xml:space="preserve"> en determinados escenarios, su adopción en estudios de genómica oncológica ha sido más limitada </w:t>
      </w:r>
      <w:r w:rsidR="003516E0">
        <w:t xml:space="preserve">debido al enorme costo computacional </w:t>
      </w:r>
      <w:r w:rsidR="00FB135E">
        <w:fldChar w:fldCharType="begin"/>
      </w:r>
      <w:r w:rsidR="00FB135E">
        <w:instrText xml:space="preserve"> ADDIN ZOTERO_ITEM CSL_CITATION {"citationID":"WLFLKyER","properties":{"unsorted":false,"formattedCitation":"(Wang et\\uc0\\u160{}al. 2019)","plainCitation":"(Wang et al. 2019)","noteIndex":0},"citationItems":[{"id":81,"uris":["http://zotero.org/users/19775897/items/BVRTFI9A"],"itemData":{"id":81,"type":"article-journal","abstract":"Survival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FB135E">
        <w:fldChar w:fldCharType="separate"/>
      </w:r>
      <w:r w:rsidR="00FB135E" w:rsidRPr="00FB135E">
        <w:rPr>
          <w:rFonts w:ascii="Calibri" w:hAnsi="Calibri" w:cs="Calibri"/>
          <w:szCs w:val="24"/>
        </w:rPr>
        <w:t>(Wang et al. 2019)</w:t>
      </w:r>
      <w:r w:rsidR="00FB135E">
        <w:fldChar w:fldCharType="end"/>
      </w:r>
      <w:r w:rsidR="00FB135E">
        <w:t>.</w:t>
      </w:r>
    </w:p>
    <w:p w14:paraId="3B75D960" w14:textId="621CE8B3" w:rsidR="00AF39B8" w:rsidRPr="00F439B4" w:rsidRDefault="00AF39B8" w:rsidP="00F439B4">
      <w:pPr>
        <w:pStyle w:val="Ttulo2"/>
      </w:pPr>
      <w:bookmarkStart w:id="43" w:name="_Toc224681497"/>
      <w:r w:rsidRPr="00F439B4">
        <w:t>2.</w:t>
      </w:r>
      <w:r w:rsidR="00CA003D" w:rsidRPr="00F439B4">
        <w:t>4</w:t>
      </w:r>
      <w:r w:rsidRPr="00F439B4">
        <w:t xml:space="preserve"> Modelos de aprendizaje profundo para análisis de supervivencia</w:t>
      </w:r>
      <w:bookmarkEnd w:id="43"/>
    </w:p>
    <w:p w14:paraId="332103DA" w14:textId="596C3D05" w:rsidR="00AF39B8" w:rsidRPr="00F439B4" w:rsidRDefault="00AF39B8" w:rsidP="00F439B4">
      <w:pPr>
        <w:pStyle w:val="Ttulo3"/>
      </w:pPr>
      <w:bookmarkStart w:id="44" w:name="_Toc224681498"/>
      <w:r w:rsidRPr="00F439B4">
        <w:t>2.</w:t>
      </w:r>
      <w:r w:rsidR="00CA003D" w:rsidRPr="00F439B4">
        <w:t>4</w:t>
      </w:r>
      <w:r w:rsidRPr="00F439B4">
        <w:t>.1 DeepSurv</w:t>
      </w:r>
      <w:bookmarkEnd w:id="44"/>
    </w:p>
    <w:p w14:paraId="149DA315" w14:textId="51480C7F" w:rsidR="00AF39B8" w:rsidRPr="00E92645" w:rsidRDefault="00127927" w:rsidP="00CC1AE6">
      <w:r w:rsidRPr="00E92645">
        <w:t xml:space="preserve">El modelo DeepSurv, propuesto por </w:t>
      </w:r>
      <w:r w:rsidR="00C8237F">
        <w:fldChar w:fldCharType="begin"/>
      </w:r>
      <w:r w:rsidR="0050057A">
        <w:instrText xml:space="preserve"> ADDIN ZOTERO_ITEM CSL_CITATION {"citationID":"ksgEAhXf","properties":{"unsorted":false,"formattedCitation":"(Katzman et\\uc0\\u160{}al. 2018)","plainCitation":"(Katzman et al. 2018)","dontUpdate":true,"noteIndex":0},"citationItems":[{"id":22,"uris":["http://zotero.org/users/19775897/items/ZQLZDRDV"],"itemData":{"id":22,"type":"article-journal","abstract":"Medical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C8237F">
        <w:fldChar w:fldCharType="separate"/>
      </w:r>
      <w:r w:rsidR="00C8237F" w:rsidRPr="00C8237F">
        <w:rPr>
          <w:rFonts w:ascii="Calibri" w:hAnsi="Calibri" w:cs="Calibri"/>
        </w:rPr>
        <w:t xml:space="preserve">Katzman et al. </w:t>
      </w:r>
      <w:r w:rsidR="00C8237F">
        <w:rPr>
          <w:rFonts w:ascii="Calibri" w:hAnsi="Calibri" w:cs="Calibri"/>
        </w:rPr>
        <w:t xml:space="preserve">en </w:t>
      </w:r>
      <w:r w:rsidR="00C8237F" w:rsidRPr="00C8237F">
        <w:rPr>
          <w:rFonts w:ascii="Calibri" w:hAnsi="Calibri" w:cs="Calibri"/>
        </w:rPr>
        <w:t>2018</w:t>
      </w:r>
      <w:r w:rsidR="00C8237F">
        <w:fldChar w:fldCharType="end"/>
      </w:r>
      <w:r w:rsidR="00C8237F">
        <w:t xml:space="preserve"> </w:t>
      </w:r>
      <w:r w:rsidRPr="00E92645">
        <w:t>es actualmente el modelo de aprendizaje profundo más citado y adoptado en el campo del análisis de supervivencia oncológica</w:t>
      </w:r>
      <w:r w:rsidR="009328E1" w:rsidRPr="00E92645">
        <w:t>. DeepSurv</w:t>
      </w:r>
      <w:r w:rsidRPr="00E92645">
        <w:t xml:space="preserve"> </w:t>
      </w:r>
      <w:r w:rsidR="00AF39B8" w:rsidRPr="00E92645">
        <w:t xml:space="preserve">implementa una red neuronal profunda feedforward que optimiza la función de pérdida de log-verosimilitud parcial de Cox, extendiendo el modelo de Cox al régimen no lineal. </w:t>
      </w:r>
      <w:r w:rsidR="009328E1" w:rsidRPr="00E92645">
        <w:t xml:space="preserve">La capa de salida es una neurona única sin función de activación que genera la puntuación de riesgo (log hazard ratio) para cada paciente. </w:t>
      </w:r>
      <w:r w:rsidR="00AF39B8" w:rsidRPr="00E92645">
        <w:t>En el artículo original, Katzman et al. demostraron mejoras en C-index respecto al Cox estándar</w:t>
      </w:r>
      <w:r w:rsidR="00E92645" w:rsidRPr="00E92645">
        <w:t xml:space="preserve"> y RSF</w:t>
      </w:r>
      <w:r w:rsidR="00AF39B8" w:rsidRPr="00E92645">
        <w:t xml:space="preserve"> sobre </w:t>
      </w:r>
      <w:r w:rsidR="00E92645" w:rsidRPr="00E92645">
        <w:t>cuatro</w:t>
      </w:r>
      <w:r w:rsidR="00AF39B8" w:rsidRPr="00E92645">
        <w:t xml:space="preserve"> datasets clínicos y genómicos</w:t>
      </w:r>
      <w:r w:rsidR="00E92645" w:rsidRPr="00E92645">
        <w:t xml:space="preserve">. Particularmente relevante para este TFM es su evaluación sobre datos de cáncer de mama del dataset METABRIC donde DeepSurv alcanzó un C-index de </w:t>
      </w:r>
      <w:r w:rsidR="00E92645" w:rsidRPr="00E92645">
        <w:rPr>
          <w:b/>
          <w:bCs/>
        </w:rPr>
        <w:t xml:space="preserve">0.654 </w:t>
      </w:r>
      <w:r w:rsidR="00E92645" w:rsidRPr="00E92645">
        <w:t xml:space="preserve">frente a 0.631 del modelo de Cox y frente a 0.619 del modelo RSF. </w:t>
      </w:r>
      <w:r w:rsidR="00C8237F">
        <w:fldChar w:fldCharType="begin"/>
      </w:r>
      <w:r w:rsidR="0050057A">
        <w:instrText xml:space="preserve"> ADDIN ZOTERO_ITEM CSL_CITATION {"citationID":"zesZ2fkw","properties":{"unsorted":false,"formattedCitation":"(Huang et\\uc0\\u160{}al. 2020)","plainCitation":"(Huang et al. 2020)","dontUpdate":true,"noteIndex":0},"citationItems":[{"id":91,"uris":["http://zotero.org/users/19775897/items/FFSPTAAB"],"itemData":{"id":91,"type":"article-journal","abstract":"Recent advances in kernel-based Deep Learning models have introduced a new era in medical research. Originally designed for pattern recognition and image processing, Deep Learning models are now applied to survival prognosis of cancer patients. Specifically, Deep Learning versions of the Cox proportional hazards models are trained with transcriptomic data to predict survival outcomes in cancer patients.","container-title":"BMC Medical Genomics","DOI":"10.1186/s12920-020-0686-1","ISSN":"1755-8794","issue":"5","journalAbbreviation":"BMC Med Genomics","language":"en","page":"41","source":"Springer Link","title":"Deep learning-based cancer survival prognosis from RNA-seq data: approaches and evaluations","title-short":"Deep learning-based cancer survival prognosis from RNA-seq data","volume":"13","author":[{"family":"Huang","given":"Zhi"},{"family":"Johnson","given":"Travis S."},{"family":"Han","given":"Zhi"},{"family":"Helm","given":"Bryan"},{"family":"Cao","given":"Sha"},{"family":"Zhang","given":"Chi"},{"family":"Salama","given":"Paul"},{"family":"Rizkalla","given":"Maher"},{"family":"Yu","given":"Christina Y."},{"family":"Cheng","given":"Jun"},{"family":"Xiang","given":"Shunian"},{"family":"Zhan","given":"Xiaohui"},{"family":"Zhang","given":"Jie"},{"family":"Huang","given":"Kun"}],"issued":{"date-parts":[["2020",4,3]]}}}],"schema":"https://github.com/citation-style-language/schema/raw/master/csl-citation.json"} </w:instrText>
      </w:r>
      <w:r w:rsidR="00C8237F">
        <w:fldChar w:fldCharType="separate"/>
      </w:r>
      <w:r w:rsidR="00C8237F" w:rsidRPr="00C8237F">
        <w:rPr>
          <w:rFonts w:ascii="Calibri" w:hAnsi="Calibri" w:cs="Calibri"/>
        </w:rPr>
        <w:t xml:space="preserve">Huang et al. </w:t>
      </w:r>
      <w:r w:rsidR="00C8237F">
        <w:rPr>
          <w:rFonts w:ascii="Calibri" w:hAnsi="Calibri" w:cs="Calibri"/>
        </w:rPr>
        <w:t>(</w:t>
      </w:r>
      <w:r w:rsidR="00C8237F" w:rsidRPr="00C8237F">
        <w:rPr>
          <w:rFonts w:ascii="Calibri" w:hAnsi="Calibri" w:cs="Calibri"/>
        </w:rPr>
        <w:t>2020</w:t>
      </w:r>
      <w:r w:rsidR="00C8237F">
        <w:fldChar w:fldCharType="end"/>
      </w:r>
      <w:r w:rsidR="00C8237F">
        <w:t xml:space="preserve">) </w:t>
      </w:r>
      <w:r w:rsidR="00AF39B8" w:rsidRPr="00E92645">
        <w:t xml:space="preserve">compararon DeepSurv, RSF y Cox LASSO sobre </w:t>
      </w:r>
      <w:r w:rsidR="00C8237F">
        <w:t>12</w:t>
      </w:r>
      <w:r w:rsidR="00AF39B8" w:rsidRPr="00E92645">
        <w:t xml:space="preserve"> tipos de cáncer del TCGA, concluyendo que DeepSurv</w:t>
      </w:r>
      <w:r w:rsidR="00C8237F">
        <w:t xml:space="preserve"> obtiene mejores métricas en la mayoría de ocasiones.</w:t>
      </w:r>
    </w:p>
    <w:p w14:paraId="7E860AC8" w14:textId="1B5FEB70" w:rsidR="00AF39B8" w:rsidRPr="00F439B4" w:rsidRDefault="00AF39B8" w:rsidP="00F439B4">
      <w:pPr>
        <w:pStyle w:val="Ttulo3"/>
      </w:pPr>
      <w:bookmarkStart w:id="45" w:name="_Toc224681499"/>
      <w:r w:rsidRPr="00F439B4">
        <w:lastRenderedPageBreak/>
        <w:t>2.</w:t>
      </w:r>
      <w:r w:rsidR="00CA003D" w:rsidRPr="00F439B4">
        <w:t>4</w:t>
      </w:r>
      <w:r w:rsidRPr="00F439B4">
        <w:t>.2 SurvivalNet y arquitecturas alternativas</w:t>
      </w:r>
      <w:bookmarkEnd w:id="45"/>
    </w:p>
    <w:p w14:paraId="79250A3F" w14:textId="74513068" w:rsidR="008311E3" w:rsidRDefault="008311E3" w:rsidP="00CC1AE6">
      <w:r>
        <w:t xml:space="preserve">SurvivalNet, propuesto por </w:t>
      </w:r>
      <w:r>
        <w:fldChar w:fldCharType="begin"/>
      </w:r>
      <w:r w:rsidR="0050057A">
        <w:instrText xml:space="preserve"> ADDIN ZOTERO_ITEM CSL_CITATION {"citationID":"ovKJB3Ei","properties":{"unsorted":false,"formattedCitation":"(Yousefi et\\uc0\\u160{}al. 2017)","plainCitation":"(Yousefi et al. 2017)","dontUpdate":true,"noteIndex":0},"citationItems":[{"id":95,"uris":["http://zotero.org/users/19775897/items/J53P2BX3"],"itemData":{"id":95,"type":"article-journal","abstract":"Translating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fldChar w:fldCharType="separate"/>
      </w:r>
      <w:r w:rsidRPr="008311E3">
        <w:rPr>
          <w:rFonts w:ascii="Calibri" w:hAnsi="Calibri" w:cs="Calibri"/>
          <w:szCs w:val="24"/>
        </w:rPr>
        <w:t xml:space="preserve">Yousefi et al. </w:t>
      </w:r>
      <w:r w:rsidR="00662B09">
        <w:rPr>
          <w:rFonts w:ascii="Calibri" w:hAnsi="Calibri" w:cs="Calibri"/>
          <w:szCs w:val="24"/>
        </w:rPr>
        <w:t xml:space="preserve">en </w:t>
      </w:r>
      <w:r w:rsidRPr="008311E3">
        <w:rPr>
          <w:rFonts w:ascii="Calibri" w:hAnsi="Calibri" w:cs="Calibri"/>
          <w:szCs w:val="24"/>
        </w:rPr>
        <w:t>2017</w:t>
      </w:r>
      <w:r>
        <w:fldChar w:fldCharType="end"/>
      </w:r>
      <w:r>
        <w:t>,</w:t>
      </w:r>
      <w:r w:rsidR="00662B09">
        <w:t xml:space="preserve"> </w:t>
      </w:r>
      <w:r>
        <w:t>es otro modelo de red neuronal para supervivencia que incorpora regularización mediante dropout, normalización por lotes (batch normalization) y optimización bayesiana de hiperparámetros. Su evaluación sobre cuatro datasets de TCGA (glioblastoma, cáncer de mama, cáncer de riñón y cáncer de hígado) demostró mejoras sobre el modelo de Cox en todos los casos</w:t>
      </w:r>
      <w:r w:rsidR="00662B09">
        <w:t>.</w:t>
      </w:r>
    </w:p>
    <w:p w14:paraId="0CAA0D4B" w14:textId="0900B75E" w:rsidR="00AF4BDD" w:rsidRDefault="00662B09" w:rsidP="00CC1AE6">
      <w:r>
        <w:t>Más recientemente</w:t>
      </w:r>
      <w:r>
        <w:rPr>
          <w:rFonts w:ascii="Arial" w:hAnsi="Arial"/>
          <w:sz w:val="22"/>
        </w:rPr>
        <w:t xml:space="preserve">, </w:t>
      </w:r>
      <w:r w:rsidR="00AF4BDD">
        <w:t xml:space="preserve">la integración de múltiples modalidades de datos genómicos mediante arquitecturas de aprendizaje profundo constituye una de las líneas de investigación más activas en el campo. </w:t>
      </w:r>
      <w:r w:rsidR="00996FE3">
        <w:fldChar w:fldCharType="begin"/>
      </w:r>
      <w:r w:rsidR="0050057A">
        <w:instrText xml:space="preserve"> ADDIN ZOTERO_ITEM CSL_CITATION {"citationID":"9JDSqDpT","properties":{"unsorted":false,"formattedCitation":"(Tong et\\uc0\\u160{}al. 2020)","plainCitation":"(Tong et al. 2020)","dontUpdate":true,"noteIndex":0},"citationItems":[{"id":102,"uris":["http://zotero.org/users/19775897/items/Z82U38ET"],"itemData":{"id":102,"type":"article-journal","abstract":"Breast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996FE3">
        <w:fldChar w:fldCharType="separate"/>
      </w:r>
      <w:r w:rsidR="00996FE3" w:rsidRPr="00996FE3">
        <w:rPr>
          <w:rFonts w:ascii="Calibri" w:hAnsi="Calibri" w:cs="Calibri"/>
          <w:szCs w:val="24"/>
        </w:rPr>
        <w:t xml:space="preserve">Tong et al. </w:t>
      </w:r>
      <w:r w:rsidR="00996FE3">
        <w:rPr>
          <w:rFonts w:ascii="Calibri" w:hAnsi="Calibri" w:cs="Calibri"/>
          <w:szCs w:val="24"/>
        </w:rPr>
        <w:t>(</w:t>
      </w:r>
      <w:r w:rsidR="00996FE3" w:rsidRPr="00996FE3">
        <w:rPr>
          <w:rFonts w:ascii="Calibri" w:hAnsi="Calibri" w:cs="Calibri"/>
          <w:szCs w:val="24"/>
        </w:rPr>
        <w:t>2020)</w:t>
      </w:r>
      <w:r w:rsidR="00996FE3">
        <w:fldChar w:fldCharType="end"/>
      </w:r>
      <w:r w:rsidR="00996FE3">
        <w:t xml:space="preserve"> </w:t>
      </w:r>
      <w:r w:rsidR="00AF4BDD">
        <w:t xml:space="preserve">propusieron el framework DCAP (Deep Cancer Prognosis), basado en un encoder por modalidad (expresión génica, miRNA, metilación, CNV) seguido de una capa de fusión de características de nivel profundo. Evaluado sobre </w:t>
      </w:r>
      <w:r w:rsidR="00996FE3">
        <w:t>datos simulados de MNIST y datos multi-omicos de</w:t>
      </w:r>
      <w:r w:rsidR="00AF4BDD">
        <w:t xml:space="preserve"> TCGA</w:t>
      </w:r>
      <w:r w:rsidR="00996FE3">
        <w:t>-BRCA</w:t>
      </w:r>
      <w:r w:rsidR="00AF4BDD">
        <w:t xml:space="preserve">, DCAP </w:t>
      </w:r>
      <w:r w:rsidR="00996FE3">
        <w:t xml:space="preserve">superó a los modelos de una sola modalidad </w:t>
      </w:r>
      <w:r w:rsidR="00AF4BDD">
        <w:t>en C-index respecto al uso de expresión génica aislada, con la contribución de cada modalidad variando por tipo de cáncer.</w:t>
      </w:r>
    </w:p>
    <w:p w14:paraId="1C98C2EA" w14:textId="2798902F" w:rsidR="00AF39B8" w:rsidRPr="00F439B4" w:rsidRDefault="00AF39B8" w:rsidP="00F439B4">
      <w:pPr>
        <w:pStyle w:val="Ttulo3"/>
      </w:pPr>
      <w:bookmarkStart w:id="46" w:name="_Toc224681500"/>
      <w:r w:rsidRPr="00F439B4">
        <w:t>2.</w:t>
      </w:r>
      <w:r w:rsidR="00CA003D" w:rsidRPr="00F439B4">
        <w:t>4</w:t>
      </w:r>
      <w:r w:rsidRPr="00F439B4">
        <w:t>.3 Pipeline metodológico integrado</w:t>
      </w:r>
      <w:bookmarkEnd w:id="46"/>
    </w:p>
    <w:p w14:paraId="2B7A45AE" w14:textId="4D04F402" w:rsidR="00AF39B8" w:rsidRDefault="00AF39B8" w:rsidP="00CC1AE6">
      <w:r>
        <w:t xml:space="preserve">La </w:t>
      </w:r>
      <w:r w:rsidR="008540C1">
        <w:t>f</w:t>
      </w:r>
      <w:r>
        <w:t>igura 2 presenta el diagrama del pipeline metodológico completo que articula las etapas de adquisición de datos, preprocesamiento, modelado y evaluación, incluyendo los mecanismos de validación cruzada interna y externa que se implementarán en este TFM.</w:t>
      </w:r>
    </w:p>
    <w:p w14:paraId="0CCFE04F" w14:textId="77777777" w:rsidR="00AF39B8" w:rsidRDefault="00AF39B8" w:rsidP="00AF39B8">
      <w:pPr>
        <w:spacing w:after="80"/>
      </w:pPr>
    </w:p>
    <w:p w14:paraId="1DDCDDBD" w14:textId="77777777" w:rsidR="00AF39B8" w:rsidRDefault="00AF39B8" w:rsidP="00AF39B8">
      <w:pPr>
        <w:spacing w:after="80"/>
        <w:jc w:val="center"/>
      </w:pPr>
      <w:r>
        <w:rPr>
          <w:noProof/>
        </w:rPr>
        <w:drawing>
          <wp:inline distT="0" distB="0" distL="0" distR="0" wp14:anchorId="7815F95A" wp14:editId="7E0BF4D1">
            <wp:extent cx="5619750" cy="24003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2400300"/>
                    </a:xfrm>
                    <a:prstGeom prst="rect">
                      <a:avLst/>
                    </a:prstGeom>
                  </pic:spPr>
                </pic:pic>
              </a:graphicData>
            </a:graphic>
          </wp:inline>
        </w:drawing>
      </w:r>
    </w:p>
    <w:p w14:paraId="0300A0A7" w14:textId="587DC532" w:rsidR="00783C55" w:rsidRDefault="00AF39B8" w:rsidP="00AF39B8">
      <w:pPr>
        <w:pStyle w:val="Descripcin"/>
      </w:pPr>
      <w:bookmarkStart w:id="47" w:name="_Toc224680652"/>
      <w:bookmarkStart w:id="48" w:name="_Toc224681476"/>
      <w:r w:rsidRPr="00F439B4">
        <w:rPr>
          <w:b/>
          <w:bCs/>
        </w:rPr>
        <w:t xml:space="preserve">Figura </w:t>
      </w:r>
      <w:r w:rsidR="0037670C" w:rsidRPr="00F439B4">
        <w:rPr>
          <w:b/>
          <w:bCs/>
        </w:rPr>
        <w:fldChar w:fldCharType="begin"/>
      </w:r>
      <w:r w:rsidR="0037670C" w:rsidRPr="00F439B4">
        <w:rPr>
          <w:b/>
          <w:bCs/>
        </w:rPr>
        <w:instrText xml:space="preserve"> SEQ Figura \* ARABIC </w:instrText>
      </w:r>
      <w:r w:rsidR="0037670C" w:rsidRPr="00F439B4">
        <w:rPr>
          <w:b/>
          <w:bCs/>
        </w:rPr>
        <w:fldChar w:fldCharType="separate"/>
      </w:r>
      <w:r w:rsidR="00F439B4" w:rsidRPr="00F439B4">
        <w:rPr>
          <w:b/>
          <w:bCs/>
          <w:noProof/>
        </w:rPr>
        <w:t>2</w:t>
      </w:r>
      <w:r w:rsidR="0037670C" w:rsidRPr="00F439B4">
        <w:rPr>
          <w:b/>
          <w:bCs/>
          <w:noProof/>
        </w:rPr>
        <w:fldChar w:fldCharType="end"/>
      </w:r>
      <w:r w:rsidRPr="00F439B4">
        <w:rPr>
          <w:b/>
          <w:bCs/>
        </w:rPr>
        <w:t>.</w:t>
      </w:r>
      <w:r>
        <w:t xml:space="preserve"> </w:t>
      </w:r>
      <w:r w:rsidRPr="00857B9C">
        <w:t>Pipeline metodológico del análisis de supervivencia genómico propuesto en el TFM. El flujo muestra las etapas desde la adquisición de datos de TCGA y METABRIC hasta la evaluación mediante métricas estándar, con los mecanismos de validación cruzada inte</w:t>
      </w:r>
      <w:r>
        <w:t>rna</w:t>
      </w:r>
      <w:r w:rsidR="00C33CA3">
        <w:t xml:space="preserve"> (k-fold) y validación externa cruzada entre datasets</w:t>
      </w:r>
      <w:bookmarkEnd w:id="47"/>
      <w:bookmarkEnd w:id="48"/>
      <w:r w:rsidR="00F439B4">
        <w:t>.</w:t>
      </w:r>
    </w:p>
    <w:p w14:paraId="4A1FCB9B" w14:textId="0A7DF32C" w:rsidR="00783C55" w:rsidRPr="00F439B4" w:rsidRDefault="00783C55" w:rsidP="00F439B4">
      <w:pPr>
        <w:pStyle w:val="Ttulo2"/>
      </w:pPr>
      <w:bookmarkStart w:id="49" w:name="_Toc224681501"/>
      <w:r w:rsidRPr="00F439B4">
        <w:t>2.</w:t>
      </w:r>
      <w:r w:rsidR="00CA003D" w:rsidRPr="00F439B4">
        <w:t>5</w:t>
      </w:r>
      <w:r w:rsidRPr="00F439B4">
        <w:t xml:space="preserve"> Datos genómicos en la predicción del pronóstico oncológico</w:t>
      </w:r>
      <w:bookmarkEnd w:id="49"/>
    </w:p>
    <w:p w14:paraId="40D2E835" w14:textId="54374E6B" w:rsidR="00783C55" w:rsidRPr="00F439B4" w:rsidRDefault="00783C55" w:rsidP="00F439B4">
      <w:pPr>
        <w:pStyle w:val="Ttulo3"/>
      </w:pPr>
      <w:bookmarkStart w:id="50" w:name="_Toc224681502"/>
      <w:r w:rsidRPr="00F439B4">
        <w:t>2.</w:t>
      </w:r>
      <w:r w:rsidR="00CA003D" w:rsidRPr="00F439B4">
        <w:t>5</w:t>
      </w:r>
      <w:r w:rsidRPr="00F439B4">
        <w:t>.1 El proyecto TCGA y su impacto en la investigación</w:t>
      </w:r>
      <w:bookmarkEnd w:id="50"/>
    </w:p>
    <w:p w14:paraId="5578C102" w14:textId="6CF386C7" w:rsidR="00D70FF8" w:rsidRPr="00D70FF8" w:rsidRDefault="00D70FF8" w:rsidP="00CC1AE6">
      <w:r w:rsidRPr="00D70FF8">
        <w:t xml:space="preserve">El proyecto The Cancer Genome Atlas (TCGA), lanzado en 2006 por el </w:t>
      </w:r>
      <w:r w:rsidRPr="00D70FF8">
        <w:rPr>
          <w:i/>
          <w:iCs/>
        </w:rPr>
        <w:t>National Cancer Institute (NCI)</w:t>
      </w:r>
      <w:r w:rsidRPr="00D70FF8">
        <w:t xml:space="preserve"> y el </w:t>
      </w:r>
      <w:r w:rsidRPr="00D70FF8">
        <w:rPr>
          <w:i/>
          <w:iCs/>
        </w:rPr>
        <w:t>National Human Genome Research Institute (NHGRI)</w:t>
      </w:r>
      <w:r w:rsidRPr="00D70FF8">
        <w:t xml:space="preserve">, ha supuesto un avance clave en la investigación oncológica traslacional. Este consorcio ha generado perfiles moleculares completos </w:t>
      </w:r>
      <w:r w:rsidR="00985D19" w:rsidRPr="002A47FB">
        <w:t>(</w:t>
      </w:r>
      <w:r w:rsidRPr="00D70FF8">
        <w:t xml:space="preserve">incluyendo expresión génica mediante RNA-seq, mutaciones somáticas, variaciones en el número de copias, metilación del ADN y datos </w:t>
      </w:r>
      <w:r w:rsidRPr="00D70FF8">
        <w:lastRenderedPageBreak/>
        <w:t>proteómicos</w:t>
      </w:r>
      <w:r w:rsidR="00985D19" w:rsidRPr="002A47FB">
        <w:t>)</w:t>
      </w:r>
      <w:r w:rsidRPr="00D70FF8">
        <w:t xml:space="preserve"> para más de 11.000 tumores primarios correspondientes a 33 tipos de cáncer, integrados con información clínica y de seguimiento</w:t>
      </w:r>
      <w:r w:rsidR="00985D19" w:rsidRPr="002A47FB">
        <w:t xml:space="preserve"> </w:t>
      </w:r>
      <w:r w:rsidR="00985D19" w:rsidRPr="002A47FB">
        <w:fldChar w:fldCharType="begin"/>
      </w:r>
      <w:r w:rsidR="00985D19" w:rsidRPr="002A47FB">
        <w:instrText xml:space="preserve"> ADDIN ZOTERO_ITEM CSL_CITATION {"citationID":"htUkAY6S","properties":{"unsorted":false,"formattedCitation":"(The Cancer Genome Atlas Research Network et\\uc0\\u160{}al. 2013)","plainCitation":"(The Cancer Genome Atlas Research Network et al. 2013)","noteIndex":0},"citationItems":[{"id":108,"uris":["http://zotero.org/users/19775897/items/L8DEXBHB"],"itemData":{"id":108,"type":"article-journal","container-title":"Nature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rsidR="00985D19" w:rsidRPr="002A47FB">
        <w:fldChar w:fldCharType="separate"/>
      </w:r>
      <w:r w:rsidR="00985D19" w:rsidRPr="002A47FB">
        <w:rPr>
          <w:rFonts w:ascii="Calibri" w:hAnsi="Calibri" w:cs="Calibri"/>
        </w:rPr>
        <w:t>(The Cancer Genome Atlas Research Network et al. 2013)</w:t>
      </w:r>
      <w:r w:rsidR="00985D19" w:rsidRPr="002A47FB">
        <w:fldChar w:fldCharType="end"/>
      </w:r>
      <w:r w:rsidRPr="00D70FF8">
        <w:t xml:space="preserve">. La estandarización de los pipelines de procesamiento a través del GDC Data Portal </w:t>
      </w:r>
      <w:r w:rsidR="00985D19" w:rsidRPr="002A47FB">
        <w:fldChar w:fldCharType="begin"/>
      </w:r>
      <w:r w:rsidR="00985D19" w:rsidRPr="002A47FB">
        <w:instrText xml:space="preserve"> ADDIN ZOTERO_ITEM CSL_CITATION {"citationID":"TaWZ0Chb","properties":{"unsorted":false,"formattedCitation":"(Jensen et\\uc0\\u160{}al. 2017)","plainCitation":"(Jensen et al. 2017)","noteIndex":0},"citationItems":[{"id":189,"uris":["http://zotero.org/users/19775897/items/66A46MTG"],"itemData":{"id":189,"type":"article-journal","abstract":"The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985D19" w:rsidRPr="002A47FB">
        <w:fldChar w:fldCharType="separate"/>
      </w:r>
      <w:r w:rsidR="00985D19" w:rsidRPr="002A47FB">
        <w:rPr>
          <w:rFonts w:ascii="Calibri" w:hAnsi="Calibri" w:cs="Calibri"/>
        </w:rPr>
        <w:t>(Jensen et al. 2017)</w:t>
      </w:r>
      <w:r w:rsidR="00985D19" w:rsidRPr="002A47FB">
        <w:fldChar w:fldCharType="end"/>
      </w:r>
      <w:r w:rsidR="00985D19" w:rsidRPr="002A47FB">
        <w:t xml:space="preserve"> </w:t>
      </w:r>
      <w:r w:rsidRPr="00D70FF8">
        <w:t>ha facilitado la comparabilidad entre estudios, permitiendo análisis transversales entre distintos tipos de cáncer con datos procesados bajo protocolos homogéneos. Por ello, TCGA se ha convertido en la fuente de datos predominante en numerosos estudios de modelos de supervivencia basados en genómica desde aproximadamente 2012.</w:t>
      </w:r>
    </w:p>
    <w:p w14:paraId="7496B1D2" w14:textId="7C330E74" w:rsidR="00C6400E" w:rsidRPr="002A47FB" w:rsidRDefault="00D70FF8" w:rsidP="00CC1AE6">
      <w:r w:rsidRPr="00D70FF8">
        <w:t>No obstante, TCGA presenta algunas limitaciones relevantes</w:t>
      </w:r>
      <w:r w:rsidR="002A47FB" w:rsidRPr="002A47FB">
        <w:t xml:space="preserve">, como </w:t>
      </w:r>
      <w:r w:rsidRPr="00D70FF8">
        <w:t xml:space="preserve">una sobrerrepresentación de pacientes de ascendencia europea (aproximadamente entre el 70 % y el 80 % según el tipo de cáncer), lo que puede limitar la capacidad de generalización de los modelos desarrollados a poblaciones más diversas. </w:t>
      </w:r>
    </w:p>
    <w:p w14:paraId="223A6F88" w14:textId="656AE1D2" w:rsidR="00783C55" w:rsidRPr="00F439B4" w:rsidRDefault="00783C55" w:rsidP="00F439B4">
      <w:pPr>
        <w:pStyle w:val="Ttulo3"/>
      </w:pPr>
      <w:bookmarkStart w:id="51" w:name="_Toc224681503"/>
      <w:r w:rsidRPr="00F439B4">
        <w:t>2.</w:t>
      </w:r>
      <w:r w:rsidR="00CA003D" w:rsidRPr="00F439B4">
        <w:t>5</w:t>
      </w:r>
      <w:r w:rsidRPr="00F439B4">
        <w:t>.2 El dataset METABRIC</w:t>
      </w:r>
      <w:bookmarkEnd w:id="51"/>
    </w:p>
    <w:p w14:paraId="16DDD2C0" w14:textId="1D51D9EC" w:rsidR="00587A4B" w:rsidRPr="00CC1AE6" w:rsidRDefault="00587A4B" w:rsidP="00CC1AE6">
      <w:pPr>
        <w:rPr>
          <w:rFonts w:cstheme="minorHAnsi"/>
        </w:rPr>
      </w:pPr>
      <w:r w:rsidRPr="00CC1AE6">
        <w:rPr>
          <w:rFonts w:cstheme="minorHAnsi"/>
        </w:rPr>
        <w:t xml:space="preserve">El conjunto de datos del Molecular Taxonomy of Breast Cancer International Consortium (METABRIC), descrito por </w:t>
      </w:r>
      <w:r w:rsidRPr="00CC1AE6">
        <w:rPr>
          <w:rFonts w:cstheme="minorHAnsi"/>
        </w:rPr>
        <w:fldChar w:fldCharType="begin"/>
      </w:r>
      <w:r w:rsidR="0050057A" w:rsidRPr="00CC1AE6">
        <w:rPr>
          <w:rFonts w:cstheme="minorHAnsi"/>
        </w:rPr>
        <w:instrText xml:space="preserve"> ADDIN ZOTERO_ITEM CSL_CITATION {"citationID":"voEgG8Qc","properties":{"unsorted":false,"formattedCitation":"(Curtis et\\uc0\\u160{}al. 2012)","plainCitation":"(Curtis et al. 2012)","dontUpdate":true,"noteIndex":0},"citationItems":[{"id":192,"uris":["http://zotero.org/users/19775897/items/NLKL9VDI"],"itemData":{"id":192,"type":"article-journal","abstract":"The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50057A" w:rsidRPr="00CC1AE6">
        <w:rPr>
          <w:rFonts w:ascii="Cambria Math" w:hAnsi="Cambria Math" w:cs="Cambria Math"/>
        </w:rPr>
        <w:instrText>∼</w:instrText>
      </w:r>
      <w:r w:rsidR="0050057A" w:rsidRPr="00CC1AE6">
        <w:rPr>
          <w:rFonts w:cstheme="minorHAnsi"/>
        </w:rPr>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rsidRPr="00CC1AE6">
        <w:rPr>
          <w:rFonts w:cstheme="minorHAnsi"/>
        </w:rPr>
        <w:fldChar w:fldCharType="separate"/>
      </w:r>
      <w:r w:rsidRPr="00CC1AE6">
        <w:rPr>
          <w:rFonts w:cstheme="minorHAnsi"/>
        </w:rPr>
        <w:t>Curtis et al. en 2012</w:t>
      </w:r>
      <w:r w:rsidRPr="00CC1AE6">
        <w:rPr>
          <w:rFonts w:cstheme="minorHAnsi"/>
        </w:rPr>
        <w:fldChar w:fldCharType="end"/>
      </w:r>
      <w:r w:rsidRPr="00CC1AE6">
        <w:rPr>
          <w:rFonts w:cstheme="minorHAnsi"/>
        </w:rPr>
        <w:t>, constituye uno de los recursos más completos para el estudio genómico del cáncer de mama. Este dataset incluye perfiles de expresión génica por microarrays, variaciones en número de copias y datos clínicos detallados de aproximadamente 1.980 pacientes con cáncer de mam</w:t>
      </w:r>
      <w:r w:rsidR="00BF5CC4" w:rsidRPr="00CC1AE6">
        <w:rPr>
          <w:rFonts w:cstheme="minorHAnsi"/>
        </w:rPr>
        <w:t>a</w:t>
      </w:r>
      <w:r w:rsidRPr="00CC1AE6">
        <w:rPr>
          <w:rFonts w:cstheme="minorHAnsi"/>
        </w:rPr>
        <w:t>, con información de seguimiento clínico prolongado. Mediante un análisis integrador de expresión génica y alteraciones en número de copias, el estudio identificó diez subgrupos moleculares (IntClust1</w:t>
      </w:r>
      <w:r w:rsidR="00BF5CC4" w:rsidRPr="00CC1AE6">
        <w:rPr>
          <w:rFonts w:cstheme="minorHAnsi"/>
        </w:rPr>
        <w:t>-</w:t>
      </w:r>
      <w:r w:rsidRPr="00CC1AE6">
        <w:rPr>
          <w:rFonts w:cstheme="minorHAnsi"/>
        </w:rPr>
        <w:t>10) con perfiles pronósticos diferenciados, algunos de los cuales no se corresponden directamente con la clasificación clínica tradicional ni con los subtipos intrínsecos previamente descritos por</w:t>
      </w:r>
      <w:r w:rsidR="00BF5CC4" w:rsidRPr="00CC1AE6">
        <w:rPr>
          <w:rFonts w:cstheme="minorHAnsi"/>
        </w:rPr>
        <w:t xml:space="preserve"> </w:t>
      </w:r>
      <w:r w:rsidR="00BF5CC4" w:rsidRPr="00CC1AE6">
        <w:rPr>
          <w:rFonts w:cstheme="minorHAnsi"/>
        </w:rPr>
        <w:fldChar w:fldCharType="begin"/>
      </w:r>
      <w:r w:rsidR="0050057A" w:rsidRPr="00CC1AE6">
        <w:rPr>
          <w:rFonts w:cstheme="minorHAnsi"/>
        </w:rPr>
        <w:instrText xml:space="preserve"> ADDIN ZOTERO_ITEM CSL_CITATION {"citationID":"alVBT2hC","properties":{"unsorted":false,"formattedCitation":"(Perou et\\uc0\\u160{}al. 2000)","plainCitation":"(Perou et al. 2000)","dontUpdate":true,"noteIndex":0},"citationItems":[{"id":194,"uris":["http://zotero.org/users/19775897/items/KTD796Z9"],"itemData":{"id":194,"type":"article-journal","abstract":"Human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BF5CC4" w:rsidRPr="00CC1AE6">
        <w:rPr>
          <w:rFonts w:cstheme="minorHAnsi"/>
        </w:rPr>
        <w:fldChar w:fldCharType="separate"/>
      </w:r>
      <w:r w:rsidR="00BF5CC4" w:rsidRPr="00CC1AE6">
        <w:rPr>
          <w:rFonts w:cstheme="minorHAnsi"/>
        </w:rPr>
        <w:t>Perou et al. (2000)</w:t>
      </w:r>
      <w:r w:rsidR="00BF5CC4" w:rsidRPr="00CC1AE6">
        <w:rPr>
          <w:rFonts w:cstheme="minorHAnsi"/>
        </w:rPr>
        <w:fldChar w:fldCharType="end"/>
      </w:r>
      <w:r w:rsidRPr="00CC1AE6">
        <w:rPr>
          <w:rFonts w:cstheme="minorHAnsi"/>
        </w:rPr>
        <w:t xml:space="preserve">. </w:t>
      </w:r>
    </w:p>
    <w:p w14:paraId="56EAC7B8" w14:textId="3C63F74C" w:rsidR="00587A4B" w:rsidRPr="00CC1AE6" w:rsidRDefault="00587A4B" w:rsidP="00CC1AE6">
      <w:pPr>
        <w:rPr>
          <w:rFonts w:cstheme="minorHAnsi"/>
        </w:rPr>
      </w:pPr>
      <w:r w:rsidRPr="00CC1AE6">
        <w:rPr>
          <w:rFonts w:cstheme="minorHAnsi"/>
        </w:rPr>
        <w:t xml:space="preserve">La amplia disponibilidad de METABRIC a través de plataformas como cBioPortal y el European Genome-phenome Archive ha favorecido su utilización como cohorte independiente de validación en estudios genómicos, especialmente para evaluar modelos entrenados en datos del proyecto The Cancer Genome Atlas. No obstante, existen diferencias técnicas importantes entre ambos recursos </w:t>
      </w:r>
      <w:r w:rsidR="00BF5CC4" w:rsidRPr="00CC1AE6">
        <w:rPr>
          <w:rFonts w:cstheme="minorHAnsi"/>
        </w:rPr>
        <w:t>(</w:t>
      </w:r>
      <w:r w:rsidRPr="00CC1AE6">
        <w:rPr>
          <w:rFonts w:cstheme="minorHAnsi"/>
        </w:rPr>
        <w:t>principalmente el uso de microarrays en METABRIC frente a RNA-seq en TCGA</w:t>
      </w:r>
      <w:r w:rsidR="00BF5CC4" w:rsidRPr="00CC1AE6">
        <w:rPr>
          <w:rFonts w:cstheme="minorHAnsi"/>
        </w:rPr>
        <w:t>)</w:t>
      </w:r>
      <w:r w:rsidRPr="00CC1AE6">
        <w:rPr>
          <w:rFonts w:cstheme="minorHAnsi"/>
        </w:rPr>
        <w:t xml:space="preserve"> que pueden generar discrepancias sistemáticas en los niveles de expresión génica, por lo que es habitual aplicar técnicas de normalización cruzada o corrección de efectos de lote para garantizar la comparabilidad entre datasets</w:t>
      </w:r>
      <w:r w:rsidR="002A3396" w:rsidRPr="00CC1AE6">
        <w:rPr>
          <w:rFonts w:cstheme="minorHAnsi"/>
        </w:rPr>
        <w:t xml:space="preserve"> </w:t>
      </w:r>
      <w:r w:rsidR="002A3396" w:rsidRPr="00CC1AE6">
        <w:rPr>
          <w:rFonts w:cstheme="minorHAnsi"/>
        </w:rPr>
        <w:fldChar w:fldCharType="begin"/>
      </w:r>
      <w:r w:rsidR="00FB5CA7">
        <w:rPr>
          <w:rFonts w:cstheme="minorHAnsi"/>
        </w:rPr>
        <w:instrText xml:space="preserve"> ADDIN ZOTERO_ITEM CSL_CITATION {"citationID":"AnBnBKaQ","properties":{"unsorted":false,"formattedCitation":"(Leek et\\uc0\\u160{}al. 2012)","plainCitation":"(Leek et al. 2012)","noteIndex":0},"citationItems":[{"id":"yGPj89Eb/ZaiZwNc7","uris":["http://zotero.org/users/19775897/items/ZVCJUBFK"],"itemData":{"id":115,"type":"article-journal","abstract":"Summary: Heterogeneity and latent variables are now widely recognized as major sources of bias and variability in high-throughput experiments. The most well-known source of latent variation in genomic experiments are batch effects—when samples are processed on different days, in different groups or by different people. However, there are also a large number of other variables that may have a major impact on high-throughput measurements. Here we describe the sva package for identifying, estimating and removing unwanted sources of variation in high-throughput experiments. The sva package supports surrogate variable estimation with the sva function, direct adjustment for known batch effects with the ComBat function and adjustment for batch and latent variables in prediction problems with the fsva function.Availability: The R package sva is freely available from http://www.bioconductor.org.Contact:  jleek@jhsph.eduSupplementary information:  Supplementary data are available at Bioinformatics online.","container-title":"Bioinformatics","DOI":"10.1093/bioinformatics/bts034","ISSN":"1367-4803","issue":"6","journalAbbreviation":"Bioinformatics","page":"882-883","source":"Silverchair","title":"The sva package for removing batch effects and other unwanted variation in high-throughput experiments","volume":"28","author":[{"family":"Leek","given":"Jeffrey T."},{"family":"Johnson","given":"W. Evan"},{"family":"Parker","given":"Hilary S."},{"family":"Jaffe","given":"Andrew E."},{"family":"Storey","given":"John D."}],"issued":{"date-parts":[["2012",3,15]]}}}],"schema":"https://github.com/citation-style-language/schema/raw/master/csl-citation.json"} </w:instrText>
      </w:r>
      <w:r w:rsidR="002A3396" w:rsidRPr="00CC1AE6">
        <w:rPr>
          <w:rFonts w:cstheme="minorHAnsi"/>
        </w:rPr>
        <w:fldChar w:fldCharType="separate"/>
      </w:r>
      <w:r w:rsidR="002A3396" w:rsidRPr="00CC1AE6">
        <w:rPr>
          <w:rFonts w:cstheme="minorHAnsi"/>
        </w:rPr>
        <w:t>(Leek et al. 2012)</w:t>
      </w:r>
      <w:r w:rsidR="002A3396" w:rsidRPr="00CC1AE6">
        <w:rPr>
          <w:rFonts w:cstheme="minorHAnsi"/>
        </w:rPr>
        <w:fldChar w:fldCharType="end"/>
      </w:r>
      <w:r w:rsidRPr="00CC1AE6">
        <w:rPr>
          <w:rFonts w:cstheme="minorHAnsi"/>
        </w:rPr>
        <w:t>.</w:t>
      </w:r>
    </w:p>
    <w:p w14:paraId="64436FAC" w14:textId="77777777" w:rsidR="002A3396" w:rsidRPr="00F439B4" w:rsidRDefault="002A3396" w:rsidP="00F439B4">
      <w:pPr>
        <w:pStyle w:val="Ttulo3"/>
      </w:pPr>
      <w:bookmarkStart w:id="52" w:name="_Toc223802781"/>
      <w:bookmarkStart w:id="53" w:name="_Toc224681504"/>
      <w:r w:rsidRPr="00F439B4">
        <w:t>2.5.3 Tipos de datos genómicos y su contribución pronóstica</w:t>
      </w:r>
      <w:bookmarkEnd w:id="52"/>
      <w:bookmarkEnd w:id="53"/>
    </w:p>
    <w:p w14:paraId="5C61EA47" w14:textId="0AF67A92" w:rsidR="002A3396" w:rsidRPr="00CC1AE6" w:rsidRDefault="002A3396" w:rsidP="00CC1AE6">
      <w:r w:rsidRPr="00CC1AE6">
        <w:t xml:space="preserve">La contribución relativa de cada tipo de dato genómico a la capacidad predictiva de los modelos de supervivencia ha sido analizada en varios estudios comparativos. </w:t>
      </w:r>
      <w:r w:rsidRPr="00CC1AE6">
        <w:fldChar w:fldCharType="begin"/>
      </w:r>
      <w:r w:rsidR="0050057A" w:rsidRPr="00CC1AE6">
        <w:instrText xml:space="preserve"> ADDIN ZOTERO_ITEM CSL_CITATION {"citationID":"cApC1bpM","properties":{"unsorted":false,"formattedCitation":"(Tong et\\uc0\\u160{}al. 2020)","plainCitation":"(Tong et al. 2020)","dontUpdate":true,"noteIndex":0},"citationItems":[{"id":102,"uris":["http://zotero.org/users/19775897/items/Z82U38ET"],"itemData":{"id":102,"type":"article-journal","abstract":"Breast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Pr="00CC1AE6">
        <w:fldChar w:fldCharType="separate"/>
      </w:r>
      <w:r w:rsidRPr="00CC1AE6">
        <w:t>Tong et al. (2020)</w:t>
      </w:r>
      <w:r w:rsidRPr="00CC1AE6">
        <w:fldChar w:fldCharType="end"/>
      </w:r>
      <w:r w:rsidRPr="00CC1AE6">
        <w:t xml:space="preserve"> encontraron que la expresión génica (miRNA) era consistentemente la modalidad más informativa entre las modalidades </w:t>
      </w:r>
      <w:r w:rsidR="004502D1" w:rsidRPr="00CC1AE6">
        <w:t>individuales, mientras</w:t>
      </w:r>
      <w:r w:rsidRPr="00CC1AE6">
        <w:t xml:space="preserve"> que las CNVs fueron las menos útiles para la supervivencia global. </w:t>
      </w:r>
      <w:r w:rsidR="004502D1" w:rsidRPr="00CC1AE6">
        <w:t>Así</w:t>
      </w:r>
      <w:r w:rsidRPr="00CC1AE6">
        <w:t xml:space="preserve"> mismo, la combinación de metilación del ADN y expresión de miRNA utilizando PCA y el modelo ConcatAE logró superar a modelos de una sola modalidad</w:t>
      </w:r>
      <w:r w:rsidR="004502D1" w:rsidRPr="00CC1AE6">
        <w:t xml:space="preserve"> en términos del C-index.</w:t>
      </w:r>
    </w:p>
    <w:p w14:paraId="0A3D540F" w14:textId="273ED68B" w:rsidR="004502D1" w:rsidRPr="00CC1AE6" w:rsidRDefault="004502D1" w:rsidP="00CC1AE6">
      <w:r w:rsidRPr="00CC1AE6">
        <w:t>Por otro lado, l</w:t>
      </w:r>
      <w:r w:rsidR="002A3396" w:rsidRPr="00CC1AE6">
        <w:t xml:space="preserve">as mutaciones somáticas presentan una contribución pronóstica más heterogénea: mientras que en cáncer de pulmón las mutaciones </w:t>
      </w:r>
      <w:r w:rsidRPr="00CC1AE6">
        <w:t>de</w:t>
      </w:r>
      <w:r w:rsidR="002A3396" w:rsidRPr="00CC1AE6">
        <w:t xml:space="preserve"> EGFR y </w:t>
      </w:r>
      <w:r w:rsidRPr="00CC1AE6">
        <w:t xml:space="preserve">reordenamiento de </w:t>
      </w:r>
      <w:r w:rsidR="002A3396" w:rsidRPr="00CC1AE6">
        <w:t xml:space="preserve">ALK tienen un valor pronóstico y predictivo bien establecido </w:t>
      </w:r>
      <w:r w:rsidRPr="00CC1AE6">
        <w:fldChar w:fldCharType="begin"/>
      </w:r>
      <w:r w:rsidRPr="00CC1AE6">
        <w:instrText xml:space="preserve"> ADDIN ZOTERO_ITEM CSL_CITATION {"citationID":"MeBdsq0P","properties":{"unsorted":false,"formattedCitation":"(Cardarella y Johnson 2013)","plainCitation":"(Cardarella y Johnson 2013)","noteIndex":0},"citationItems":[{"id":11,"uris":["http://zotero.org/users/19775897/items/LFQMB3CP"],"itemData":{"id":11,"type":"article-journal","abstract":"The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Pr="00CC1AE6">
        <w:fldChar w:fldCharType="separate"/>
      </w:r>
      <w:r w:rsidRPr="00CC1AE6">
        <w:t>(Cardarella y Johnson 2013)</w:t>
      </w:r>
      <w:r w:rsidRPr="00CC1AE6">
        <w:fldChar w:fldCharType="end"/>
      </w:r>
      <w:r w:rsidR="002A3396" w:rsidRPr="00CC1AE6">
        <w:t xml:space="preserve">, en cáncer de mama las mutaciones somáticas aportan </w:t>
      </w:r>
      <w:r w:rsidR="002A3396" w:rsidRPr="00CC1AE6">
        <w:lastRenderedPageBreak/>
        <w:t>información incremental modesta sobre la que ya proporciona la expresión génica</w:t>
      </w:r>
      <w:r w:rsidRPr="00CC1AE6">
        <w:t xml:space="preserve"> </w:t>
      </w:r>
      <w:r w:rsidRPr="00CC1AE6">
        <w:fldChar w:fldCharType="begin"/>
      </w:r>
      <w:r w:rsidRPr="00CC1AE6">
        <w:instrText xml:space="preserve"> ADDIN ZOTERO_ITEM CSL_CITATION {"citationID":"GrucFznx","properties":{"unsorted":false,"formattedCitation":"(Kandoth et\\uc0\\u160{}al. 2013)","plainCitation":"(Kandoth et al. 2013)","noteIndex":0},"citationItems":[{"id":185,"uris":["http://zotero.org/users/19775897/items/NC56X66D"],"itemData":{"id":185,"type":"article-journal","abstract":"The Cancer Genome Atlas (TCGA) has used the latest sequencing and analysis methods to identify somatic variants across thousands of tumours. Here we present data and analytical results for point mutations and small insertions/deletions from 3,281 tumours across 12 tumour types as part of the TCGA Pan-Cancer effort. We illustrate the distributions of mutation frequencies, types and contexts across tumour types, and establish their links to tissues of origin, environmental/carcinogen influences, and DNA repair defects. Using the integrated data sets, we identified 127 significantly mutated genes from well-known (for example, mitogen-activated protein kinase, phosphatidylinositol-3-OH kinase, Wnt/β-catenin and receptor tyrosine kinase signalling pathways, and cell cycle control) and emerging (for example, histone, histone modification, splicing, metabolism and proteolysis) cellular processes in cancer. The average number of mutations in these significantly mutated genes varies across tumour types; most tumours have two to six, indicating that the number of driver mutations required during oncogenesis is relatively small. Mutations in transcriptional factors/regulators show tissue specificity, whereas histone modifiers are often mutated across several cancer types. Clinical association analysis identifies genes having a significant effect on survival, and investigations of mutations with respect to clonal/subclonal architecture delineate their temporal orders during tumorigenesis. Taken together, these results lay the groundwork for developing new diagnostics and individualizing cancer treatment.","container-title":"Nature","DOI":"10.1038/nature12634","ISSN":"1476-4687","issue":"7471","language":"en","license":"2013 The Author(s)","page":"333-339","publisher":"Nature Publishing Group","source":"www.nature.com","title":"Mutational landscape and significance across 12 major cancer types","volume":"502","author":[{"family":"Kandoth","given":"Cyriac"},{"family":"McLellan","given":"Michael D."},{"family":"Vandin","given":"Fabio"},{"family":"Ye","given":"Kai"},{"family":"Niu","given":"Beifang"},{"family":"Lu","given":"Charles"},{"family":"Xie","given":"Mingchao"},{"family":"Zhang","given":"Qunyuan"},{"family":"McMichael","given":"Joshua F."},{"family":"Wyczalkowski","given":"Matthew A."},{"family":"Leiserson","given":"Mark D. M."},{"family":"Miller","given":"Christopher A."},{"family":"Welch","given":"John S."},{"family":"Walter","given":"Matthew J."},{"family":"Wendl","given":"Michael C."},{"family":"Ley","given":"Timothy J."},{"family":"Wilson","given":"Richard K."},{"family":"Raphael","given":"Benjamin J."},{"family":"Ding","given":"Li"}],"issued":{"date-parts":[["2013",10]]}}}],"schema":"https://github.com/citation-style-language/schema/raw/master/csl-citation.json"} </w:instrText>
      </w:r>
      <w:r w:rsidRPr="00CC1AE6">
        <w:fldChar w:fldCharType="separate"/>
      </w:r>
      <w:r w:rsidRPr="00CC1AE6">
        <w:rPr>
          <w:szCs w:val="24"/>
        </w:rPr>
        <w:t>(Kandoth et al. 2013)</w:t>
      </w:r>
      <w:r w:rsidRPr="00CC1AE6">
        <w:fldChar w:fldCharType="end"/>
      </w:r>
      <w:r w:rsidR="002A3396" w:rsidRPr="00CC1AE6">
        <w:t>. Este fenómeno se explica porque las mutaciones son eventos discretos y su frecuencia de ocurrencia individual es baja en la mayoría de los genes (excepto en genes conductores), mientras que la expresión génica integra el efecto de múltiples alteraciones moleculares aguas abajo.</w:t>
      </w:r>
    </w:p>
    <w:p w14:paraId="2CC01827" w14:textId="061FBA5E" w:rsidR="00783C55" w:rsidRPr="00F439B4" w:rsidRDefault="00783C55" w:rsidP="00F439B4">
      <w:pPr>
        <w:pStyle w:val="Ttulo2"/>
      </w:pPr>
      <w:bookmarkStart w:id="54" w:name="_Toc224681505"/>
      <w:r w:rsidRPr="00F439B4">
        <w:t>2.</w:t>
      </w:r>
      <w:r w:rsidR="00CA003D" w:rsidRPr="00F439B4">
        <w:t>6</w:t>
      </w:r>
      <w:r w:rsidRPr="00F439B4">
        <w:t xml:space="preserve"> Estado del arte en cáncer de mama</w:t>
      </w:r>
      <w:bookmarkEnd w:id="54"/>
    </w:p>
    <w:p w14:paraId="606B618A" w14:textId="55C05BEC" w:rsidR="00783C55" w:rsidRPr="00F439B4" w:rsidRDefault="00783C55" w:rsidP="00F439B4">
      <w:pPr>
        <w:pStyle w:val="Ttulo3"/>
      </w:pPr>
      <w:bookmarkStart w:id="55" w:name="_Toc224681506"/>
      <w:r w:rsidRPr="00F439B4">
        <w:t>2.</w:t>
      </w:r>
      <w:r w:rsidR="00CA003D" w:rsidRPr="00F439B4">
        <w:t>6</w:t>
      </w:r>
      <w:r w:rsidRPr="00F439B4">
        <w:t>.1 Clasificación molecular y pronóstico</w:t>
      </w:r>
      <w:bookmarkEnd w:id="55"/>
    </w:p>
    <w:p w14:paraId="3A2F25AF" w14:textId="13DD9EB9" w:rsidR="00082228" w:rsidRPr="00CC1AE6" w:rsidRDefault="00783C55" w:rsidP="00CC1AE6">
      <w:r w:rsidRPr="00CC1AE6">
        <w:t xml:space="preserve">La clasificación molecular del cáncer de mama ha sido uno de los avances más importantes en oncología del siglo XXI. </w:t>
      </w:r>
      <w:bookmarkStart w:id="56" w:name="_Hlk224201863"/>
      <w:r w:rsidR="002C448F" w:rsidRPr="00CC1AE6">
        <w:t xml:space="preserve">La clasificación de </w:t>
      </w:r>
      <w:r w:rsidR="001E03F3" w:rsidRPr="00CC1AE6">
        <w:fldChar w:fldCharType="begin"/>
      </w:r>
      <w:r w:rsidR="0050057A" w:rsidRPr="00CC1AE6">
        <w:instrText xml:space="preserve"> ADDIN ZOTERO_ITEM CSL_CITATION {"citationID":"bPj4eJqO","properties":{"unsorted":false,"formattedCitation":"(Perou et\\uc0\\u160{}al. 2000)","plainCitation":"(Perou et al. 2000)","dontUpdate":true,"noteIndex":0},"citationItems":[{"id":194,"uris":["http://zotero.org/users/19775897/items/KTD796Z9"],"itemData":{"id":194,"type":"article-journal","abstract":"Human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1E03F3" w:rsidRPr="00CC1AE6">
        <w:fldChar w:fldCharType="separate"/>
      </w:r>
      <w:r w:rsidR="001E03F3" w:rsidRPr="00CC1AE6">
        <w:rPr>
          <w:rFonts w:ascii="Calibri" w:hAnsi="Calibri" w:cs="Calibri"/>
        </w:rPr>
        <w:t>Perou et al. (2000)</w:t>
      </w:r>
      <w:r w:rsidR="001E03F3" w:rsidRPr="00CC1AE6">
        <w:fldChar w:fldCharType="end"/>
      </w:r>
      <w:r w:rsidR="001E03F3" w:rsidRPr="00CC1AE6">
        <w:t xml:space="preserve"> </w:t>
      </w:r>
      <w:r w:rsidR="002C448F" w:rsidRPr="00CC1AE6">
        <w:t xml:space="preserve">en </w:t>
      </w:r>
      <w:r w:rsidR="00082228" w:rsidRPr="00CC1AE6">
        <w:t>cuatro</w:t>
      </w:r>
      <w:r w:rsidR="002C448F" w:rsidRPr="00CC1AE6">
        <w:t xml:space="preserve"> subtipos intrínsecos (Luminal A, Luminal B, HER2-enriched y Triple Negativo) mediante perfiles de expresión génica demostró un mayor valor pronóstico que la estadificación TNM convencional</w:t>
      </w:r>
      <w:r w:rsidR="00082228" w:rsidRPr="00CC1AE6">
        <w:t>. Por ejemplo, el subtipo Luminal subtype C muestra una alta expresión de un conjunto de genes de función desconocida que comparte con los subtipos ER-negativos (basal y ERBB2+), lo que podría explicar su peor pronóstico en comparación con Luminal A</w:t>
      </w:r>
      <w:r w:rsidR="002C448F" w:rsidRPr="00CC1AE6">
        <w:t xml:space="preserve"> </w:t>
      </w:r>
      <w:r w:rsidR="00082228" w:rsidRPr="00CC1AE6">
        <w:fldChar w:fldCharType="begin"/>
      </w:r>
      <w:r w:rsidR="00082228" w:rsidRPr="00CC1AE6">
        <w:instrText xml:space="preserve"> ADDIN ZOTERO_ITEM CSL_CITATION {"citationID":"NkbzLnyg","properties":{"unsorted":false,"formattedCitation":"(S\\uc0\\u248{}rlie et\\uc0\\u160{}al. 2001)","plainCitation":"(Sørlie et al. 2001)","noteIndex":0},"citationItems":[{"id":199,"uris":["http://zotero.org/users/19775897/items/YQD37NE7"],"itemData":{"id":199,"type":"article-journal","abstract":"The purpose of this study was to classify breast carcinomas based on variations in gene expression patterns derived from cDNA microarrays and to correlate tumor characteristics to clinical outcome. A total of 85 cDNA microarray experiments representing 78 cancers, three fibroadenomas, and four normal breast tissues were analyzed by hierarchical clustering. As reported previously, the cancers could be classified into a basal epithelial-like group, an ERBB2-overexpressing group and a normal breast-like group based on variations in gene expression. A novel finding was that the previously characterized luminal epithelial/estrogen receptor-positive group could be divided into at least two subgroups, each with a distinctive expression profile. These subtypes proved to be reasonably robust by clustering using two different gene sets: first, a set of 456 cDNA clones previously selected to reflect intrinsic properties of the tumors and, second, a gene set that highly correlated with patient outcome. Survival analyses on a subcohort of patients with locally advanced breast cancer uniformly treated in a prospective study showed significantly different outcomes for the patients belonging to the various groups, including a poor prognosis for the basal-like subtype and a significant difference in outcome for the two estrogen receptor-positive groups.","container-title":"Proceedings of the National Academy of Sciences","DOI":"10.1073/pnas.191367098","issue":"19","page":"10869-10874","publisher":"Proceedings of the National Academy of Sciences","source":"pnas.org (Atypon)","title":"Gene expression patterns of breast carcinomas distinguish tumor subclasses with clinical implications","volume":"98","author":[{"family":"Sørlie","given":"Therese"},{"family":"Perou","given":"Charles M."},{"family":"Tibshirani","given":"Robert"},{"family":"Aas","given":"Turid"},{"family":"Geisler","given":"Stephanie"},{"family":"Johnsen","given":"Hilde"},{"family":"Hastie","given":"Trevor"},{"family":"Eisen","given":"Michael B."},{"family":"Rijn","given":"Matt","non-dropping-particle":"van de"},{"family":"Jeffrey","given":"Stefanie S."},{"family":"Thorsen","given":"Thor"},{"family":"Quist","given":"Hanne"},{"family":"Matese","given":"John C."},{"family":"Brown","given":"Patrick O."},{"family":"Botstein","given":"David"},{"family":"Lønning","given":"Per Eystein"},{"family":"Børresen-Dale","given":"Anne-Lise"}],"issued":{"date-parts":[["2001",9,11]]}}}],"schema":"https://github.com/citation-style-language/schema/raw/master/csl-citation.json"} </w:instrText>
      </w:r>
      <w:r w:rsidR="00082228" w:rsidRPr="00CC1AE6">
        <w:fldChar w:fldCharType="separate"/>
      </w:r>
      <w:r w:rsidR="00082228" w:rsidRPr="00CC1AE6">
        <w:rPr>
          <w:rFonts w:ascii="Calibri" w:hAnsi="Calibri" w:cs="Calibri"/>
        </w:rPr>
        <w:t>(Sørlie et al. 2001)</w:t>
      </w:r>
      <w:r w:rsidR="00082228" w:rsidRPr="00CC1AE6">
        <w:fldChar w:fldCharType="end"/>
      </w:r>
      <w:r w:rsidR="002C448F" w:rsidRPr="00CC1AE6">
        <w:t xml:space="preserve">. </w:t>
      </w:r>
    </w:p>
    <w:bookmarkEnd w:id="56"/>
    <w:p w14:paraId="330F29B6" w14:textId="545D3261" w:rsidR="00A34D30" w:rsidRPr="00CC1AE6" w:rsidRDefault="00A34D30" w:rsidP="00CC1AE6">
      <w:r w:rsidRPr="00CC1AE6">
        <w:t xml:space="preserve">La integración de marcadores genómicos en </w:t>
      </w:r>
      <w:r w:rsidR="00B93003" w:rsidRPr="00CC1AE6">
        <w:t>herramientas de estratificación del riesgo</w:t>
      </w:r>
      <w:r w:rsidRPr="00CC1AE6">
        <w:t xml:space="preserve"> ha transformado la práctica oncológica en cáncer de mama. El test Oncotype DX </w:t>
      </w:r>
      <w:r w:rsidR="0050057A" w:rsidRPr="00CC1AE6">
        <w:fldChar w:fldCharType="begin"/>
      </w:r>
      <w:r w:rsidR="0050057A" w:rsidRPr="00CC1AE6">
        <w:instrText xml:space="preserve"> ADDIN ZOTERO_ITEM CSL_CITATION {"citationID":"2977GccR","properties":{"unsorted":false,"formattedCitation":"(Paik et\\uc0\\u160{}al. 2004)","plainCitation":"(Paik et al. 2004)","noteIndex":0},"citationItems":[{"id":122,"uris":["http://zotero.org/users/19775897/items/T5TGXYIN"],"itemData":{"id":122,"type":"article-journal","abstract":"A polymerase-chain-reaction assay of 21 genes performed on paraffin-embedded samples from women with node-negative, estrogen-receptor–positive breast cancer was the basis for calculating a score for the risk of distant recurrence. The difference in risk between women with low and high recurrence scores was significant. The recurrence score also predicted overall survival. An assay of 21 genes was the basis for calculating the risk of distant recurrence. The difference in risk between women with low and high recurrence scores was significant. Over the past two decades, the molecular dissection of cancer has increased our understanding of the pathways that are altered in neoplastic cells.1,2 Nevertheless, the diagnosis of cancer and decisions about its treatment still rely largely on classic histopathological and immunohistochemical techniques. A more quantitative approach to diagnosis and rational individualization of treatment are needed. Large clinical trials, such as National Surgical Adjuvant Breast and Bowel Project (NSABP) trials B-14 and B-20, have demonstrated the benefit of tamoxifen and chemotherapy in women who have node-negative, estrogen-receptor–positive breast cancer.3–5 However, since the likelihood of distant recurrence in patients treated . . .","container-title":"New England Journal of Medicine","DOI":"10.1056/NEJMoa041588","ISSN":"0028-4793","issue":"27","note":"_eprint: https://www.nejm.org/doi/pdf/10.1056/NEJMoa041588","page":"2817-2826","publisher":"Massachusetts Medical Society","source":"Taylor and Francis+NEJM","title":"A Multigene Assay to Predict Recurrence of Tamoxifen-Treated, Node-Negative Breast Cancer","volume":"351","author":[{"family":"Paik","given":"Soonmyung"},{"family":"Shak","given":"Steven"},{"family":"Tang","given":"Gong"},{"family":"Kim","given":"Chungyeul"},{"family":"Baker","given":"Joffre"},{"family":"Cronin","given":"Maureen"},{"family":"Baehner","given":"Frederick L."},{"family":"Walker","given":"Michael G."},{"family":"Watson","given":"Drew"},{"family":"Park","given":"Taesung"},{"family":"Hiller","given":"William"},{"family":"Fisher","given":"Edwin R."},{"family":"Wickerham","given":"D. Lawrence"},{"family":"Bryant","given":"John"},{"family":"Wolmark","given":"Norman"}],"issued":{"date-parts":[["2004",12,30]]}}}],"schema":"https://github.com/citation-style-language/schema/raw/master/csl-citation.json"} </w:instrText>
      </w:r>
      <w:r w:rsidR="0050057A" w:rsidRPr="00CC1AE6">
        <w:fldChar w:fldCharType="separate"/>
      </w:r>
      <w:r w:rsidR="0050057A" w:rsidRPr="00CC1AE6">
        <w:rPr>
          <w:rFonts w:ascii="Calibri" w:hAnsi="Calibri" w:cs="Calibri"/>
          <w:szCs w:val="24"/>
        </w:rPr>
        <w:t>(Paik et al. 2004)</w:t>
      </w:r>
      <w:r w:rsidR="0050057A" w:rsidRPr="00CC1AE6">
        <w:fldChar w:fldCharType="end"/>
      </w:r>
      <w:r w:rsidRPr="00CC1AE6">
        <w:t xml:space="preserve"> analiza la expresión de 21 genes para </w:t>
      </w:r>
      <w:r w:rsidR="0050057A" w:rsidRPr="00CC1AE6">
        <w:t xml:space="preserve">cuantificar el riesgo de recurrencia al cancer de mama de forma independiente a los factores </w:t>
      </w:r>
      <w:r w:rsidR="003D2339" w:rsidRPr="00CC1AE6">
        <w:t>clínico-</w:t>
      </w:r>
      <w:r w:rsidR="0050057A" w:rsidRPr="00CC1AE6">
        <w:t>patologicos estándar (edad, tamaño del tumos y el grado histológico)</w:t>
      </w:r>
      <w:r w:rsidRPr="00CC1AE6">
        <w:t xml:space="preserve">. MammaPrint </w:t>
      </w:r>
      <w:r w:rsidR="0050057A" w:rsidRPr="00CC1AE6">
        <w:fldChar w:fldCharType="begin"/>
      </w:r>
      <w:r w:rsidR="0050057A" w:rsidRPr="00CC1AE6">
        <w:instrText xml:space="preserve"> ADDIN ZOTERO_ITEM CSL_CITATION {"citationID":"Ue69A7ci","properties":{"unsorted":false,"formattedCitation":"(Brand\\uc0\\u227{}o, Pond\\uc0\\u233{}, y Piccart-Gebhart 2018)","plainCitation":"(Brandão, Pondé, y Piccart-Gebhart 2018)","noteIndex":0},"citationItems":[{"id":201,"uris":["http://zotero.org/users/19775897/items/XPBEW695"],"itemData":{"id":201,"type":"article-journal","abstract":"The number of breast cancer (BC) cases is growing worldwide, being most frequently diagnosed in the early-setting. Mammaprint™ is a 70-gene-expression signature, originally designed for selecting early BC patients with low risk of developing metastasis, so that they could be spared adjuvant chemotherapy. Its use as a prognostic biomarker has been extensively validated, both retrospectively and prospectively. However, its value as a predictive tool and as a clinically useful tool remains controversial. This review will describe how the test works, its application in the clinic and its limitations. Cost–effectiveness studies will be summarized. Finally, we will provide a perspective on the use of Mammaprint in the near future, as a valuable tool for personalizing the treatment of early BC patients.","container-title":"Future Oncology","DOI":"10.2217/fon-2018-0221","ISSN":"1479-6694","issue":"2","note":"_eprint: https://doi.org/10.2217/fon-2018-0221","page":"207-224","PMID":"30156427","publisher":"Taylor &amp; Francis","source":"Taylor and Francis+NEJM","title":"Mammaprint™: a comprehensive review","title-short":"Mammaprint™","volume":"15","author":[{"family":"Brandão","given":"Mariana"},{"family":"Pondé","given":"Noam"},{"family":"Piccart-Gebhart","given":"Martine"}],"issued":{"date-parts":[["2018",8,29]]}}}],"schema":"https://github.com/citation-style-language/schema/raw/master/csl-citation.json"} </w:instrText>
      </w:r>
      <w:r w:rsidR="0050057A" w:rsidRPr="00CC1AE6">
        <w:fldChar w:fldCharType="separate"/>
      </w:r>
      <w:r w:rsidR="0050057A" w:rsidRPr="00CC1AE6">
        <w:rPr>
          <w:rFonts w:ascii="Calibri" w:hAnsi="Calibri" w:cs="Calibri"/>
          <w:szCs w:val="24"/>
        </w:rPr>
        <w:t>(Brandão, Pondé, y Piccart-Gebhart 2018)</w:t>
      </w:r>
      <w:r w:rsidR="0050057A" w:rsidRPr="00CC1AE6">
        <w:fldChar w:fldCharType="end"/>
      </w:r>
      <w:r w:rsidRPr="00CC1AE6">
        <w:t xml:space="preserve"> utiliza 70 genes para clasificar pacientes en riesgo alto o bajo de metástasis a distancia. Ambas herramientas han demostrado su utilidad clínica en ensayos aleatorios prospectivos (TAILORx </w:t>
      </w:r>
      <w:r w:rsidR="00D66D2E" w:rsidRPr="00CC1AE6">
        <w:fldChar w:fldCharType="begin"/>
      </w:r>
      <w:r w:rsidR="00D66D2E" w:rsidRPr="00CC1AE6">
        <w:instrText xml:space="preserve"> ADDIN ZOTERO_ITEM CSL_CITATION {"citationID":"iOQdF6nv","properties":{"unsorted":false,"formattedCitation":"(Sparano et\\uc0\\u160{}al. 2018)","plainCitation":"(Sparano et al. 2018)","noteIndex":0},"citationItems":[{"id":203,"uris":["http://zotero.org/users/19775897/items/6DJQ7FF4"],"itemData":{"id":203,"type":"article-journal","abstract":"When a genetic test was used to assess prognosis, women with midrange scores were found to have similar outcomes after adjuvant treatment with either endocrine therapy alone or chemotherapy plus endocrine therapy.","container-title":"New England Journal of Medicine","DOI":"10.1056/NEJMoa1804710","ISSN":"0028-4793","issue":"2","note":"_eprint: https://www.nejm.org/doi/pdf/10.1056/NEJMoa1804710","page":"111-121","publisher":"Massachusetts Medical Society","source":"Taylor and Francis+NEJM","title":"Adjuvant Chemotherapy Guided by a 21-Gene Expression Assay in Breast Cancer","volume":"379","author":[{"family":"Sparano","given":"Joseph A."},{"family":"Gray","given":"Robert J."},{"family":"Makower","given":"Della F."},{"family":"Pritchard","given":"Kathleen I."},{"family":"Albain","given":"Kathy S."},{"family":"Hayes","given":"Daniel F."},{"family":"Geyer","given":"Charles E."},{"family":"Dees","given":"Elizabeth C."},{"family":"Goetz","given":"Matthew P."},{"family":"Olson","given":"John A."},{"family":"Lively","given":"Tracy"},{"family":"Badve","given":"Sunil S."},{"family":"Saphner","given":"Thomas J."},{"family":"Wagner","given":"Lynne I."},{"family":"Whelan","given":"Timothy J."},{"family":"Ellis","given":"Matthew J."},{"family":"Paik","given":"Soonmyung"},{"family":"Wood","given":"William C."},{"family":"Ravdin","given":"Peter M."},{"family":"Keane","given":"Maccon M."},{"family":"Moreno","given":"Henry L. Gomez"},{"family":"Reddy","given":"Pavan S."},{"family":"Goggins","given":"Timothy F."},{"family":"Mayer","given":"Ingrid A."},{"family":"Brufsky","given":"Adam M."},{"family":"Toppmeyer","given":"Deborah L."},{"family":"Kaklamani","given":"Virginia G."},{"family":"Berenberg","given":"Jeffrey L."},{"family":"Abrams","given":"Jeffrey"},{"family":"Sledge","given":"George W."}],"issued":{"date-parts":[["2018",7,12]]}}}],"schema":"https://github.com/citation-style-language/schema/raw/master/csl-citation.json"} </w:instrText>
      </w:r>
      <w:r w:rsidR="00D66D2E" w:rsidRPr="00CC1AE6">
        <w:fldChar w:fldCharType="separate"/>
      </w:r>
      <w:r w:rsidR="00D66D2E" w:rsidRPr="00CC1AE6">
        <w:rPr>
          <w:rFonts w:ascii="Calibri" w:hAnsi="Calibri" w:cs="Calibri"/>
          <w:szCs w:val="24"/>
        </w:rPr>
        <w:t>(Sparano et al. 2018)</w:t>
      </w:r>
      <w:r w:rsidR="00D66D2E" w:rsidRPr="00CC1AE6">
        <w:fldChar w:fldCharType="end"/>
      </w:r>
      <w:r w:rsidR="00D66D2E" w:rsidRPr="00CC1AE6">
        <w:t xml:space="preserve"> </w:t>
      </w:r>
      <w:r w:rsidRPr="00CC1AE6">
        <w:t xml:space="preserve">y MINDACT </w:t>
      </w:r>
      <w:r w:rsidR="00D66D2E" w:rsidRPr="00CC1AE6">
        <w:fldChar w:fldCharType="begin"/>
      </w:r>
      <w:r w:rsidR="00D66D2E" w:rsidRPr="00CC1AE6">
        <w:instrText xml:space="preserve"> ADDIN ZOTERO_ITEM CSL_CITATION {"citationID":"6DqVld6R","properties":{"unsorted":false,"formattedCitation":"(Cardoso et\\uc0\\u160{}al. 2016)","plainCitation":"(Cardoso et al. 2016)","noteIndex":0},"citationItems":[{"id":131,"uris":["http://zotero.org/users/19775897/items/6BECPRU8"],"itemData":{"id":131,"type":"article-journal","abstract":"In a study in women with early breast cancer, those with high-risk clinical features and a low-risk gene-expression profile were assigned to chemotherapy or no chemotherapy. At 5 years, omission of chemotherapy led to a 1.5-percentage-point lower rate of survival without distant metastasis. Women with early-stage breast cancer are often treated with adjuvant systemic therapy consisting of chemotherapy, endocrine therapy, agents against human epidermal growth factor receptor 2 (HER2), or combinations of these drugs when appropriate. Treatment decisions are based on characteristics of the tumor (hormonal receptor and HER2 status, tumor grade and size, and lymph-node status) and of the patient (age, menopausal status, and performance status).1 Tools that incorporate these features, such as Adjuvant! Online2,3 and PREDICT Plus,4 were created to assist in such decision making. However, these algorithms do not take into account the individual biologic characteristics of the patient’s . . .","container-title":"New England Journal of Medicine","DOI":"10.1056/NEJMoa1602253","ISSN":"0028-4793","issue":"8","note":"_eprint: https://www.nejm.org/doi/pdf/10.1056/NEJMoa1602253","page":"717-729","publisher":"Massachusetts Medical Society","source":"Taylor and Francis+NEJM","title":"70-Gene Signature as an Aid to Treatment Decisions in Early-Stage Breast Cancer","volume":"375","author":[{"family":"Cardoso","given":"Fatima"},{"family":"Veer","given":"Laura J.","dropping-particle":"van’t"},{"family":"Bogaerts","given":"Jan"},{"family":"Slaets","given":"Leen"},{"family":"Viale","given":"Giuseppe"},{"family":"Delaloge","given":"Suzette"},{"family":"Pierga","given":"Jean-Yves"},{"family":"Brain","given":"Etienne"},{"family":"Causeret","given":"Sylvain"},{"family":"DeLorenzi","given":"Mauro"},{"family":"Glas","given":"Annuska M."},{"family":"Golfinopoulos","given":"Vassilis"},{"family":"Goulioti","given":"Theodora"},{"family":"Knox","given":"Susan"},{"family":"Matos","given":"Erika"},{"family":"Meulemans","given":"Bart"},{"family":"Neijenhuis","given":"Peter A."},{"family":"Nitz","given":"Ulrike"},{"family":"Passalacqua","given":"Rodolfo"},{"family":"Ravdin","given":"Peter"},{"family":"Rubio","given":"Isabel T."},{"family":"Saghatchian","given":"Mahasti"},{"family":"Smilde","given":"Tineke J."},{"family":"Sotiriou","given":"Christos"},{"family":"Stork","given":"Lisette"},{"family":"Straehle","given":"Carolyn"},{"family":"Thomas","given":"Geraldine"},{"family":"Thompson","given":"Alastair M."},{"family":"Hoeven","given":"Jacobus M.","dropping-particle":"van der"},{"family":"Vuylsteke","given":"Peter"},{"family":"Bernards","given":"René"},{"family":"Tryfonidis","given":"Konstantinos"},{"family":"Rutgers","given":"Emiel"},{"family":"Piccart","given":"Martine"}],"issued":{"date-parts":[["2016",8,25]]}}}],"schema":"https://github.com/citation-style-language/schema/raw/master/csl-citation.json"} </w:instrText>
      </w:r>
      <w:r w:rsidR="00D66D2E" w:rsidRPr="00CC1AE6">
        <w:fldChar w:fldCharType="separate"/>
      </w:r>
      <w:r w:rsidR="00D66D2E" w:rsidRPr="00CC1AE6">
        <w:rPr>
          <w:rFonts w:ascii="Calibri" w:hAnsi="Calibri" w:cs="Calibri"/>
          <w:szCs w:val="24"/>
        </w:rPr>
        <w:t>(Cardoso et al. 2016)</w:t>
      </w:r>
      <w:r w:rsidR="00D66D2E" w:rsidRPr="00CC1AE6">
        <w:fldChar w:fldCharType="end"/>
      </w:r>
      <w:r w:rsidRPr="00CC1AE6">
        <w:t>, respectivamente), validando el principio de que los datos genómicos mejoran la precisión pronóstica respecto a los factores clínico-patológicos convencionales.</w:t>
      </w:r>
    </w:p>
    <w:p w14:paraId="260E76BA" w14:textId="58726FCF" w:rsidR="00783C55" w:rsidRPr="00F439B4" w:rsidRDefault="00783C55" w:rsidP="00F439B4">
      <w:pPr>
        <w:pStyle w:val="Ttulo3"/>
      </w:pPr>
      <w:bookmarkStart w:id="57" w:name="_Toc224681507"/>
      <w:r w:rsidRPr="00F439B4">
        <w:t>2.</w:t>
      </w:r>
      <w:r w:rsidR="00CA003D" w:rsidRPr="00F439B4">
        <w:t>6</w:t>
      </w:r>
      <w:r w:rsidRPr="00F439B4">
        <w:t>.2 Modelos de supervivencia basados en TCGA-BRCA y</w:t>
      </w:r>
      <w:r w:rsidR="00944A95" w:rsidRPr="00F439B4">
        <w:t>/o</w:t>
      </w:r>
      <w:r w:rsidRPr="00F439B4">
        <w:t xml:space="preserve"> METABRIC</w:t>
      </w:r>
      <w:bookmarkEnd w:id="57"/>
    </w:p>
    <w:p w14:paraId="789216B3" w14:textId="0F9CE8A1" w:rsidR="00D90584" w:rsidRPr="00CC1AE6" w:rsidRDefault="00783C55" w:rsidP="00CC1AE6">
      <w:r w:rsidRPr="00CC1AE6">
        <w:t xml:space="preserve">En el ámbito del aprendizaje automático, numerosos estudios han aplicado modelos de supervivencia sobre TCGA-BRCA y/o METABRIC. </w:t>
      </w:r>
      <w:bookmarkStart w:id="58" w:name="_Hlk224201918"/>
      <w:r w:rsidR="00CA003D" w:rsidRPr="00CC1AE6">
        <w:t xml:space="preserve">La revisión sistemática de </w:t>
      </w:r>
      <w:r w:rsidR="005D1424" w:rsidRPr="00CC1AE6">
        <w:fldChar w:fldCharType="begin"/>
      </w:r>
      <w:r w:rsidR="002A4F4C" w:rsidRPr="00CC1AE6">
        <w:instrText xml:space="preserve"> ADDIN ZOTERO_ITEM CSL_CITATION {"citationID":"m5XCnnHc","properties":{"unsorted":false,"formattedCitation":"(Li et\\uc0\\u160{}al. 2021)","plainCitation":"(Li et al. 2021)","dontUpdate":true,"noteIndex":0},"citationItems":[{"id":133,"uris":["http://zotero.org/users/19775897/items/T3BB8FD6"],"itemData":{"id":133,"type":"article-journal","abstract":"Background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5D1424" w:rsidRPr="00CC1AE6">
        <w:fldChar w:fldCharType="separate"/>
      </w:r>
      <w:r w:rsidR="005D1424" w:rsidRPr="00CC1AE6">
        <w:t>Li et al. (2021)</w:t>
      </w:r>
      <w:r w:rsidR="005D1424" w:rsidRPr="00CC1AE6">
        <w:fldChar w:fldCharType="end"/>
      </w:r>
      <w:r w:rsidR="005D1424" w:rsidRPr="00CC1AE6">
        <w:t xml:space="preserve"> </w:t>
      </w:r>
      <w:r w:rsidR="00CA003D" w:rsidRPr="00CC1AE6">
        <w:t>sobre 3</w:t>
      </w:r>
      <w:r w:rsidR="005D1424" w:rsidRPr="00CC1AE6">
        <w:t>1</w:t>
      </w:r>
      <w:r w:rsidR="00CA003D" w:rsidRPr="00CC1AE6">
        <w:t xml:space="preserve"> estudios</w:t>
      </w:r>
      <w:r w:rsidR="00944A95" w:rsidRPr="00CC1AE6">
        <w:t xml:space="preserve"> para predecir la tasa de supervivencia a 5 años </w:t>
      </w:r>
      <w:r w:rsidR="00CA003D" w:rsidRPr="00CC1AE6">
        <w:t xml:space="preserve">constató que: (i) </w:t>
      </w:r>
      <w:r w:rsidR="00944A95" w:rsidRPr="00CC1AE6">
        <w:t>Los métodos más utilizados fueron los árboles de decisión (61.3%), las redes neuronales artificiales (58.1%) y las máquinas de soporte vectorial (51.6%)</w:t>
      </w:r>
      <w:r w:rsidR="00CA003D" w:rsidRPr="00CC1AE6">
        <w:t xml:space="preserve">; (ii) </w:t>
      </w:r>
      <w:r w:rsidR="00944A95" w:rsidRPr="00CC1AE6">
        <w:t>el rendimiento de los modelos de ML fue comparable con los modelos de regresión logística o de Cox tradicionales</w:t>
      </w:r>
      <w:r w:rsidR="00CA003D" w:rsidRPr="00CC1AE6">
        <w:t>; y (iii) únicamente uno de los 3</w:t>
      </w:r>
      <w:r w:rsidR="00944A95" w:rsidRPr="00CC1AE6">
        <w:t>1</w:t>
      </w:r>
      <w:r w:rsidR="00CA003D" w:rsidRPr="00CC1AE6">
        <w:t xml:space="preserve"> estudios realizó validación externa. </w:t>
      </w:r>
      <w:bookmarkEnd w:id="58"/>
      <w:r w:rsidR="002331C5" w:rsidRPr="00CC1AE6">
        <w:t xml:space="preserve"> </w:t>
      </w:r>
      <w:r w:rsidR="00D90584" w:rsidRPr="00CC1AE6">
        <w:fldChar w:fldCharType="begin"/>
      </w:r>
      <w:r w:rsidR="002A4F4C" w:rsidRPr="00CC1AE6">
        <w:instrText xml:space="preserve"> ADDIN ZOTERO_ITEM CSL_CITATION {"citationID":"3t2Ax7TM","properties":{"unsorted":false,"formattedCitation":"(Mihaylov, Nisheva, y Vassilev 2019)","plainCitation":"(Mihaylov, Nisheva, y Vassilev 2019)","dontUpdate":true,"noteIndex":0},"citationItems":[{"id":209,"uris":["http://zotero.org/users/19775897/items/N4T3ZU2D"],"itemData":{"id":209,"type":"article-journal","abstract":"The application of machine learning models for prediction and prognosis of disease development has become an irrevocable part of cancer studies aimed at improving the subsequent therapy and management of patients. The application of machine learning models for accurate prediction of survival time in breast cancer on the basis of clinical data is the main objective of the presented study. The paper discusses an approach to the problem in which the main factor used to predict survival time is the originally developed tumor-integrated clinical feature, which combines tumor stage, tumor size, and age at diagnosis. Two datasets from corresponding breast cancer studies are united by applying a data integration approach based on horizontal and vertical integration by using proper document-oriented and graph databases which show good performance and no data losses. Aside from data normalization and classification, the applied machine learning methods provide promising results in terms of accuracy of survival time prediction. The analysis of our experiments shows an advantage of the linear Support Vector Regression, Lasso regression, Kernel Ridge regression, K-neighborhood regression, and Decision Tree regression—these models achieve most accurate survival prognosis results. The cross-validation for accuracy demonstrates best performance of the same models on the studied breast cancer data. As a support for the proposed approach, a Python-based workflow has been developed and the plans for its further improvement are finally discussed in the paper.","container-title":"Information","DOI":"10.3390/info10030093","ISSN":"2078-2489","issue":"3","language":"en","license":"http://creativecommons.org/licenses/by/3.0/","page":"93","publisher":"Multidisciplinary Digital Publishing Institute","source":"www.mdpi.com","title":"Application of Machine Learning Models for Survival Prognosis in Breast Cancer Studies","volume":"10","author":[{"family":"Mihaylov","given":"Iliyan"},{"family":"Nisheva","given":"Maria"},{"family":"Vassilev","given":"Dimitar"}],"issued":{"date-parts":[["2019",3]]}}}],"schema":"https://github.com/citation-style-language/schema/raw/master/csl-citation.json"} </w:instrText>
      </w:r>
      <w:r w:rsidR="00D90584" w:rsidRPr="00CC1AE6">
        <w:fldChar w:fldCharType="separate"/>
      </w:r>
      <w:r w:rsidR="00D90584" w:rsidRPr="00CC1AE6">
        <w:t>Mihaylov, Nisheva, y Vassilev (2019)</w:t>
      </w:r>
      <w:r w:rsidR="00D90584" w:rsidRPr="00CC1AE6">
        <w:fldChar w:fldCharType="end"/>
      </w:r>
      <w:r w:rsidR="00D90584" w:rsidRPr="00CC1AE6">
        <w:t xml:space="preserve"> evaluaron múltiples modelos de aprendizaje automático para el pronóstico de supervivencia de dos cohortes (n = 498 y n = 2000). Utilizando validación cruzada 5-fold, su mejor algoritmo, la </w:t>
      </w:r>
      <w:r w:rsidR="002331C5" w:rsidRPr="00CC1AE6">
        <w:t>r</w:t>
      </w:r>
      <w:r w:rsidR="00D90584" w:rsidRPr="00CC1AE6">
        <w:t xml:space="preserve">egresión de </w:t>
      </w:r>
      <w:r w:rsidR="002331C5" w:rsidRPr="00CC1AE6">
        <w:t>v</w:t>
      </w:r>
      <w:r w:rsidR="00D90584" w:rsidRPr="00CC1AE6">
        <w:t xml:space="preserve">ectores de </w:t>
      </w:r>
      <w:r w:rsidR="002331C5" w:rsidRPr="00CC1AE6">
        <w:t>s</w:t>
      </w:r>
      <w:r w:rsidR="00D90584" w:rsidRPr="00CC1AE6">
        <w:t>oporte Lineal (SVR-Lineal), obtuvo un coeficiente de determinación de 0,983. La evaluación de los distintos algoritmos demostró que los modelos lineales superaron a los no lineales, ilustrando cómo una adecuada estructuración jerárquica y normalización de las variables clínicas logra equilibrar los datos y mejorar significativamente la precisión del pronóstico de supervivencia.</w:t>
      </w:r>
    </w:p>
    <w:p w14:paraId="0E370A3D" w14:textId="38DF552A" w:rsidR="00CA003D" w:rsidRPr="00CC1AE6" w:rsidRDefault="00D90584" w:rsidP="00CC1AE6">
      <w:r w:rsidRPr="00CC1AE6">
        <w:t>En el contexto específico de</w:t>
      </w:r>
      <w:r w:rsidR="002331C5" w:rsidRPr="00CC1AE6">
        <w:t xml:space="preserve"> DeepSurv, </w:t>
      </w:r>
      <w:r w:rsidR="002331C5" w:rsidRPr="00CC1AE6">
        <w:fldChar w:fldCharType="begin"/>
      </w:r>
      <w:r w:rsidR="002A4F4C" w:rsidRPr="00CC1AE6">
        <w:instrText xml:space="preserve"> ADDIN ZOTERO_ITEM CSL_CITATION {"citationID":"oIVTa9rf","properties":{"unsorted":false,"formattedCitation":"(Katzman et\\uc0\\u160{}al. 2018)","plainCitation":"(Katzman et al. 2018)","dontUpdate":true,"noteIndex":0},"citationItems":[{"id":22,"uris":["http://zotero.org/users/19775897/items/ZQLZDRDV"],"itemData":{"id":22,"type":"article-journal","abstract":"Medical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2331C5" w:rsidRPr="00CC1AE6">
        <w:fldChar w:fldCharType="separate"/>
      </w:r>
      <w:r w:rsidR="002331C5" w:rsidRPr="00CC1AE6">
        <w:t>Katzman et al. (2018)</w:t>
      </w:r>
      <w:r w:rsidR="002331C5" w:rsidRPr="00CC1AE6">
        <w:fldChar w:fldCharType="end"/>
      </w:r>
      <w:r w:rsidR="002331C5" w:rsidRPr="00CC1AE6">
        <w:t xml:space="preserve"> modelaron directamente las complejas interacciones no lineales entre las características basales de los pacientes y el </w:t>
      </w:r>
      <w:r w:rsidR="002331C5" w:rsidRPr="00CC1AE6">
        <w:lastRenderedPageBreak/>
        <w:t>riesgo de mortalidad. La arquitectura DeepSurv obtuvo un índice de concordancia superior al de los enfoques clásicos de aprendizaje automático, incluyendo el modelo tradicional de riesgos proporcionales de Cox (Cox PH) y los bosques aleatorios de supervivencia (RSF). Además de demostrar una mejora medible en la precisión predictiva a través del C-index, el estudio ilustró que esta red neuronal profunda funciona eficazmente como un sistema de recomendación de tratamientos personalizados, superando las limitaciones de los métodos estadísticos convencionales al lidiar con la alta dimensionalidad y la profunda heterogeneidad intrínseca del cáncer de mama.</w:t>
      </w:r>
    </w:p>
    <w:p w14:paraId="198B2943" w14:textId="1417602B" w:rsidR="00783C55" w:rsidRPr="00F439B4" w:rsidRDefault="00783C55" w:rsidP="00F439B4">
      <w:pPr>
        <w:pStyle w:val="Ttulo3"/>
      </w:pPr>
      <w:bookmarkStart w:id="59" w:name="_Toc224681508"/>
      <w:r w:rsidRPr="00F439B4">
        <w:t>2.</w:t>
      </w:r>
      <w:r w:rsidR="00CA003D" w:rsidRPr="00F439B4">
        <w:t>6</w:t>
      </w:r>
      <w:r w:rsidRPr="00F439B4">
        <w:t>.3 Tabla resumen de estudios en cáncer de mama</w:t>
      </w:r>
      <w:bookmarkEnd w:id="59"/>
    </w:p>
    <w:p w14:paraId="7244502A" w14:textId="1CDA86C3" w:rsidR="008540C1" w:rsidRDefault="008540C1" w:rsidP="008540C1">
      <w:r>
        <w:t>La tabla 1 sintetiza, en una única vista transversal, las principales técnicas y líneas de trabajo analizadas a lo largo del capítulo en análisis de supervivencia de cáncer de mama con datos genómicos.</w:t>
      </w:r>
    </w:p>
    <w:p w14:paraId="0ABAB088" w14:textId="1DF0226F" w:rsidR="00783C55" w:rsidRDefault="00CA003D" w:rsidP="00CA003D">
      <w:pPr>
        <w:pStyle w:val="Descripcin"/>
      </w:pPr>
      <w:bookmarkStart w:id="60" w:name="_Toc224680641"/>
      <w:r w:rsidRPr="00F439B4">
        <w:rPr>
          <w:b/>
          <w:bCs/>
        </w:rPr>
        <w:t xml:space="preserve">Tabla </w:t>
      </w:r>
      <w:r w:rsidRPr="00F439B4">
        <w:rPr>
          <w:b/>
          <w:bCs/>
        </w:rPr>
        <w:fldChar w:fldCharType="begin"/>
      </w:r>
      <w:r w:rsidRPr="00F439B4">
        <w:rPr>
          <w:b/>
          <w:bCs/>
        </w:rPr>
        <w:instrText xml:space="preserve"> SEQ Tabla \* ARABIC </w:instrText>
      </w:r>
      <w:r w:rsidRPr="00F439B4">
        <w:rPr>
          <w:b/>
          <w:bCs/>
        </w:rPr>
        <w:fldChar w:fldCharType="separate"/>
      </w:r>
      <w:r w:rsidR="00B2586F" w:rsidRPr="00F439B4">
        <w:rPr>
          <w:b/>
          <w:bCs/>
          <w:noProof/>
        </w:rPr>
        <w:t>1</w:t>
      </w:r>
      <w:r w:rsidRPr="00F439B4">
        <w:rPr>
          <w:b/>
          <w:bCs/>
        </w:rPr>
        <w:fldChar w:fldCharType="end"/>
      </w:r>
      <w:r w:rsidRPr="00CA003D">
        <w:rPr>
          <w:b/>
          <w:bCs/>
        </w:rPr>
        <w:t>.</w:t>
      </w:r>
      <w:r>
        <w:t xml:space="preserve"> </w:t>
      </w:r>
      <w:r w:rsidRPr="00994CEF">
        <w:t>Síntesis de estudios clave en análisis de supervivencia de cáncer de mama con datos genómicos.</w:t>
      </w:r>
      <w:bookmarkEnd w:id="6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9"/>
        <w:gridCol w:w="1275"/>
        <w:gridCol w:w="1843"/>
        <w:gridCol w:w="1232"/>
        <w:gridCol w:w="1178"/>
        <w:gridCol w:w="1939"/>
      </w:tblGrid>
      <w:tr w:rsidR="00DE20D5" w14:paraId="607EF4AE"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71305EF" w14:textId="2E3BE501" w:rsidR="00DE20D5" w:rsidRPr="00CC1AE6" w:rsidRDefault="00DE20D5" w:rsidP="00CC1AE6">
            <w:pPr>
              <w:spacing w:before="0" w:after="0"/>
              <w:rPr>
                <w:sz w:val="20"/>
                <w:szCs w:val="20"/>
              </w:rPr>
            </w:pPr>
            <w:r w:rsidRPr="00CC1AE6">
              <w:rPr>
                <w:sz w:val="20"/>
                <w:szCs w:val="20"/>
              </w:rPr>
              <w:t>Estudio</w:t>
            </w:r>
          </w:p>
        </w:tc>
        <w:tc>
          <w:tcPr>
            <w:tcW w:w="1275"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FD761F6" w14:textId="1C9B59E8" w:rsidR="00DE20D5" w:rsidRPr="00CC1AE6" w:rsidRDefault="00DE20D5" w:rsidP="00CC1AE6">
            <w:pPr>
              <w:spacing w:before="0" w:after="0"/>
              <w:rPr>
                <w:sz w:val="20"/>
                <w:szCs w:val="20"/>
              </w:rPr>
            </w:pPr>
            <w:r w:rsidRPr="00CC1AE6">
              <w:rPr>
                <w:sz w:val="20"/>
                <w:szCs w:val="20"/>
              </w:rPr>
              <w:t>Dataset(s)</w:t>
            </w:r>
          </w:p>
        </w:tc>
        <w:tc>
          <w:tcPr>
            <w:tcW w:w="1843"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4D606CA" w14:textId="1899F3CB" w:rsidR="00DE20D5" w:rsidRPr="00CC1AE6" w:rsidRDefault="00DE20D5" w:rsidP="00CC1AE6">
            <w:pPr>
              <w:spacing w:before="0" w:after="0"/>
              <w:rPr>
                <w:sz w:val="20"/>
                <w:szCs w:val="20"/>
              </w:rPr>
            </w:pPr>
            <w:r w:rsidRPr="00CC1AE6">
              <w:rPr>
                <w:sz w:val="20"/>
                <w:szCs w:val="20"/>
              </w:rPr>
              <w:t>Datos de entrada</w:t>
            </w:r>
          </w:p>
        </w:tc>
        <w:tc>
          <w:tcPr>
            <w:tcW w:w="123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11CF46EE" w14:textId="277240F1" w:rsidR="00DE20D5" w:rsidRPr="00CC1AE6" w:rsidRDefault="00DE20D5" w:rsidP="00CC1AE6">
            <w:pPr>
              <w:spacing w:before="0" w:after="0"/>
              <w:rPr>
                <w:sz w:val="20"/>
                <w:szCs w:val="20"/>
              </w:rPr>
            </w:pPr>
            <w:r w:rsidRPr="00CC1AE6">
              <w:rPr>
                <w:sz w:val="20"/>
                <w:szCs w:val="20"/>
              </w:rPr>
              <w:t>Mejor modelo</w:t>
            </w:r>
          </w:p>
        </w:tc>
        <w:tc>
          <w:tcPr>
            <w:tcW w:w="11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57E0E03E" w14:textId="4D9BA184" w:rsidR="00DE20D5" w:rsidRPr="00CC1AE6" w:rsidRDefault="00DE20D5" w:rsidP="00CC1AE6">
            <w:pPr>
              <w:spacing w:before="0" w:after="0"/>
              <w:rPr>
                <w:sz w:val="20"/>
                <w:szCs w:val="20"/>
              </w:rPr>
            </w:pPr>
            <w:r w:rsidRPr="00CC1AE6">
              <w:rPr>
                <w:sz w:val="20"/>
                <w:szCs w:val="20"/>
              </w:rPr>
              <w:t>C-index</w:t>
            </w:r>
          </w:p>
        </w:tc>
        <w:tc>
          <w:tcPr>
            <w:tcW w:w="193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90784CF" w14:textId="419587F2" w:rsidR="00DE20D5" w:rsidRPr="00CC1AE6" w:rsidRDefault="00DE20D5" w:rsidP="00CC1AE6">
            <w:pPr>
              <w:spacing w:before="0" w:after="0"/>
              <w:rPr>
                <w:sz w:val="20"/>
                <w:szCs w:val="20"/>
              </w:rPr>
            </w:pPr>
            <w:r w:rsidRPr="00CC1AE6">
              <w:rPr>
                <w:sz w:val="20"/>
                <w:szCs w:val="20"/>
              </w:rPr>
              <w:t>Hallazgo principal</w:t>
            </w:r>
          </w:p>
        </w:tc>
      </w:tr>
      <w:tr w:rsidR="00DE20D5" w14:paraId="13D8369E"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17D9E3E" w14:textId="60EE7677" w:rsidR="00DE20D5" w:rsidRPr="00CC1AE6" w:rsidRDefault="00DE20D5" w:rsidP="00CC1AE6">
            <w:pPr>
              <w:spacing w:before="0" w:after="0"/>
              <w:rPr>
                <w:sz w:val="20"/>
                <w:szCs w:val="20"/>
              </w:rPr>
            </w:pPr>
            <w:r w:rsidRPr="00CC1AE6">
              <w:rPr>
                <w:sz w:val="20"/>
                <w:szCs w:val="20"/>
              </w:rPr>
              <w:t>Chen et al. (2013)</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B2C5AA2" w14:textId="3A646537" w:rsidR="00DE20D5" w:rsidRPr="00CC1AE6" w:rsidRDefault="00DE20D5" w:rsidP="00CC1AE6">
            <w:pPr>
              <w:spacing w:before="0" w:after="0"/>
              <w:rPr>
                <w:sz w:val="20"/>
                <w:szCs w:val="20"/>
              </w:rPr>
            </w:pPr>
            <w:r w:rsidRPr="00CC1AE6">
              <w:rPr>
                <w:sz w:val="20"/>
                <w:szCs w:val="20"/>
              </w:rPr>
              <w:t>METABRIC</w:t>
            </w: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7F9DD5D6" w14:textId="3FE678A1" w:rsidR="00DE20D5" w:rsidRPr="00CC1AE6" w:rsidRDefault="0041557F" w:rsidP="00CC1AE6">
            <w:pPr>
              <w:spacing w:before="0" w:after="0"/>
              <w:rPr>
                <w:sz w:val="20"/>
                <w:szCs w:val="20"/>
              </w:rPr>
            </w:pPr>
            <w:r w:rsidRPr="00CC1AE6">
              <w:rPr>
                <w:sz w:val="20"/>
                <w:szCs w:val="20"/>
              </w:rPr>
              <w:t>Variables clínicas y perfiles de expresión genética/proteica</w:t>
            </w: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5216801" w14:textId="4ACD1208" w:rsidR="00DE20D5" w:rsidRPr="00CC1AE6" w:rsidRDefault="00DE20D5" w:rsidP="00CC1AE6">
            <w:pPr>
              <w:spacing w:before="0" w:after="0"/>
              <w:rPr>
                <w:sz w:val="20"/>
                <w:szCs w:val="20"/>
              </w:rPr>
            </w:pPr>
            <w:r w:rsidRPr="00CC1AE6">
              <w:rPr>
                <w:sz w:val="20"/>
                <w:szCs w:val="20"/>
              </w:rPr>
              <w:t xml:space="preserve">GBMCI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D9FD28B" w14:textId="1B89A976" w:rsidR="00DE20D5" w:rsidRPr="00CC1AE6" w:rsidRDefault="00DE20D5" w:rsidP="00CC1AE6">
            <w:pPr>
              <w:spacing w:before="0" w:after="0"/>
              <w:rPr>
                <w:sz w:val="20"/>
                <w:szCs w:val="20"/>
              </w:rPr>
            </w:pPr>
            <w:r w:rsidRPr="00CC1AE6">
              <w:rPr>
                <w:sz w:val="20"/>
                <w:szCs w:val="20"/>
              </w:rPr>
              <w:t>0,74</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75CF2B8" w14:textId="0175CE35" w:rsidR="00DE20D5" w:rsidRPr="00CC1AE6" w:rsidRDefault="00DE20D5" w:rsidP="00CC1AE6">
            <w:pPr>
              <w:spacing w:before="0" w:after="0"/>
              <w:rPr>
                <w:sz w:val="20"/>
                <w:szCs w:val="20"/>
              </w:rPr>
            </w:pPr>
            <w:r w:rsidRPr="00CC1AE6">
              <w:rPr>
                <w:sz w:val="20"/>
                <w:szCs w:val="20"/>
              </w:rPr>
              <w:t>GBMCI supera consistentemente a modelos como Cox PH y RSF</w:t>
            </w:r>
            <w:r w:rsidR="0041557F" w:rsidRPr="00CC1AE6">
              <w:rPr>
                <w:sz w:val="20"/>
                <w:szCs w:val="20"/>
              </w:rPr>
              <w:t>.</w:t>
            </w:r>
          </w:p>
        </w:tc>
      </w:tr>
      <w:tr w:rsidR="00DE20D5" w14:paraId="1DBA2FC0"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8B40098" w14:textId="64927A3C" w:rsidR="00DE20D5" w:rsidRPr="00CC1AE6" w:rsidRDefault="00DE20D5" w:rsidP="00CC1AE6">
            <w:pPr>
              <w:spacing w:before="0" w:after="0"/>
              <w:rPr>
                <w:sz w:val="20"/>
                <w:szCs w:val="20"/>
              </w:rPr>
            </w:pPr>
            <w:r w:rsidRPr="00CC1AE6">
              <w:rPr>
                <w:sz w:val="20"/>
                <w:szCs w:val="20"/>
              </w:rPr>
              <w:t>Katzman et al. (2018)</w:t>
            </w:r>
          </w:p>
        </w:tc>
        <w:tc>
          <w:tcPr>
            <w:tcW w:w="127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C87C612" w14:textId="07AE80B9" w:rsidR="00DE20D5" w:rsidRPr="00CC1AE6" w:rsidRDefault="00DE20D5" w:rsidP="00CC1AE6">
            <w:pPr>
              <w:spacing w:before="0" w:after="0"/>
              <w:rPr>
                <w:color w:val="FF0000"/>
                <w:sz w:val="20"/>
                <w:szCs w:val="20"/>
              </w:rPr>
            </w:pPr>
            <w:r w:rsidRPr="00CC1AE6">
              <w:rPr>
                <w:sz w:val="20"/>
                <w:szCs w:val="20"/>
              </w:rPr>
              <w:t>WHAS, SUPPORT, METABRIC, Rotterdam &amp; GBSG, datos simulados</w:t>
            </w:r>
          </w:p>
        </w:tc>
        <w:tc>
          <w:tcPr>
            <w:tcW w:w="184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C68E3C" w14:textId="251C6BEF" w:rsidR="00DE20D5" w:rsidRPr="00CC1AE6" w:rsidRDefault="00DE20D5" w:rsidP="00CC1AE6">
            <w:pPr>
              <w:spacing w:before="0" w:after="0"/>
              <w:rPr>
                <w:color w:val="FF0000"/>
                <w:sz w:val="20"/>
                <w:szCs w:val="20"/>
              </w:rPr>
            </w:pPr>
            <w:r w:rsidRPr="00CC1AE6">
              <w:rPr>
                <w:sz w:val="20"/>
                <w:szCs w:val="20"/>
              </w:rPr>
              <w:t>Variables clínicas y perfiles de expresión genética/proteica</w:t>
            </w:r>
          </w:p>
        </w:tc>
        <w:tc>
          <w:tcPr>
            <w:tcW w:w="123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4B6AA3" w14:textId="16FEA15F" w:rsidR="00DE20D5" w:rsidRPr="00CC1AE6" w:rsidRDefault="00DE20D5" w:rsidP="00CC1AE6">
            <w:pPr>
              <w:spacing w:before="0" w:after="0"/>
              <w:rPr>
                <w:color w:val="FF0000"/>
                <w:sz w:val="20"/>
                <w:szCs w:val="20"/>
              </w:rPr>
            </w:pPr>
            <w:r w:rsidRPr="00CC1AE6">
              <w:rPr>
                <w:sz w:val="20"/>
                <w:szCs w:val="20"/>
              </w:rPr>
              <w:t xml:space="preserve">DeepSurv </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B46DD0F" w14:textId="6AAC1F4E" w:rsidR="00DE20D5" w:rsidRPr="00CC1AE6" w:rsidRDefault="00DE20D5" w:rsidP="00CC1AE6">
            <w:pPr>
              <w:spacing w:before="0" w:after="0"/>
              <w:rPr>
                <w:color w:val="FF0000"/>
                <w:sz w:val="20"/>
                <w:szCs w:val="20"/>
              </w:rPr>
            </w:pPr>
            <w:r w:rsidRPr="00CC1AE6">
              <w:rPr>
                <w:sz w:val="20"/>
                <w:szCs w:val="20"/>
              </w:rPr>
              <w:t>0,86</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89B6D3B" w14:textId="650B4435" w:rsidR="00DE20D5" w:rsidRPr="00CC1AE6" w:rsidRDefault="00DE20D5" w:rsidP="00CC1AE6">
            <w:pPr>
              <w:spacing w:before="0" w:after="0"/>
              <w:rPr>
                <w:color w:val="FF0000"/>
                <w:sz w:val="20"/>
                <w:szCs w:val="20"/>
              </w:rPr>
            </w:pPr>
            <w:r w:rsidRPr="00CC1AE6">
              <w:rPr>
                <w:sz w:val="20"/>
                <w:szCs w:val="20"/>
              </w:rPr>
              <w:t>DeepSurv modela con gran precisión interacciones complejas y no lineales, capaz de incrementar el tiempo de supervivencia de los pacientes.</w:t>
            </w:r>
          </w:p>
        </w:tc>
      </w:tr>
      <w:tr w:rsidR="00DE20D5" w14:paraId="3C8C09A4"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AC69EE3" w14:textId="29BA25BB" w:rsidR="00DE20D5" w:rsidRPr="00CC1AE6" w:rsidRDefault="00DE20D5" w:rsidP="00CC1AE6">
            <w:pPr>
              <w:spacing w:before="0" w:after="0"/>
              <w:rPr>
                <w:color w:val="FF0000"/>
                <w:sz w:val="20"/>
                <w:szCs w:val="20"/>
              </w:rPr>
            </w:pPr>
            <w:r w:rsidRPr="00CC1AE6">
              <w:rPr>
                <w:sz w:val="20"/>
                <w:szCs w:val="20"/>
              </w:rPr>
              <w:t>Mihaylov et al. (2019)</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0CA1E8B" w14:textId="1E008128" w:rsidR="00DE20D5" w:rsidRPr="00CC1AE6" w:rsidRDefault="00DE20D5" w:rsidP="00CC1AE6">
            <w:pPr>
              <w:spacing w:before="0" w:after="0"/>
              <w:rPr>
                <w:color w:val="FF0000"/>
                <w:sz w:val="20"/>
                <w:szCs w:val="20"/>
              </w:rPr>
            </w:pPr>
            <w:r w:rsidRPr="00CC1AE6">
              <w:rPr>
                <w:sz w:val="20"/>
                <w:szCs w:val="20"/>
              </w:rPr>
              <w:t>TCGA</w:t>
            </w: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5027730" w14:textId="146796A7" w:rsidR="00DE20D5" w:rsidRPr="00CC1AE6" w:rsidRDefault="00DE20D5" w:rsidP="00CC1AE6">
            <w:pPr>
              <w:spacing w:before="0" w:after="0"/>
              <w:rPr>
                <w:color w:val="FF0000"/>
                <w:sz w:val="20"/>
                <w:szCs w:val="20"/>
              </w:rPr>
            </w:pPr>
            <w:r w:rsidRPr="00CC1AE6">
              <w:rPr>
                <w:sz w:val="20"/>
                <w:szCs w:val="20"/>
              </w:rPr>
              <w:t xml:space="preserve">Registros clínicos </w:t>
            </w: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2AA34B39" w14:textId="3C2E4CEA" w:rsidR="00DE20D5" w:rsidRPr="00CC1AE6" w:rsidRDefault="00DE20D5" w:rsidP="00CC1AE6">
            <w:pPr>
              <w:spacing w:before="0" w:after="0"/>
              <w:rPr>
                <w:color w:val="FF0000"/>
                <w:sz w:val="20"/>
                <w:szCs w:val="20"/>
              </w:rPr>
            </w:pPr>
            <w:r w:rsidRPr="00CC1AE6">
              <w:rPr>
                <w:sz w:val="20"/>
                <w:szCs w:val="20"/>
              </w:rPr>
              <w:t xml:space="preserve">SVR-Linear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5589A664" w14:textId="53E21EB6" w:rsidR="00DE20D5" w:rsidRPr="00CC1AE6" w:rsidRDefault="000D165D" w:rsidP="00CC1AE6">
            <w:pPr>
              <w:spacing w:before="0" w:after="0"/>
              <w:rPr>
                <w:color w:val="FF0000"/>
                <w:sz w:val="20"/>
                <w:szCs w:val="20"/>
              </w:rPr>
            </w:pPr>
            <w:r w:rsidRPr="00CC1AE6">
              <w:rPr>
                <w:sz w:val="20"/>
                <w:szCs w:val="20"/>
              </w:rPr>
              <w:t>NR</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CC13E9F" w14:textId="1902B684" w:rsidR="00DE20D5" w:rsidRPr="00CC1AE6" w:rsidRDefault="00DE20D5" w:rsidP="00CC1AE6">
            <w:pPr>
              <w:spacing w:before="0" w:after="0"/>
              <w:rPr>
                <w:color w:val="FF0000"/>
                <w:sz w:val="20"/>
                <w:szCs w:val="20"/>
              </w:rPr>
            </w:pPr>
            <w:r w:rsidRPr="00CC1AE6">
              <w:rPr>
                <w:sz w:val="20"/>
                <w:szCs w:val="20"/>
              </w:rPr>
              <w:t xml:space="preserve">Los modelos lineales sencillos </w:t>
            </w:r>
            <w:r w:rsidR="0041557F" w:rsidRPr="00CC1AE6">
              <w:rPr>
                <w:sz w:val="20"/>
                <w:szCs w:val="20"/>
              </w:rPr>
              <w:t>en estudios de baja dimensiaonalidad consiguen una alta prediccion</w:t>
            </w:r>
            <w:r w:rsidRPr="00CC1AE6">
              <w:rPr>
                <w:sz w:val="20"/>
                <w:szCs w:val="20"/>
              </w:rPr>
              <w:t>.</w:t>
            </w:r>
          </w:p>
        </w:tc>
      </w:tr>
      <w:tr w:rsidR="00DE20D5" w14:paraId="5A12AA19"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35AB50A" w14:textId="11938E4F" w:rsidR="00DE20D5" w:rsidRPr="00CC1AE6" w:rsidRDefault="00DE20D5" w:rsidP="00CC1AE6">
            <w:pPr>
              <w:spacing w:before="0" w:after="0"/>
              <w:rPr>
                <w:sz w:val="20"/>
                <w:szCs w:val="20"/>
              </w:rPr>
            </w:pPr>
            <w:r w:rsidRPr="00CC1AE6">
              <w:rPr>
                <w:sz w:val="20"/>
                <w:szCs w:val="20"/>
              </w:rPr>
              <w:t>Tong et al. (2020)</w:t>
            </w:r>
          </w:p>
        </w:tc>
        <w:tc>
          <w:tcPr>
            <w:tcW w:w="127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9E02005" w14:textId="473863DD" w:rsidR="00DE20D5" w:rsidRPr="00CC1AE6" w:rsidRDefault="00DE20D5" w:rsidP="00CC1AE6">
            <w:pPr>
              <w:spacing w:before="0" w:after="0"/>
              <w:rPr>
                <w:sz w:val="20"/>
                <w:szCs w:val="20"/>
              </w:rPr>
            </w:pPr>
            <w:r w:rsidRPr="00CC1AE6">
              <w:rPr>
                <w:sz w:val="20"/>
                <w:szCs w:val="20"/>
              </w:rPr>
              <w:t>TCGA-BRCA</w:t>
            </w:r>
          </w:p>
        </w:tc>
        <w:tc>
          <w:tcPr>
            <w:tcW w:w="184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6391C10" w14:textId="0A1142C3" w:rsidR="00DE20D5" w:rsidRPr="00CC1AE6" w:rsidRDefault="00DE20D5" w:rsidP="00CC1AE6">
            <w:pPr>
              <w:spacing w:before="0" w:after="0"/>
              <w:rPr>
                <w:sz w:val="20"/>
                <w:szCs w:val="20"/>
              </w:rPr>
            </w:pPr>
            <w:r w:rsidRPr="00CC1AE6">
              <w:rPr>
                <w:sz w:val="20"/>
                <w:szCs w:val="20"/>
              </w:rPr>
              <w:t xml:space="preserve">Datos multi-ómicos </w:t>
            </w:r>
          </w:p>
        </w:tc>
        <w:tc>
          <w:tcPr>
            <w:tcW w:w="123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7F646CA" w14:textId="2D900B61" w:rsidR="00DE20D5" w:rsidRPr="00CC1AE6" w:rsidRDefault="00DE20D5" w:rsidP="00CC1AE6">
            <w:pPr>
              <w:spacing w:before="0" w:after="0"/>
              <w:rPr>
                <w:sz w:val="20"/>
                <w:szCs w:val="20"/>
              </w:rPr>
            </w:pPr>
            <w:r w:rsidRPr="00CC1AE6">
              <w:rPr>
                <w:sz w:val="20"/>
                <w:szCs w:val="20"/>
              </w:rPr>
              <w:t xml:space="preserve">ConcatAE </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0676F8" w14:textId="6C7532DE" w:rsidR="00DE20D5" w:rsidRPr="00CC1AE6" w:rsidRDefault="00DE20D5" w:rsidP="00CC1AE6">
            <w:pPr>
              <w:spacing w:before="0" w:after="0"/>
              <w:rPr>
                <w:sz w:val="20"/>
                <w:szCs w:val="20"/>
              </w:rPr>
            </w:pPr>
            <w:r w:rsidRPr="00CC1AE6">
              <w:rPr>
                <w:sz w:val="20"/>
                <w:szCs w:val="20"/>
              </w:rPr>
              <w:t>0,64</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90EDBCA" w14:textId="6B0284EC" w:rsidR="00DE20D5" w:rsidRPr="00CC1AE6" w:rsidRDefault="0041557F" w:rsidP="00CC1AE6">
            <w:pPr>
              <w:spacing w:before="0" w:after="0"/>
              <w:rPr>
                <w:sz w:val="20"/>
                <w:szCs w:val="20"/>
              </w:rPr>
            </w:pPr>
            <w:r w:rsidRPr="00CC1AE6">
              <w:rPr>
                <w:sz w:val="20"/>
                <w:szCs w:val="20"/>
              </w:rPr>
              <w:t>Los modelos multimodales presentan mejores predicciones que los unimodales</w:t>
            </w:r>
          </w:p>
        </w:tc>
      </w:tr>
      <w:tr w:rsidR="00DE20D5" w14:paraId="1E60C82F"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914797F" w14:textId="3A8EC692" w:rsidR="00DE20D5" w:rsidRPr="00CC1AE6" w:rsidRDefault="00DE20D5" w:rsidP="00CC1AE6">
            <w:pPr>
              <w:spacing w:before="0" w:after="0"/>
              <w:rPr>
                <w:sz w:val="20"/>
                <w:szCs w:val="20"/>
              </w:rPr>
            </w:pPr>
            <w:r w:rsidRPr="00CC1AE6">
              <w:rPr>
                <w:sz w:val="20"/>
                <w:szCs w:val="20"/>
              </w:rPr>
              <w:t>Jin et al. (2025)</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5883CD00" w14:textId="36CDABE5" w:rsidR="0041557F" w:rsidRPr="00CC1AE6" w:rsidRDefault="00DE20D5" w:rsidP="00CC1AE6">
            <w:pPr>
              <w:spacing w:before="0" w:after="0"/>
              <w:rPr>
                <w:sz w:val="20"/>
                <w:szCs w:val="20"/>
              </w:rPr>
            </w:pPr>
            <w:r w:rsidRPr="00CC1AE6">
              <w:rPr>
                <w:sz w:val="20"/>
                <w:szCs w:val="20"/>
              </w:rPr>
              <w:t>Cohorte interna</w:t>
            </w:r>
          </w:p>
          <w:p w14:paraId="4185ACA4" w14:textId="7FF0329B" w:rsidR="0041557F" w:rsidRPr="00CC1AE6" w:rsidRDefault="0041557F" w:rsidP="00CC1AE6">
            <w:pPr>
              <w:spacing w:before="0" w:after="0"/>
              <w:rPr>
                <w:sz w:val="20"/>
                <w:szCs w:val="20"/>
              </w:rPr>
            </w:pP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022D612" w14:textId="62116280" w:rsidR="00DE20D5" w:rsidRPr="00CC1AE6" w:rsidRDefault="00DE20D5" w:rsidP="00CC1AE6">
            <w:pPr>
              <w:spacing w:before="0" w:after="0"/>
              <w:rPr>
                <w:sz w:val="20"/>
                <w:szCs w:val="20"/>
              </w:rPr>
            </w:pPr>
            <w:r w:rsidRPr="00CC1AE6">
              <w:rPr>
                <w:sz w:val="20"/>
                <w:szCs w:val="20"/>
              </w:rPr>
              <w:t xml:space="preserve">Variables </w:t>
            </w:r>
            <w:r w:rsidR="0041557F" w:rsidRPr="00CC1AE6">
              <w:rPr>
                <w:sz w:val="20"/>
                <w:szCs w:val="20"/>
              </w:rPr>
              <w:t>clínico-</w:t>
            </w:r>
            <w:r w:rsidRPr="00CC1AE6">
              <w:rPr>
                <w:sz w:val="20"/>
                <w:szCs w:val="20"/>
              </w:rPr>
              <w:t xml:space="preserve">patológicas </w:t>
            </w:r>
          </w:p>
          <w:p w14:paraId="403CEF90" w14:textId="4C9FF911" w:rsidR="0041557F" w:rsidRPr="00CC1AE6" w:rsidRDefault="0041557F" w:rsidP="00CC1AE6">
            <w:pPr>
              <w:spacing w:before="0" w:after="0"/>
              <w:rPr>
                <w:sz w:val="20"/>
                <w:szCs w:val="20"/>
              </w:rPr>
            </w:pP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7CBF34EF" w14:textId="4FFCBA9D" w:rsidR="00DE20D5" w:rsidRPr="00CC1AE6" w:rsidRDefault="00DE20D5" w:rsidP="00CC1AE6">
            <w:pPr>
              <w:spacing w:before="0" w:after="0"/>
              <w:rPr>
                <w:sz w:val="20"/>
                <w:szCs w:val="20"/>
              </w:rPr>
            </w:pPr>
            <w:r w:rsidRPr="00CC1AE6">
              <w:rPr>
                <w:sz w:val="20"/>
                <w:szCs w:val="20"/>
              </w:rPr>
              <w:t xml:space="preserve">RSF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E5EBBEB" w14:textId="41AE6E29" w:rsidR="00DE20D5" w:rsidRPr="00CC1AE6" w:rsidRDefault="00DE20D5" w:rsidP="00CC1AE6">
            <w:pPr>
              <w:spacing w:before="0" w:after="0"/>
              <w:rPr>
                <w:sz w:val="20"/>
                <w:szCs w:val="20"/>
              </w:rPr>
            </w:pPr>
            <w:r w:rsidRPr="00CC1AE6">
              <w:rPr>
                <w:sz w:val="20"/>
                <w:szCs w:val="20"/>
              </w:rPr>
              <w:t xml:space="preserve">0,80 - 0,91 </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235C1365" w14:textId="3C797D44" w:rsidR="00DE20D5" w:rsidRPr="00CC1AE6" w:rsidRDefault="00DE20D5" w:rsidP="00CC1AE6">
            <w:pPr>
              <w:spacing w:before="0" w:after="0"/>
              <w:rPr>
                <w:sz w:val="20"/>
                <w:szCs w:val="20"/>
              </w:rPr>
            </w:pPr>
            <w:r w:rsidRPr="00CC1AE6">
              <w:rPr>
                <w:sz w:val="20"/>
                <w:szCs w:val="20"/>
              </w:rPr>
              <w:t>El modelo RSF supera a la regresión de Cox para identificar riesgos de supervivencia</w:t>
            </w:r>
          </w:p>
        </w:tc>
      </w:tr>
    </w:tbl>
    <w:p w14:paraId="01EC7949" w14:textId="24C1116C" w:rsidR="00783C55" w:rsidRPr="000D165D" w:rsidRDefault="000D165D" w:rsidP="00783C55">
      <w:pPr>
        <w:spacing w:after="100"/>
        <w:rPr>
          <w:sz w:val="18"/>
          <w:szCs w:val="18"/>
        </w:rPr>
      </w:pPr>
      <w:r w:rsidRPr="000D165D">
        <w:rPr>
          <w:i/>
          <w:iCs/>
          <w:sz w:val="18"/>
          <w:szCs w:val="18"/>
        </w:rPr>
        <w:t>*NR: No reportado explícitamente como C-index en los fragmentos del estudio, aunque se presentan otros valores estadísticos de supervivencia.</w:t>
      </w:r>
      <w:r w:rsidRPr="000D165D">
        <w:rPr>
          <w:sz w:val="18"/>
          <w:szCs w:val="18"/>
        </w:rPr>
        <w:t xml:space="preserve"> </w:t>
      </w:r>
    </w:p>
    <w:p w14:paraId="67F5A090" w14:textId="6792D8DF" w:rsidR="00783C55" w:rsidRPr="00F439B4" w:rsidRDefault="00783C55" w:rsidP="00F439B4">
      <w:pPr>
        <w:pStyle w:val="Ttulo2"/>
      </w:pPr>
      <w:bookmarkStart w:id="61" w:name="_Toc224681509"/>
      <w:r w:rsidRPr="00F439B4">
        <w:lastRenderedPageBreak/>
        <w:t>2.</w:t>
      </w:r>
      <w:r w:rsidR="00CA003D" w:rsidRPr="00F439B4">
        <w:t>7</w:t>
      </w:r>
      <w:r w:rsidRPr="00F439B4">
        <w:t xml:space="preserve"> Estado del arte en cáncer de pulmón no microcítico (NSCLC)</w:t>
      </w:r>
      <w:bookmarkEnd w:id="61"/>
    </w:p>
    <w:p w14:paraId="551D933F" w14:textId="3D256560" w:rsidR="00783C55" w:rsidRPr="00F439B4" w:rsidRDefault="00783C55" w:rsidP="00F439B4">
      <w:pPr>
        <w:pStyle w:val="Ttulo3"/>
      </w:pPr>
      <w:bookmarkStart w:id="62" w:name="_Toc224681510"/>
      <w:r w:rsidRPr="00F439B4">
        <w:t>2.</w:t>
      </w:r>
      <w:r w:rsidR="00CA003D" w:rsidRPr="00F439B4">
        <w:t>7</w:t>
      </w:r>
      <w:r w:rsidRPr="00F439B4">
        <w:t>.1 Heterogeneidad molecular y relevancia pronóstica</w:t>
      </w:r>
      <w:bookmarkEnd w:id="62"/>
    </w:p>
    <w:p w14:paraId="3FCF55D4" w14:textId="5C536535" w:rsidR="0059116D" w:rsidRPr="00CC1AE6" w:rsidRDefault="0059116D" w:rsidP="00CC1AE6">
      <w:r w:rsidRPr="00CC1AE6">
        <w:t xml:space="preserve">La evolución del tratamiento del cáncer de pulmón ha transitado de una clasificación basada exclusivamente en la histología hacia una caracterización molecular profunda. El proyecto </w:t>
      </w:r>
      <w:r w:rsidR="0041557F" w:rsidRPr="00CC1AE6">
        <w:t xml:space="preserve">TCGA </w:t>
      </w:r>
      <w:r w:rsidR="0041557F" w:rsidRPr="00CC1AE6">
        <w:fldChar w:fldCharType="begin"/>
      </w:r>
      <w:r w:rsidR="0041557F" w:rsidRPr="00CC1AE6">
        <w:instrText xml:space="preserve"> ADDIN ZOTERO_ITEM CSL_CITATION {"citationID":"ffZhshPc","properties":{"unsorted":false,"formattedCitation":"(Collisson et\\uc0\\u160{}al. 2014)","plainCitation":"(Collisson et al. 2014)","noteIndex":0},"citationItems":[{"id":211,"uris":["http://zotero.org/users/19775897/items/5TWRG85K"],"itemData":{"id":211,"type":"article-journal","abstract":"Adenocarcinoma of the lung is the leading cause of cancer death worldwide. Here we report molecular profiling of 230 resected lung adenocarcinomas using messenger RNA, microRNA and DNA sequencing integrated with copy number, methylation and proteomic analyses. High rates of somatic mutation were seen (mean 8.9 mutations per megabase). Eighteen genes were statistically significantly mutated, including RIT1 activating mutations and newly described loss-of-function MGA mutations which are mutually exclusive with focal MYC amplification. EGFR mutations were more frequent in female patients, whereas mutations in RBM10 were more common in males. Aberrations in NF1, MET, ERBB2 and RIT1 occurred in 13% of cases and were enriched in samples otherwise lacking an activated oncogene, suggesting a driver role for these events in certain tumours. DNA and mRNA sequence from the same tumour highlighted splicing alterations driven by somatic genomic changes, including exon 14 skipping in MET mRNA in 4% of cases. MAPK and PI(3)K pathway activity, when measured at the protein level, was explained by known mutations in only a fraction of cases, suggesting additional, unexplained mechanisms of pathway activation. These data establish a foundation for classification and further investigations of lung adenocarcinoma molecular pathogenesis.","container-title":"Nature","DOI":"10.1038/nature13385","ISSN":"1476-4687","issue":"7511","language":"en","license":"2014 The Author(s)","page":"543-550","publisher":"Nature Publishing Group","source":"www.nature.com","title":"Comprehensive molecular profiling of lung adenocarcinoma","volume":"511","author":[{"family":"Collisson","given":"Eric A."},{"family":"Campbell","given":"Joshua D."},{"family":"Brooks","given":"Angela N."},{"family":"Berger","given":"Alice H."},{"family":"Lee","given":"William"},{"family":"Chmielecki","given":"Juliann"},{"family":"Beer","given":"David G."},{"family":"Cope","given":"Leslie"},{"family":"Creighton","given":"Chad J."},{"family":"Danilova","given":"Ludmila"},{"family":"Ding","given":"Li"},{"family":"Getz","given":"Gad"},{"family":"Hammerman","given":"Peter S."},{"family":"Neil Hayes","given":"D."},{"family":"Hernandez","given":"Bryan"},{"family":"Herman","given":"James G."},{"family":"Heymach","given":"John V."},{"family":"Jurisica","given":"Igor"},{"family":"Kucherlapati","given":"Raju"},{"family":"Kwiatkowski","given":"David"},{"family":"Ladanyi","given":"Marc"},{"family":"Robertson","given":"Gordon"},{"family":"Schultz","given":"Nikolaus"},{"family":"Shen","given":"Ronglai"},{"family":"Sinha","given":"Rileen"},{"family":"Sougnez","given":"Carrie"},{"family":"Tsao","given":"Ming-Sound"},{"family":"Travis","given":"William D."},{"family":"Weinstein","given":"John N."},{"family":"Wigle","given":"Dennis A."},{"family":"Wilkerson","given":"Matthew D."},{"family":"Chu","given":"Andy"},{"family":"Cherniack","given":"Andrew D."},{"family":"Hadjipanayis","given":"Angela"},{"family":"Rosenberg","given":"Mara"},{"family":"Weisenberger","given":"Daniel J."},{"family":"Laird","given":"Peter W."},{"family":"Radenbaugh","given":"Amie"},{"family":"Ma","given":"Singer"},{"family":"Stuart","given":"Joshua M."},{"family":"Averett Byers","given":"Lauren"},{"family":"Baylin","given":"Stephen B."},{"family":"Govindan","given":"Ramaswamy"},{"family":"Meyerson","given":"Matthew"},{"family":"Rosenberg","given":"Mara"},{"family":"Gabriel","given":"Stacey B."},{"family":"Cibulskis","given":"Kristian"},{"family":"Sougnez","given":"Carrie"},{"family":"Kim","given":"Jaegil"},{"family":"Stewart","given":"Chip"},{"family":"Lichtenstein","given":"Lee"},{"family":"Lander","given":"Eric S."},{"family":"Lawrence","given":"Michael S."},{"family":"Getz","given":"Gad"},{"family":"Kandoth","given":"Cyriac"},{"family":"Fulton","given":"Robert"},{"family":"Fulton","given":"Lucinda L."},{"family":"McLellan","given":"Michael D."},{"family":"Wilson","given":"Richard K."},{"family":"Ye","given":"Kai"},{"family":"Fronick","given":"Catrina C."},{"family":"Maher","given":"Christopher A."},{"family":"Miller","given":"Christopher A."},{"family":"Wendl","given":"Michael C."},{"family":"Cabanski","given":"Christopher"},{"family":"Ding","given":"Li"},{"family":"Mardis","given":"Elaine"},{"family":"Govindan","given":"Ramaswamy"},{"family":"Creighton","given":"Chad J."},{"family":"Wheeler","given":"David"},{"family":"Balasundaram","given":"Miruna"},{"family":"Butterfield","given":"Yaron S. N."},{"family":"Carlsen","given":"Rebecca"},{"family":"Chu","given":"Andy"},{"family":"Chuah","given":"Eric"},{"family":"Dhalla","given":"Noreen"},{"family":"Guin","given":"Ranabir"},{"family":"Hirst","given":"Carrie"},{"family":"Lee","given":"Darlene"},{"family":"Li","given":"Haiyan I."},{"family":"Mayo","given":"Michael"},{"family":"Moore","given":"Richard A."},{"family":"Mungall","given":"Andrew J."},{"family":"Schein","given":"Jacqueline E."},{"family":"Sipahimalani","given":"Payal"},{"family":"Tam","given":"Angela"},{"family":"Varhol","given":"Richard"},{"family":"Gordon Robertson","given":"A."},{"family":"Wye","given":"Natasja"},{"family":"Thiessen","given":"Nina"},{"family":"Holt","given":"Robert A."},{"family":"Jones","given":"Steven J. M."},{"family":"Marra","given":"Marco A."},{"family":"Campbell","given":"Joshua D."},{"family":"Brooks","given":"Angela N."},{"family":"Chmielecki","given":"Juliann"},{"family":"Imielinski","given":"Marcin"},{"family":"Onofrio","given":"Robert C."},{"family":"Hodis","given":"Eran"},{"family":"Zack","given":"Travis"},{"family":"Sougnez","given":"Carrie"},{"family":"Helman","given":"Elena"},{"family":"Sekhar Pedamallu","given":"Chandra"},{"family":"Mesirov","given":"Jill"},{"family":"Cherniack","given":"Andrew D."},{"family":"Saksena","given":"Gordon"},{"family":"Schumacher","given":"Steven E."},{"family":"Carter","given":"Scott L."},{"family":"Hernandez","given":"Bryan"},{"family":"Garraway","given":"Levi"},{"family":"Beroukhim","given":"Rameen"},{"family":"Gabriel","given":"Stacey B."},{"family":"Getz","given":"Gad"},{"family":"Meyerson","given":"Matthew"},{"family":"Hadjipanayis","given":"Angela"},{"family":"Lee","given":"Semin"},{"family":"Mahadeshwar","given":"Harshad S."},{"family":"Pantazi","given":"Angeliki"},{"family":"Protopopov","given":"Alexei"},{"family":"Ren","given":"Xiaojia"},{"family":"Seth","given":"Sahil"},{"family":"Song","given":"Xingzhi"},{"family":"Tang","given":"Jiabin"},{"family":"Yang","given":"Lixing"},{"family":"Zhang","given":"Jianhua"},{"family":"Chen","given":"Peng-Chieh"},{"family":"Parfenov","given":"Michael"},{"family":"Wei Xu","given":"Andrew"},{"family":"Santoso","given":"Netty"},{"family":"Chin","given":"Lynda"},{"family":"Park","given":"Peter J."},{"family":"Kucherlapati","given":"Raju"},{"family":"Hoadley","given":"Katherine A."},{"family":"Todd Auman","given":"J."},{"family":"Meng","given":"Shaowu"},{"family":"Shi","given":"Yan"},{"family":"Buda","given":"Elizabeth"},{"family":"Waring","given":"Scot"},{"family":"Veluvolu","given":"Umadevi"},{"family":"Tan","given":"Donghui"},{"family":"Mieczkowski","given":"Piotr A."},{"family":"Jones","given":"Corbin D."},{"family":"Simons","given":"Janae V."},{"family":"Soloway","given":"Matthew G."},{"family":"Bodenheimer","given":"Tom"},{"family":"Jefferys","given":"Stuart R."},{"family":"Roach","given":"Jeffrey"},{"family":"Hoyle","given":"Alan P."},{"family":"Wu","given":"Junyuan"},{"family":"Balu","given":"Saianand"},{"family":"Singh","given":"Darshan"},{"family":"Prins","given":"Jan F."},{"family":"Marron","given":"J.S."},{"family":"Parker","given":"Joel S."},{"family":"Neil Hayes","given":"D."},{"family":"Perou","given":"Charles M."},{"family":"Liu","given":"Jinze"},{"family":"Cope","given":"Leslie"},{"family":"Danilova","given":"Ludmila"},{"family":"Weisenberger","given":"Daniel J."},{"family":"Maglinte","given":"Dennis T."},{"family":"Lai","given":"Philip H."},{"family":"Bootwalla","given":"Moiz S."},{"family":"Van Den Berg","given":"David J."},{"family":"Triche Jr","given":"Timothy"},{"family":"Baylin","given":"Stephen B."},{"family":"Laird","given":"Peter W."},{"family":"Rosenberg","given":"Mara"},{"family":"Chin","given":"Lynda"},{"family":"Zhang","given":"Jianhua"},{"family":"Cho","given":"Juok"},{"family":"DiCara","given":"Daniel"},{"family":"Heiman","given":"David"},{"family":"Lin","given":"Pei"},{"family":"Mallard","given":"William"},{"family":"Voet","given":"Douglas"},{"family":"Zhang","given":"Hailei"},{"family":"Zou","given":"Lihua"},{"family":"Noble","given":"Michael S."},{"family":"Lawrence","given":"Michael S."},{"family":"Saksena","given":"Gordon"},{"family":"Gehlenborg","given":"Nils"},{"family":"Thorvaldsdottir","given":"Helga"},{"family":"Mesirov","given":"Jill"},{"family":"Nazaire","given":"Marc-Danie"},{"family":"Robinson","given":"Jim"},{"family":"Getz","given":"Gad"},{"family":"Lee","given":"William"},{"family":"Arman Aksoy","given":"B."},{"family":"Ciriello","given":"Giovanni"},{"family":"Taylor","given":"Barry S."},{"family":"Dresdner","given":"Gideon"},{"family":"Gao","given":"Jianjiong"},{"family":"Gross","given":"Benjamin"},{"family":"Seshan","given":"Venkatraman E."},{"family":"Ladanyi","given":"Marc"},{"family":"Reva","given":"Boris"},{"family":"Sinha","given":"Rileen"},{"family":"Onur Sumer","given":"S."},{"family":"Weinhold","given":"Nils"},{"family":"Schultz","given":"Nikolaus"},{"family":"Shen","given":"Ronglai"},{"family":"Sander","given":"Chris"},{"family":"Ng","given":"Sam"},{"family":"Ma","given":"Singer"},{"family":"Zhu","given":"Jingchun"},{"family":"Radenbaugh","given":"Amie"},{"family":"Stuart","given":"Joshua M."},{"family":"Benz","given":"Christopher C."},{"family":"Yau","given":"Christina"},{"family":"Haussler","given":"David"},{"family":"Spellman","given":"Paul T."},{"family":"Wilkerson","given":"Matthew D."},{"family":"Parker","given":"Joel S."},{"family":"Hoadley","given":"Katherine A."},{"family":"Kimes","given":"Patrick K."},{"family":"Neil Hayes","given":"D."},{"family":"Perou","given":"Charles M."},{"family":"Broom","given":"Bradley M."},{"family":"Wang","given":"Jing"},{"family":"Lu","given":"Yiling"},{"family":"Kwok Shing Ng","given":"Patrick"},{"family":"Diao","given":"Lixia"},{"family":"Averett Byers","given":"Lauren"},{"family":"Liu","given":"Wenbin"},{"family":"Heymach","given":"John V."},{"family":"Amos","given":"Christopher I."},{"family":"Weinstein","given":"John N."},{"family":"Akbani","given":"Rehan"},{"family":"Mills","given":"Gordon B."},{"family":"Curley","given":"Erin"},{"family":"Paulauskis","given":"Joseph"},{"family":"Lau","given":"Kevin"},{"family":"Morris","given":"Scott"},{"family":"Shelton","given":"Troy"},{"family":"Mallery","given":"David"},{"family":"Gardner","given":"Johanna"},{"family":"Penny","given":"Robert"},{"family":"Saller","given":"Charles"},{"family":"Tarvin","given":"Katherine"},{"family":"Richards","given":"William G."},{"family":"Cerfolio","given":"Robert"},{"family":"Bryant","given":"Ayesha"},{"family":"Raymond","given":"Daniel P."},{"family":"Pennell","given":"Nathan A."},{"family":"Farver","given":"Carol"},{"family":"Czerwinski","given":"Christine"},{"family":"Huelsenbeck-Dill","given":"Lori"},{"family":"Iacocca","given":"Mary"},{"family":"Petrelli","given":"Nicholas"},{"family":"Rabeno","given":"Brenda"},{"family":"Brown","given":"Jennifer"},{"family":"Bauer","given":"Thomas"},{"family":"Dolzhanskiy","given":"Oleg"},{"family":"Potapova","given":"Olga"},{"family":"Rotin","given":"Daniil"},{"family":"Voronina","given":"Olga"},{"family":"Nemirovich-Danchenko","given":"Elena"},{"family":"Fedosenko","given":"Konstantin V."},{"family":"Gal","given":"Anthony"},{"family":"Behera","given":"Madhusmita"},{"family":"Ramalingam","given":"Suresh S."},{"family":"Sica","given":"Gabriel"},{"family":"Flieder","given":"Douglas"},{"family":"Boyd","given":"Jeff"},{"family":"Weaver","given":"JoEllen"},{"family":"Kohl","given":"Bernard"},{"family":"Huy Quoc Thinh","given":"Dang"},{"family":"Sandusky","given":"George"},{"family":"Juhl","given":"Hartmut"},{"literal":"The Cancer Genome Atlas Research Network"},{"literal":"Disease analysis working group"},{"literal":"Genome sequencing centres: The Eli &amp; Edythe L. Broad Institute"},{"literal":"Washington University in St. Louis"},{"literal":"Baylor College of Medicine"},{"family":"Genome characterization centres: Canada’s Michael Smith Genome Sciences Centre","given":"British Columbia Cancer Agency"},{"literal":"The Eli &amp; Edythe L. Broad Institute"},{"literal":"Harvard Medical School/Brigham &amp; Women’s Hospital/MD Anderson Cancer Center"},{"family":"University of North Carolina","given":"Chapel Hill"},{"literal":"University of Kentucky"},{"literal":"The USC/JHU Epigenome Characterization Center"},{"literal":"Genome data analysis centres: The Eli &amp; Edythe L. Broad Institute"},{"literal":"Memorial Sloan-Kettering Cancer Center"},{"family":"University of California","given":"Santa Cruz/Buck Institute"},{"literal":"Oregon Health &amp; Sciences University"},{"literal":"The University of Texas MD Anderson Cancer Center"},{"literal":"Biospecimen core resource: International Genomics Consortium"},{"family":"Tissue source sites: Analytical Biological Service","given":"Inc."},{"literal":"Brigham &amp; Women’s Hospital"},{"literal":"University of Alabama at Birmingham"},{"literal":"Cleveland Clinic"},{"literal":"Christiana Care"},{"literal":"Cureline"},{"literal":"Emory University"},{"literal":"Fox Chase Cancer Center"},{"literal":"ILSbio"},{"literal":"Indiana University"},{"literal":"Indivumed"},{"literal":"John Flynn Hospital"}],"issued":{"date-parts":[["2014",7]]}}}],"schema":"https://github.com/citation-style-language/schema/raw/master/csl-citation.json"} </w:instrText>
      </w:r>
      <w:r w:rsidR="0041557F" w:rsidRPr="00CC1AE6">
        <w:fldChar w:fldCharType="separate"/>
      </w:r>
      <w:r w:rsidR="0041557F" w:rsidRPr="00CC1AE6">
        <w:t>(Collisson et al. 2014)</w:t>
      </w:r>
      <w:r w:rsidR="0041557F" w:rsidRPr="00CC1AE6">
        <w:fldChar w:fldCharType="end"/>
      </w:r>
      <w:r w:rsidRPr="00CC1AE6">
        <w:t xml:space="preserve"> marcó un hito al definir el paisaje genómico del adenocarcinoma de pulmón (LUAD), identificando variantes impulsoras (</w:t>
      </w:r>
      <w:r w:rsidRPr="00CC1AE6">
        <w:rPr>
          <w:i/>
          <w:iCs/>
        </w:rPr>
        <w:t>driver mutations</w:t>
      </w:r>
      <w:r w:rsidRPr="00CC1AE6">
        <w:t xml:space="preserve">) en el 75% de los tumores analizados. Esta disección molecular ha permitido establecer que mutaciones en genes como </w:t>
      </w:r>
      <w:r w:rsidRPr="00CC1AE6">
        <w:rPr>
          <w:i/>
          <w:iCs/>
        </w:rPr>
        <w:t>EGFR</w:t>
      </w:r>
      <w:r w:rsidRPr="00CC1AE6">
        <w:t xml:space="preserve">, </w:t>
      </w:r>
      <w:r w:rsidRPr="00CC1AE6">
        <w:rPr>
          <w:i/>
          <w:iCs/>
        </w:rPr>
        <w:t>ALK</w:t>
      </w:r>
      <w:r w:rsidRPr="00CC1AE6">
        <w:t xml:space="preserve"> y </w:t>
      </w:r>
      <w:r w:rsidRPr="00CC1AE6">
        <w:rPr>
          <w:i/>
          <w:iCs/>
        </w:rPr>
        <w:t>KRAS</w:t>
      </w:r>
      <w:r w:rsidRPr="00CC1AE6">
        <w:t xml:space="preserve"> no solo definen subtipos biológicos, sino que son determinantes para el pronóstico y la selección de terapias dirigidas </w:t>
      </w:r>
      <w:r w:rsidR="00813852" w:rsidRPr="00CC1AE6">
        <w:fldChar w:fldCharType="begin"/>
      </w:r>
      <w:r w:rsidR="00813852" w:rsidRPr="00CC1AE6">
        <w:instrText xml:space="preserve"> ADDIN ZOTERO_ITEM CSL_CITATION {"citationID":"aosSmPTc","properties":{"unsorted":false,"formattedCitation":"(Pao y Girard 2011)","plainCitation":"(Pao y Girard 2011)","noteIndex":0},"citationItems":[{"id":217,"uris":["http://zotero.org/users/19775897/items/ZIEU8BZN"],"itemData":{"id":217,"type":"article-journal","container-title":"The Lancet Oncology","DOI":"10.1016/S1470-2045(10)70087-5","ISSN":"1470-2045, 1474-5488","issue":"2","journalAbbreviation":"The Lancet Oncology","language":"English","page":"175-180","PMID":"21277552","publisher":"Elsevier","source":"www.thelancet.com","title":"New driver mutations in non-small-cell lung cancer","volume":"12","author":[{"family":"Pao","given":"William"},{"family":"Girard","given":"Nicolas"}],"issued":{"date-parts":[["2011",2,1]]}}}],"schema":"https://github.com/citation-style-language/schema/raw/master/csl-citation.json"} </w:instrText>
      </w:r>
      <w:r w:rsidR="00813852" w:rsidRPr="00CC1AE6">
        <w:fldChar w:fldCharType="separate"/>
      </w:r>
      <w:r w:rsidR="00813852" w:rsidRPr="00CC1AE6">
        <w:t>(Pao y Girard 2011)</w:t>
      </w:r>
      <w:r w:rsidR="00813852" w:rsidRPr="00CC1AE6">
        <w:fldChar w:fldCharType="end"/>
      </w:r>
      <w:r w:rsidRPr="00CC1AE6">
        <w:t>.</w:t>
      </w:r>
    </w:p>
    <w:p w14:paraId="101C724C" w14:textId="567F0545" w:rsidR="0059116D" w:rsidRPr="00CC1AE6" w:rsidRDefault="0059116D" w:rsidP="00CC1AE6">
      <w:r w:rsidRPr="00CC1AE6">
        <w:t xml:space="preserve">A diferencia del cáncer de mama, donde las firmas multigénicas de riesgo (como Oncotype DX) están altamente estandarizadas, en el cáncer de pulmón la estratificación del riesgo y la supervivencia se han vinculado recientemente a la carga mutacional del tumor y a la expresión de biomarcadores </w:t>
      </w:r>
      <w:r w:rsidR="00914368" w:rsidRPr="00CC1AE6">
        <w:fldChar w:fldCharType="begin"/>
      </w:r>
      <w:r w:rsidR="00914368" w:rsidRPr="00CC1AE6">
        <w:instrText xml:space="preserve"> ADDIN ZOTERO_ITEM CSL_CITATION {"citationID":"19GTKTvU","properties":{"unsorted":false,"formattedCitation":"(Hellmann et\\uc0\\u160{}al. 2018)","plainCitation":"(Hellmann et al. 2018)","noteIndex":0},"citationItems":[{"id":220,"uris":["http://zotero.org/users/19775897/items/IHCUY4G5"],"itemData":{"id":220,"type":"article-journal","abstract":"Among patients with non–small-cell lung cancer and tumors containing at least 10 mutations per megabase, the 1-year progression-free survival rate was 43% with nivolumab plus ipilimumab versus 13% with chemotherapy. This result was independent of PD-L1 expression level.","container-title":"New England Journal of Medicine","DOI":"10.1056/NEJMoa1801946","ISSN":"0028-4793","issue":"22","note":"_eprint: https://www.nejm.org/doi/pdf/10.1056/NEJMoa1801946","page":"2093-2104","publisher":"Massachusetts Medical Society","source":"Taylor and Francis+NEJM","title":"Nivolumab plus Ipilimumab in Lung Cancer with a High Tumor Mutational Burden","volume":"378","author":[{"family":"Hellmann","given":"Matthew D."},{"family":"Ciuleanu","given":"Tudor-Eliade"},{"family":"Pluzanski","given":"Adam"},{"family":"Lee","given":"Jong Seok"},{"family":"Otterson","given":"Gregory A."},{"family":"Audigier-Valette","given":"Clarisse"},{"family":"Minenza","given":"Elisa"},{"family":"Linardou","given":"Helena"},{"family":"Burgers","given":"Sjaak"},{"family":"Salman","given":"Pamela"},{"family":"Borghaei","given":"Hossein"},{"family":"Ramalingam","given":"Suresh S."},{"family":"Brahmer","given":"Julie"},{"family":"Reck","given":"Martin"},{"family":"O’Byrne","given":"Kenneth J."},{"family":"Geese","given":"William J."},{"family":"Green","given":"George"},{"family":"Chang","given":"Han"},{"family":"Szustakowski","given":"Joseph"},{"family":"Bhagavatheeswaran","given":"Prabhu"},{"family":"Healey","given":"Diane"},{"family":"Fu","given":"Yali"},{"family":"Nathan","given":"Faith"},{"family":"Paz-Ares","given":"Luis"}],"issued":{"date-parts":[["2018",5,31]]}}}],"schema":"https://github.com/citation-style-language/schema/raw/master/csl-citation.json"} </w:instrText>
      </w:r>
      <w:r w:rsidR="00914368" w:rsidRPr="00CC1AE6">
        <w:fldChar w:fldCharType="separate"/>
      </w:r>
      <w:r w:rsidR="00914368" w:rsidRPr="00CC1AE6">
        <w:t>(Hellmann et al. 2018)</w:t>
      </w:r>
      <w:r w:rsidR="00914368" w:rsidRPr="00CC1AE6">
        <w:fldChar w:fldCharType="end"/>
      </w:r>
      <w:r w:rsidR="00914368" w:rsidRPr="00CC1AE6">
        <w:t>.</w:t>
      </w:r>
    </w:p>
    <w:p w14:paraId="2E597DA4" w14:textId="3AA084A8" w:rsidR="0059116D" w:rsidRPr="00F439B4" w:rsidRDefault="0059116D" w:rsidP="00F439B4">
      <w:pPr>
        <w:pStyle w:val="Ttulo3"/>
      </w:pPr>
      <w:bookmarkStart w:id="63" w:name="_Toc224681511"/>
      <w:r w:rsidRPr="00F439B4">
        <w:t xml:space="preserve">2.7.2 Modelos de supervivencia basados en datos genómicos y </w:t>
      </w:r>
      <w:r w:rsidR="00914368" w:rsidRPr="00F439B4">
        <w:t>m</w:t>
      </w:r>
      <w:r w:rsidRPr="00F439B4">
        <w:t xml:space="preserve">achine </w:t>
      </w:r>
      <w:r w:rsidR="00914368" w:rsidRPr="00F439B4">
        <w:t>l</w:t>
      </w:r>
      <w:r w:rsidRPr="00F439B4">
        <w:t>earning</w:t>
      </w:r>
      <w:bookmarkEnd w:id="63"/>
    </w:p>
    <w:p w14:paraId="0038C78F" w14:textId="77777777" w:rsidR="00914368" w:rsidRPr="00CC1AE6" w:rsidRDefault="0059116D" w:rsidP="00CC1AE6">
      <w:r w:rsidRPr="00CC1AE6">
        <w:t>La integración de datos multi-ómicos ha permitido el desarrollo de modelos de supervivencia que superan la capacidad predictiva del sistema de estadificación TNM convencional.</w:t>
      </w:r>
    </w:p>
    <w:p w14:paraId="3B2B1E2D" w14:textId="4E94EA46" w:rsidR="0059116D" w:rsidRPr="00CC1AE6" w:rsidRDefault="00EC39DE" w:rsidP="00CC1AE6">
      <w:r w:rsidRPr="00CC1AE6">
        <w:t>I</w:t>
      </w:r>
      <w:r w:rsidR="0059116D" w:rsidRPr="00CC1AE6">
        <w:t xml:space="preserve">ntentando replicar el éxito de herramientas como MammaPrint, </w:t>
      </w:r>
      <w:r w:rsidR="00914368" w:rsidRPr="00CC1AE6">
        <w:t xml:space="preserve">se </w:t>
      </w:r>
      <w:r w:rsidR="0059116D" w:rsidRPr="00CC1AE6">
        <w:t>validaron una firma de 14 genes mediante RT-PCR en una cohorte de más de 1,500 pacientes</w:t>
      </w:r>
      <w:r w:rsidR="00914368" w:rsidRPr="00CC1AE6">
        <w:t xml:space="preserve"> </w:t>
      </w:r>
      <w:r w:rsidR="00914368" w:rsidRPr="00CC1AE6">
        <w:fldChar w:fldCharType="begin"/>
      </w:r>
      <w:r w:rsidR="00914368" w:rsidRPr="00CC1AE6">
        <w:instrText xml:space="preserve"> ADDIN ZOTERO_ITEM CSL_CITATION {"citationID":"fLT8QbTV","properties":{"unsorted":false,"formattedCitation":"(Kratz et\\uc0\\u160{}al. 2012)","plainCitation":"(Kratz et al. 2012)","noteIndex":0},"citationItems":[{"id":222,"uris":["http://zotero.org/users/19775897/items/X4JDYMTN"],"itemData":{"id":222,"type":"article-journal","container-title":"The Lancet","DOI":"10.1016/S0140-6736(11)61941-7","ISSN":"0140-6736, 1474-547X","issue":"9818","journalAbbreviation":"The Lancet","language":"English","page":"823-832","PMID":"22285053","publisher":"Elsevier","source":"www.thelancet.com","title":"A practical molecular assay to predict survival in resected non-squamous, non-small-cell lung cancer: development and international validation studies","title-short":"A practical molecular assay to predict survival in resected non-squamous, non-small-cell lung cancer","volume":"379","author":[{"family":"Kratz","given":"Johannes R."},{"family":"He","given":"Jianxing"},{"family":"Eeden","given":"Stephen K. Van Den"},{"family":"Zhu","given":"Zhi-Hua"},{"family":"Gao","given":"Wen"},{"family":"Pham","given":"Patrick T."},{"family":"Mulvihill","given":"Michael S."},{"family":"Ziaei","given":"Fatemeh"},{"family":"Zhang","given":"Huanrong"},{"family":"Su","given":"Bo"},{"family":"Zhi","given":"Xiuyi"},{"family":"Quesenberry","given":"Charles P."},{"family":"Habel","given":"Laurel A."},{"family":"Deng","given":"Qiuhua"},{"family":"Wang","given":"Zongfei"},{"family":"Zhou","given":"Jiangfen"},{"family":"Li","given":"Huiling"},{"family":"Huang","given":"Mei-Chun"},{"family":"Yeh","given":"Che-Chung"},{"family":"Segal","given":"Mark R."},{"family":"Ray","given":"M. Roshni"},{"family":"Jones","given":"Kirk D."},{"family":"Raz","given":"Dan J."},{"family":"Xu","given":"Zhidong"},{"family":"Jahan","given":"Thierry M."},{"family":"Berryman","given":"David"},{"family":"He","given":"Biao"},{"family":"Mann","given":"Michael J."},{"family":"Jablons","given":"David M."}],"issued":{"date-parts":[["2012",3,3]]}}}],"schema":"https://github.com/citation-style-language/schema/raw/master/csl-citation.json"} </w:instrText>
      </w:r>
      <w:r w:rsidR="00914368" w:rsidRPr="00CC1AE6">
        <w:fldChar w:fldCharType="separate"/>
      </w:r>
      <w:r w:rsidR="00914368" w:rsidRPr="00CC1AE6">
        <w:t>(Kratz et al. 2012)</w:t>
      </w:r>
      <w:r w:rsidR="00914368" w:rsidRPr="00CC1AE6">
        <w:fldChar w:fldCharType="end"/>
      </w:r>
      <w:r w:rsidR="0059116D" w:rsidRPr="00CC1AE6">
        <w:t xml:space="preserve">. Este modelo demostró una capacidad superior para estratificar a los pacientes en grupos de riesgo alto, intermedio y bajo, independientemente de los factores clínico-patológicos. Por su parte, </w:t>
      </w:r>
      <w:r w:rsidR="003E6033" w:rsidRPr="00CC1AE6">
        <w:fldChar w:fldCharType="begin"/>
      </w:r>
      <w:r w:rsidR="002A4F4C" w:rsidRPr="00CC1AE6">
        <w:instrText xml:space="preserve"> ADDIN ZOTERO_ITEM CSL_CITATION {"citationID":"RRoXu7kp","properties":{"unsorted":false,"formattedCitation":"(Wang et\\uc0\\u160{}al. 2021)","plainCitation":"(Wang et al. 2021)","dontUpdate":true,"noteIndex":0},"citationItems":[{"id":225,"uris":["http://zotero.org/users/19775897/items/MS4UBMXL"],"itemData":{"id":225,"type":"article-journal","abstract":"AbstractBackground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003E6033" w:rsidRPr="00CC1AE6">
        <w:fldChar w:fldCharType="separate"/>
      </w:r>
      <w:r w:rsidR="003E6033" w:rsidRPr="00CC1AE6">
        <w:t>Wang et al. (2021)</w:t>
      </w:r>
      <w:r w:rsidR="003E6033" w:rsidRPr="00CC1AE6">
        <w:fldChar w:fldCharType="end"/>
      </w:r>
      <w:r w:rsidR="003E6033" w:rsidRPr="00CC1AE6">
        <w:t xml:space="preserve"> </w:t>
      </w:r>
      <w:r w:rsidR="0059116D" w:rsidRPr="00CC1AE6">
        <w:t xml:space="preserve">desarrollaron una firma basada en </w:t>
      </w:r>
      <w:r w:rsidR="003E6033" w:rsidRPr="00CC1AE6">
        <w:t>pérfiles de mRNA</w:t>
      </w:r>
      <w:r w:rsidR="0059116D" w:rsidRPr="00CC1AE6">
        <w:t xml:space="preserve"> relacionados con la ferroptosis,</w:t>
      </w:r>
      <w:r w:rsidR="003E6033" w:rsidRPr="00CC1AE6">
        <w:t xml:space="preserve"> </w:t>
      </w:r>
      <w:r w:rsidR="0059116D" w:rsidRPr="00CC1AE6">
        <w:t>vinculando procesos metabólicos con la supervivencia a largo plazo.</w:t>
      </w:r>
    </w:p>
    <w:p w14:paraId="003187B5" w14:textId="377F0560" w:rsidR="0059116D" w:rsidRPr="00CC1AE6" w:rsidRDefault="00EC39DE" w:rsidP="00CC1AE6">
      <w:r w:rsidRPr="00CC1AE6">
        <w:t>El</w:t>
      </w:r>
      <w:r w:rsidR="0059116D" w:rsidRPr="00CC1AE6">
        <w:t xml:space="preserve"> uso de redes neuronales para modelar la supervivencia ha ganado relevancia con la arquitectura DeepSurv. </w:t>
      </w:r>
      <w:r w:rsidR="003E6033" w:rsidRPr="00CC1AE6">
        <w:fldChar w:fldCharType="begin"/>
      </w:r>
      <w:r w:rsidR="002A4F4C" w:rsidRPr="00CC1AE6">
        <w:instrText xml:space="preserve"> ADDIN ZOTERO_ITEM CSL_CITATION {"citationID":"bmjBuGbk","properties":{"unsorted":false,"formattedCitation":"(Katzman et\\uc0\\u160{}al. 2018)","plainCitation":"(Katzman et al. 2018)","dontUpdate":true,"noteIndex":0},"citationItems":[{"id":22,"uris":["http://zotero.org/users/19775897/items/ZQLZDRDV"],"itemData":{"id":22,"type":"article-journal","abstract":"Medical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3E6033" w:rsidRPr="00CC1AE6">
        <w:fldChar w:fldCharType="separate"/>
      </w:r>
      <w:r w:rsidR="003E6033" w:rsidRPr="00CC1AE6">
        <w:t>Katzman et al. (2018)</w:t>
      </w:r>
      <w:r w:rsidR="003E6033" w:rsidRPr="00CC1AE6">
        <w:fldChar w:fldCharType="end"/>
      </w:r>
      <w:r w:rsidR="003E6033" w:rsidRPr="00CC1AE6">
        <w:t xml:space="preserve"> </w:t>
      </w:r>
      <w:r w:rsidR="0059116D" w:rsidRPr="00CC1AE6">
        <w:t xml:space="preserve">aplicaron este enfoque de riesgos proporcionales de Cox basado en aprendizaje profundo para capturar interacciones no lineales entre variables clínicas y moleculares, demostrando que supera a los métodos estadísticos tradicionales al lidiar con la alta heterogeneidad del cáncer de pulmón. En una línea similar, </w:t>
      </w:r>
      <w:r w:rsidR="003E6033" w:rsidRPr="00CC1AE6">
        <w:fldChar w:fldCharType="begin"/>
      </w:r>
      <w:r w:rsidR="002A4F4C" w:rsidRPr="00CC1AE6">
        <w:instrText xml:space="preserve"> ADDIN ZOTERO_ITEM CSL_CITATION {"citationID":"eKrzCEQK","properties":{"unsorted":false,"formattedCitation":"(She et\\uc0\\u160{}al. 2020)","plainCitation":"(She et al. 2020)","dontUpdate":true,"noteIndex":0},"citationItems":[{"id":227,"uris":["http://zotero.org/users/19775897/items/UR73HUU3"],"itemData":{"id":227,"type":"article-journal","abstract":"There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003E6033" w:rsidRPr="00CC1AE6">
        <w:fldChar w:fldCharType="separate"/>
      </w:r>
      <w:r w:rsidR="003E6033" w:rsidRPr="00CC1AE6">
        <w:t>She et al. (2020)</w:t>
      </w:r>
      <w:r w:rsidR="003E6033" w:rsidRPr="00CC1AE6">
        <w:fldChar w:fldCharType="end"/>
      </w:r>
      <w:r w:rsidR="003E6033" w:rsidRPr="00CC1AE6">
        <w:t xml:space="preserve"> </w:t>
      </w:r>
      <w:r w:rsidRPr="00CC1AE6">
        <w:t>utilizaron la arquitectura DeepSurv</w:t>
      </w:r>
      <w:r w:rsidR="0059116D" w:rsidRPr="00CC1AE6">
        <w:t>, obteniendo un C-index de 0.</w:t>
      </w:r>
      <w:r w:rsidRPr="00CC1AE6">
        <w:t>742</w:t>
      </w:r>
      <w:r w:rsidR="0059116D" w:rsidRPr="00CC1AE6">
        <w:t>, validando que el aprendizaje profundo es capaz de extraer patrones pronósticos complejos que escapan a los modelos lineales.</w:t>
      </w:r>
    </w:p>
    <w:p w14:paraId="072FD8B0" w14:textId="3719ADF4" w:rsidR="0059116D" w:rsidRPr="00CC1AE6" w:rsidRDefault="0059116D" w:rsidP="00CC1AE6">
      <w:r w:rsidRPr="00CC1AE6">
        <w:t xml:space="preserve">La literatura </w:t>
      </w:r>
      <w:r w:rsidR="00EC39DE" w:rsidRPr="00CC1AE6">
        <w:t>reciente</w:t>
      </w:r>
      <w:r w:rsidRPr="00CC1AE6">
        <w:t xml:space="preserve"> subraya que la clave para mejorar la precisión reside en la integración de datos. </w:t>
      </w:r>
      <w:r w:rsidR="00EC39DE" w:rsidRPr="00CC1AE6">
        <w:fldChar w:fldCharType="begin"/>
      </w:r>
      <w:r w:rsidR="002A4F4C" w:rsidRPr="00CC1AE6">
        <w:instrText xml:space="preserve"> ADDIN ZOTERO_ITEM CSL_CITATION {"citationID":"ePesS8Mr","properties":{"unsorted":false,"formattedCitation":"(Lai et\\uc0\\u160{}al. 2020)","plainCitation":"(Lai et al. 2020)","dontUpdate":true,"noteIndex":0},"citationItems":[{"id":230,"uris":["http://zotero.org/users/19775897/items/ZVKCJ5CB"],"itemData":{"id":230,"type":"article-journal","abstract":"Non-small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00EC39DE" w:rsidRPr="00CC1AE6">
        <w:fldChar w:fldCharType="separate"/>
      </w:r>
      <w:r w:rsidR="00EC39DE" w:rsidRPr="00CC1AE6">
        <w:t>Lai et al. (2020)</w:t>
      </w:r>
      <w:r w:rsidR="00EC39DE" w:rsidRPr="00CC1AE6">
        <w:fldChar w:fldCharType="end"/>
      </w:r>
      <w:r w:rsidR="00EC39DE" w:rsidRPr="00CC1AE6">
        <w:t xml:space="preserve"> desarrollaron una red neuronal profunda combinando fuentes de datos genómicas y clínicas, </w:t>
      </w:r>
      <w:r w:rsidRPr="00CC1AE6">
        <w:t xml:space="preserve">concluyendo que la combinación de datos clínicos con perfiles transcriptómicos mejora la precisión predictiva respecto a los modelos que solo utilizan variables clínicas. Finalmente, </w:t>
      </w:r>
      <w:r w:rsidR="0059582D" w:rsidRPr="00CC1AE6">
        <w:fldChar w:fldCharType="begin"/>
      </w:r>
      <w:r w:rsidR="002A4F4C" w:rsidRPr="00CC1AE6">
        <w:instrText xml:space="preserve"> ADDIN ZOTERO_ITEM CSL_CITATION {"citationID":"DQSXkmw4","properties":{"unsorted":false,"formattedCitation":"(Lee et\\uc0\\u160{}al. 2020)","plainCitation":"(Lee et al. 2020)","dontUpdate":true,"noteIndex":0},"citationItems":[{"id":233,"uris":["http://zotero.org/users/19775897/items/G4FMT9W3"],"itemData":{"id":233,"type":"article-journal","abstract":"Lung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0059582D" w:rsidRPr="00CC1AE6">
        <w:fldChar w:fldCharType="separate"/>
      </w:r>
      <w:r w:rsidR="0059582D" w:rsidRPr="00CC1AE6">
        <w:t>Lee et al. (2020)</w:t>
      </w:r>
      <w:r w:rsidR="0059582D" w:rsidRPr="00CC1AE6">
        <w:fldChar w:fldCharType="end"/>
      </w:r>
      <w:r w:rsidR="0059582D" w:rsidRPr="00CC1AE6">
        <w:t xml:space="preserve"> </w:t>
      </w:r>
      <w:r w:rsidRPr="00CC1AE6">
        <w:t>proponen arquitecturas multimodales que fusionan metilación, mutación y RNA-seq, alcanzando índices de concordancia de hasta 0.762, lo que representa el estado del arte actual en la predicción de la supervivencia para esta patología.</w:t>
      </w:r>
    </w:p>
    <w:p w14:paraId="719DE0D5" w14:textId="10416697" w:rsidR="00783C55" w:rsidRPr="00F439B4" w:rsidRDefault="00783C55" w:rsidP="00F439B4">
      <w:pPr>
        <w:pStyle w:val="Ttulo3"/>
      </w:pPr>
      <w:bookmarkStart w:id="64" w:name="_Toc224681512"/>
      <w:r w:rsidRPr="00F439B4">
        <w:lastRenderedPageBreak/>
        <w:t>2.7.3 Tabla resumen de estudios en cáncer de pulmón</w:t>
      </w:r>
      <w:bookmarkEnd w:id="64"/>
    </w:p>
    <w:p w14:paraId="2C1511B0" w14:textId="0C1EC926" w:rsidR="008540C1" w:rsidRDefault="008540C1" w:rsidP="008540C1">
      <w:r>
        <w:t>La tabla 2 sintetiza, en una única vista transversal, las principales técnicas y líneas de trabajo analizadas a lo largo del capítulo en análisis de supervivencia de cáncer de pulmón no microcítico con datos genómicos.</w:t>
      </w:r>
    </w:p>
    <w:p w14:paraId="50C73DCB" w14:textId="499DBE6E" w:rsidR="00783C55" w:rsidRDefault="00B2586F" w:rsidP="00B2586F">
      <w:pPr>
        <w:pStyle w:val="Descripcin"/>
      </w:pPr>
      <w:bookmarkStart w:id="65" w:name="_Toc224680642"/>
      <w:r w:rsidRPr="00B2586F">
        <w:rPr>
          <w:b/>
          <w:bCs/>
        </w:rPr>
        <w:t xml:space="preserve">Tabla </w:t>
      </w:r>
      <w:r w:rsidRPr="00B2586F">
        <w:rPr>
          <w:b/>
          <w:bCs/>
        </w:rPr>
        <w:fldChar w:fldCharType="begin"/>
      </w:r>
      <w:r w:rsidRPr="00B2586F">
        <w:rPr>
          <w:b/>
          <w:bCs/>
        </w:rPr>
        <w:instrText xml:space="preserve"> SEQ Tabla \* ARABIC </w:instrText>
      </w:r>
      <w:r w:rsidRPr="00B2586F">
        <w:rPr>
          <w:b/>
          <w:bCs/>
        </w:rPr>
        <w:fldChar w:fldCharType="separate"/>
      </w:r>
      <w:r w:rsidRPr="00B2586F">
        <w:rPr>
          <w:b/>
          <w:bCs/>
          <w:noProof/>
        </w:rPr>
        <w:t>2</w:t>
      </w:r>
      <w:r w:rsidRPr="00B2586F">
        <w:rPr>
          <w:b/>
          <w:bCs/>
        </w:rPr>
        <w:fldChar w:fldCharType="end"/>
      </w:r>
      <w:r w:rsidRPr="00B2586F">
        <w:rPr>
          <w:b/>
          <w:bCs/>
        </w:rPr>
        <w:t>.</w:t>
      </w:r>
      <w:r>
        <w:t xml:space="preserve"> </w:t>
      </w:r>
      <w:r w:rsidRPr="00C4705A">
        <w:t>Síntesis de estudios clave en análisis de supervivencia de cáncer de pulmón no microcítico con datos genómicos.</w:t>
      </w:r>
      <w:bookmarkEnd w:id="6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378"/>
        <w:gridCol w:w="1707"/>
        <w:gridCol w:w="1510"/>
        <w:gridCol w:w="960"/>
        <w:gridCol w:w="1977"/>
      </w:tblGrid>
      <w:tr w:rsidR="000D165D" w14:paraId="1B7F8C0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069A7CAD" w14:textId="0A303F74" w:rsidR="000D165D" w:rsidRPr="00CC1AE6" w:rsidRDefault="000D165D" w:rsidP="00CC1AE6">
            <w:pPr>
              <w:spacing w:before="0" w:after="0"/>
              <w:jc w:val="center"/>
              <w:rPr>
                <w:rFonts w:cstheme="minorHAnsi"/>
                <w:sz w:val="20"/>
                <w:szCs w:val="20"/>
              </w:rPr>
            </w:pPr>
            <w:r w:rsidRPr="00CC1AE6">
              <w:rPr>
                <w:rFonts w:cstheme="minorHAnsi"/>
                <w:sz w:val="20"/>
                <w:szCs w:val="20"/>
              </w:rPr>
              <w:t>Estudio</w:t>
            </w:r>
          </w:p>
        </w:tc>
        <w:tc>
          <w:tcPr>
            <w:tcW w:w="13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FADA9D9" w14:textId="0D62D846" w:rsidR="000D165D" w:rsidRPr="00CC1AE6" w:rsidRDefault="000D165D" w:rsidP="00CC1AE6">
            <w:pPr>
              <w:spacing w:before="0" w:after="0"/>
              <w:jc w:val="center"/>
              <w:rPr>
                <w:rFonts w:cstheme="minorHAnsi"/>
                <w:sz w:val="20"/>
                <w:szCs w:val="20"/>
              </w:rPr>
            </w:pPr>
            <w:r w:rsidRPr="00CC1AE6">
              <w:rPr>
                <w:rFonts w:cstheme="minorHAnsi"/>
                <w:sz w:val="20"/>
                <w:szCs w:val="20"/>
              </w:rPr>
              <w:t>Dataset(s)</w:t>
            </w:r>
          </w:p>
        </w:tc>
        <w:tc>
          <w:tcPr>
            <w:tcW w:w="170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7459E217" w14:textId="061AB19D" w:rsidR="000D165D" w:rsidRPr="00CC1AE6" w:rsidRDefault="000D165D" w:rsidP="00CC1AE6">
            <w:pPr>
              <w:spacing w:before="0" w:after="0"/>
              <w:jc w:val="center"/>
              <w:rPr>
                <w:rFonts w:cstheme="minorHAnsi"/>
                <w:sz w:val="20"/>
                <w:szCs w:val="20"/>
              </w:rPr>
            </w:pPr>
            <w:r w:rsidRPr="00CC1AE6">
              <w:rPr>
                <w:rFonts w:cstheme="minorHAnsi"/>
                <w:sz w:val="20"/>
                <w:szCs w:val="20"/>
              </w:rPr>
              <w:t>Datos de entrada</w:t>
            </w:r>
          </w:p>
        </w:tc>
        <w:tc>
          <w:tcPr>
            <w:tcW w:w="151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7437ABA" w14:textId="6859294F" w:rsidR="000D165D" w:rsidRPr="00CC1AE6" w:rsidRDefault="000D165D" w:rsidP="00CC1AE6">
            <w:pPr>
              <w:spacing w:before="0" w:after="0"/>
              <w:jc w:val="center"/>
              <w:rPr>
                <w:rFonts w:cstheme="minorHAnsi"/>
                <w:sz w:val="20"/>
                <w:szCs w:val="20"/>
              </w:rPr>
            </w:pPr>
            <w:r w:rsidRPr="00CC1AE6">
              <w:rPr>
                <w:rFonts w:cstheme="minorHAnsi"/>
                <w:sz w:val="20"/>
                <w:szCs w:val="20"/>
              </w:rPr>
              <w:t>Mejor modelo</w:t>
            </w:r>
          </w:p>
        </w:tc>
        <w:tc>
          <w:tcPr>
            <w:tcW w:w="96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2C7FA7A" w14:textId="78DDFA01" w:rsidR="000D165D" w:rsidRPr="00CC1AE6" w:rsidRDefault="000D165D" w:rsidP="00CC1AE6">
            <w:pPr>
              <w:spacing w:before="0" w:after="0"/>
              <w:jc w:val="center"/>
              <w:rPr>
                <w:rFonts w:cstheme="minorHAnsi"/>
                <w:sz w:val="20"/>
                <w:szCs w:val="20"/>
              </w:rPr>
            </w:pPr>
            <w:r w:rsidRPr="00CC1AE6">
              <w:rPr>
                <w:rFonts w:cstheme="minorHAnsi"/>
                <w:sz w:val="20"/>
                <w:szCs w:val="20"/>
              </w:rPr>
              <w:t>C-index</w:t>
            </w:r>
          </w:p>
        </w:tc>
        <w:tc>
          <w:tcPr>
            <w:tcW w:w="197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CE0EA0B" w14:textId="2F09F434" w:rsidR="000D165D" w:rsidRPr="00CC1AE6" w:rsidRDefault="000D165D" w:rsidP="00CC1AE6">
            <w:pPr>
              <w:spacing w:before="0" w:after="0"/>
              <w:jc w:val="center"/>
              <w:rPr>
                <w:rFonts w:cstheme="minorHAnsi"/>
                <w:sz w:val="20"/>
                <w:szCs w:val="20"/>
              </w:rPr>
            </w:pPr>
            <w:r w:rsidRPr="00CC1AE6">
              <w:rPr>
                <w:rFonts w:cstheme="minorHAnsi"/>
                <w:sz w:val="20"/>
                <w:szCs w:val="20"/>
              </w:rPr>
              <w:t>Hallazgo principal</w:t>
            </w:r>
          </w:p>
        </w:tc>
      </w:tr>
      <w:tr w:rsidR="000D165D" w14:paraId="28DF2DBE"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76A9EE2" w14:textId="429C86FD" w:rsidR="000D165D" w:rsidRPr="00CC1AE6" w:rsidRDefault="003D505D" w:rsidP="00CC1AE6">
            <w:pPr>
              <w:spacing w:before="0" w:after="0"/>
              <w:rPr>
                <w:rFonts w:cstheme="minorHAnsi"/>
                <w:color w:val="FF0000"/>
                <w:sz w:val="20"/>
                <w:szCs w:val="20"/>
              </w:rPr>
            </w:pPr>
            <w:r w:rsidRPr="00CC1AE6">
              <w:rPr>
                <w:rFonts w:cstheme="minorHAnsi"/>
                <w:sz w:val="20"/>
                <w:szCs w:val="20"/>
              </w:rPr>
              <w:fldChar w:fldCharType="begin"/>
            </w:r>
            <w:r w:rsidR="00FB5CA7">
              <w:rPr>
                <w:rFonts w:cstheme="minorHAnsi"/>
                <w:sz w:val="20"/>
                <w:szCs w:val="20"/>
              </w:rPr>
              <w:instrText xml:space="preserve"> ADDIN ZOTERO_ITEM CSL_CITATION {"citationID":"g8NtOnxv","properties":{"unsorted":false,"formattedCitation":"(Lai et\\uc0\\u160{}al. 2020)","plainCitation":"(Lai et al. 2020)","dontUpdate":true,"noteIndex":0},"citationItems":[{"id":230,"uris":["http://zotero.org/users/19775897/items/ZVKCJ5CB"],"itemData":{"id":230,"type":"article-journal","abstract":"Non-small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Lai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05E0A76" w14:textId="0371DD70" w:rsidR="000D165D" w:rsidRPr="00CC1AE6" w:rsidRDefault="000D165D" w:rsidP="00CC1AE6">
            <w:pPr>
              <w:spacing w:before="0" w:after="0"/>
              <w:rPr>
                <w:rFonts w:cstheme="minorHAnsi"/>
                <w:color w:val="FF0000"/>
                <w:sz w:val="20"/>
                <w:szCs w:val="20"/>
              </w:rPr>
            </w:pPr>
            <w:r w:rsidRPr="00CC1AE6">
              <w:rPr>
                <w:rFonts w:cstheme="minorHAnsi"/>
                <w:sz w:val="20"/>
                <w:szCs w:val="20"/>
              </w:rPr>
              <w:t>Cohorte de 614 pacientes (microarrays) y E-MTAB-923</w:t>
            </w:r>
          </w:p>
        </w:tc>
        <w:tc>
          <w:tcPr>
            <w:tcW w:w="170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2C419DA" w14:textId="7B6A9D51" w:rsidR="000D165D" w:rsidRPr="00CC1AE6" w:rsidRDefault="000D165D" w:rsidP="00CC1AE6">
            <w:pPr>
              <w:spacing w:before="0" w:after="0"/>
              <w:rPr>
                <w:rFonts w:cstheme="minorHAnsi"/>
                <w:color w:val="FF0000"/>
                <w:sz w:val="20"/>
                <w:szCs w:val="20"/>
              </w:rPr>
            </w:pPr>
            <w:r w:rsidRPr="00CC1AE6">
              <w:rPr>
                <w:rFonts w:cstheme="minorHAnsi"/>
                <w:sz w:val="20"/>
                <w:szCs w:val="20"/>
              </w:rPr>
              <w:t xml:space="preserve">15 biomarcadores genéticos y datos clínicos (edad, sexo, estadio) </w:t>
            </w:r>
          </w:p>
        </w:tc>
        <w:tc>
          <w:tcPr>
            <w:tcW w:w="151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8207086" w14:textId="65939581" w:rsidR="000D165D" w:rsidRPr="00CC1AE6" w:rsidRDefault="000D165D" w:rsidP="00CC1AE6">
            <w:pPr>
              <w:spacing w:before="0" w:after="0"/>
              <w:rPr>
                <w:rFonts w:cstheme="minorHAnsi"/>
                <w:color w:val="FF0000"/>
                <w:sz w:val="20"/>
                <w:szCs w:val="20"/>
              </w:rPr>
            </w:pPr>
            <w:r w:rsidRPr="00CC1AE6">
              <w:rPr>
                <w:rFonts w:cstheme="minorHAnsi"/>
                <w:sz w:val="20"/>
                <w:szCs w:val="20"/>
              </w:rPr>
              <w:t xml:space="preserve">Red Neuronal Profunda </w:t>
            </w:r>
          </w:p>
        </w:tc>
        <w:tc>
          <w:tcPr>
            <w:tcW w:w="9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F89A497" w14:textId="14D7BDAE" w:rsidR="000D165D" w:rsidRPr="00CC1AE6" w:rsidRDefault="000D165D" w:rsidP="00CC1AE6">
            <w:pPr>
              <w:spacing w:before="0" w:after="0"/>
              <w:rPr>
                <w:rFonts w:cstheme="minorHAnsi"/>
                <w:color w:val="FF0000"/>
                <w:sz w:val="20"/>
                <w:szCs w:val="20"/>
              </w:rPr>
            </w:pPr>
            <w:r w:rsidRPr="00CC1AE6">
              <w:rPr>
                <w:rFonts w:cstheme="minorHAnsi"/>
                <w:sz w:val="20"/>
                <w:szCs w:val="20"/>
              </w:rPr>
              <w:t>0.8</w:t>
            </w:r>
            <w:r w:rsidR="0024728F" w:rsidRPr="00CC1AE6">
              <w:rPr>
                <w:rFonts w:cstheme="minorHAnsi"/>
                <w:sz w:val="20"/>
                <w:szCs w:val="20"/>
              </w:rPr>
              <w:t xml:space="preserve">2 </w:t>
            </w:r>
            <w:r w:rsidRPr="00CC1AE6">
              <w:rPr>
                <w:rFonts w:cstheme="minorHAnsi"/>
                <w:sz w:val="20"/>
                <w:szCs w:val="20"/>
              </w:rPr>
              <w:t>(AUC)**</w:t>
            </w:r>
          </w:p>
        </w:tc>
        <w:tc>
          <w:tcPr>
            <w:tcW w:w="197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E7C1283" w14:textId="13457086" w:rsidR="000D165D" w:rsidRPr="00CC1AE6" w:rsidRDefault="000D165D" w:rsidP="00CC1AE6">
            <w:pPr>
              <w:spacing w:before="0" w:after="0"/>
              <w:rPr>
                <w:rFonts w:cstheme="minorHAnsi"/>
                <w:color w:val="FF0000"/>
                <w:sz w:val="20"/>
                <w:szCs w:val="20"/>
              </w:rPr>
            </w:pPr>
            <w:r w:rsidRPr="00CC1AE6">
              <w:rPr>
                <w:rFonts w:cstheme="minorHAnsi"/>
                <w:sz w:val="20"/>
                <w:szCs w:val="20"/>
              </w:rPr>
              <w:t>La integración de datos moleculares y clínicos mediante Deep Learning mejora drásticamente la predicción de supervivencia a 5 años.</w:t>
            </w:r>
          </w:p>
        </w:tc>
      </w:tr>
      <w:tr w:rsidR="000D165D" w14:paraId="15EEBA3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4EA9922" w14:textId="37AD859E"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Pr="00CC1AE6">
              <w:rPr>
                <w:rFonts w:cstheme="minorHAnsi"/>
                <w:sz w:val="20"/>
                <w:szCs w:val="20"/>
              </w:rPr>
              <w:instrText xml:space="preserve"> ADDIN ZOTERO_ITEM CSL_CITATION {"citationID":"m5BiCqIZ","properties":{"unsorted":false,"formattedCitation":"(Lee et\\uc0\\u160{}al. 2020)","plainCitation":"(Lee et al. 2020)","dontUpdate":true,"noteIndex":0},"citationItems":[{"id":233,"uris":["http://zotero.org/users/19775897/items/G4FMT9W3"],"itemData":{"id":233,"type":"article-journal","abstract":"Lung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Lee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07016F4B" w14:textId="40B3DFC6" w:rsidR="000D165D" w:rsidRPr="00CC1AE6" w:rsidRDefault="000D165D" w:rsidP="00CC1AE6">
            <w:pPr>
              <w:spacing w:before="0" w:after="0"/>
              <w:rPr>
                <w:rFonts w:cstheme="minorHAnsi"/>
                <w:sz w:val="20"/>
                <w:szCs w:val="20"/>
              </w:rPr>
            </w:pPr>
            <w:r w:rsidRPr="00CC1AE6">
              <w:rPr>
                <w:rFonts w:cstheme="minorHAnsi"/>
                <w:sz w:val="20"/>
                <w:szCs w:val="20"/>
              </w:rPr>
              <w:t xml:space="preserve">TCGA-LUAD, GSE81089, GSE63805, GSE63384 </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D173DBA" w14:textId="43268004" w:rsidR="000D165D" w:rsidRPr="00CC1AE6" w:rsidRDefault="000D165D" w:rsidP="00CC1AE6">
            <w:pPr>
              <w:spacing w:before="0" w:after="0"/>
              <w:rPr>
                <w:rFonts w:cstheme="minorHAnsi"/>
                <w:sz w:val="20"/>
                <w:szCs w:val="20"/>
              </w:rPr>
            </w:pPr>
            <w:r w:rsidRPr="00CC1AE6">
              <w:rPr>
                <w:rFonts w:cstheme="minorHAnsi"/>
                <w:sz w:val="20"/>
                <w:szCs w:val="20"/>
              </w:rPr>
              <w:t xml:space="preserve">Multi-ómica: mRNA, miRNA, metilación del ADN y CNV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A7EC39" w14:textId="11AAEE3C" w:rsidR="000D165D" w:rsidRPr="00CC1AE6" w:rsidRDefault="000D165D" w:rsidP="00CC1AE6">
            <w:pPr>
              <w:spacing w:before="0" w:after="0"/>
              <w:rPr>
                <w:rFonts w:cstheme="minorHAnsi"/>
                <w:sz w:val="20"/>
                <w:szCs w:val="20"/>
              </w:rPr>
            </w:pPr>
            <w:r w:rsidRPr="00CC1AE6">
              <w:rPr>
                <w:rFonts w:cstheme="minorHAnsi"/>
                <w:sz w:val="20"/>
                <w:szCs w:val="20"/>
              </w:rPr>
              <w:t>Autoencoder basado en Deep Learning + Random Forest</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81E36E0" w14:textId="4E37ADF2" w:rsidR="000D165D" w:rsidRPr="00CC1AE6" w:rsidRDefault="000D165D" w:rsidP="00CC1AE6">
            <w:pPr>
              <w:spacing w:before="0" w:after="0"/>
              <w:rPr>
                <w:rFonts w:cstheme="minorHAnsi"/>
                <w:sz w:val="20"/>
                <w:szCs w:val="20"/>
              </w:rPr>
            </w:pPr>
            <w:r w:rsidRPr="00CC1AE6">
              <w:rPr>
                <w:rFonts w:cstheme="minorHAnsi"/>
                <w:sz w:val="20"/>
                <w:szCs w:val="20"/>
              </w:rPr>
              <w:t>0.65</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A2C05FE" w14:textId="5D1E2307" w:rsidR="000D165D" w:rsidRPr="00CC1AE6" w:rsidRDefault="000D165D" w:rsidP="00CC1AE6">
            <w:pPr>
              <w:spacing w:before="0" w:after="0"/>
              <w:rPr>
                <w:rFonts w:cstheme="minorHAnsi"/>
                <w:sz w:val="20"/>
                <w:szCs w:val="20"/>
              </w:rPr>
            </w:pPr>
            <w:r w:rsidRPr="00CC1AE6">
              <w:rPr>
                <w:rFonts w:cstheme="minorHAnsi"/>
                <w:sz w:val="20"/>
                <w:szCs w:val="20"/>
              </w:rPr>
              <w:t>El uso de autoencoders para integrar cuatro tipos de datos ómicos permite una estratificación de riesgo más robusta que los métodos de una sola ómica.</w:t>
            </w:r>
          </w:p>
        </w:tc>
      </w:tr>
      <w:tr w:rsidR="000D165D" w14:paraId="3F2115C6"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D3785EF" w14:textId="3778A9FD"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FB5CA7">
              <w:rPr>
                <w:rFonts w:cstheme="minorHAnsi"/>
                <w:sz w:val="20"/>
                <w:szCs w:val="20"/>
              </w:rPr>
              <w:instrText xml:space="preserve"> ADDIN ZOTERO_ITEM CSL_CITATION {"citationID":"VIBkBSO2","properties":{"unsorted":false,"formattedCitation":"(She et\\uc0\\u160{}al. 2020)","plainCitation":"(She et al. 2020)","dontUpdate":true,"noteIndex":0},"citationItems":[{"id":227,"uris":["http://zotero.org/users/19775897/items/UR73HUU3"],"itemData":{"id":227,"type":"article-journal","abstract":"There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She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619E688" w14:textId="407D7EFF" w:rsidR="000D165D" w:rsidRPr="00CC1AE6" w:rsidRDefault="000D165D" w:rsidP="00CC1AE6">
            <w:pPr>
              <w:spacing w:before="0" w:after="0"/>
              <w:rPr>
                <w:rFonts w:cstheme="minorHAnsi"/>
                <w:sz w:val="20"/>
                <w:szCs w:val="20"/>
              </w:rPr>
            </w:pPr>
            <w:r w:rsidRPr="00CC1AE6">
              <w:rPr>
                <w:rFonts w:cstheme="minorHAnsi"/>
                <w:sz w:val="20"/>
                <w:szCs w:val="20"/>
              </w:rPr>
              <w:t>SEER y base de datos de China (Shanghai Pulmonary Hospital)</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AADDEE6" w14:textId="597A906F" w:rsidR="000D165D" w:rsidRPr="00CC1AE6" w:rsidRDefault="000D165D" w:rsidP="00CC1AE6">
            <w:pPr>
              <w:spacing w:before="0" w:after="0"/>
              <w:rPr>
                <w:rFonts w:cstheme="minorHAnsi"/>
                <w:sz w:val="20"/>
                <w:szCs w:val="20"/>
              </w:rPr>
            </w:pPr>
            <w:r w:rsidRPr="00CC1AE6">
              <w:rPr>
                <w:rFonts w:cstheme="minorHAnsi"/>
                <w:sz w:val="20"/>
                <w:szCs w:val="20"/>
              </w:rPr>
              <w:t xml:space="preserve">127 características (clínicas, demográficas y del tumor)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B4D022F" w14:textId="00120756" w:rsidR="000D165D" w:rsidRPr="00CC1AE6" w:rsidRDefault="000D165D" w:rsidP="00CC1AE6">
            <w:pPr>
              <w:spacing w:before="0" w:after="0"/>
              <w:rPr>
                <w:rFonts w:cstheme="minorHAnsi"/>
                <w:sz w:val="20"/>
                <w:szCs w:val="20"/>
              </w:rPr>
            </w:pPr>
            <w:r w:rsidRPr="00CC1AE6">
              <w:rPr>
                <w:rFonts w:cstheme="minorHAnsi"/>
                <w:sz w:val="20"/>
                <w:szCs w:val="20"/>
              </w:rPr>
              <w:t xml:space="preserve">DeepSurv </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34599CBE" w14:textId="31AA132F" w:rsidR="000D165D" w:rsidRPr="00CC1AE6" w:rsidRDefault="0024728F" w:rsidP="00CC1AE6">
            <w:pPr>
              <w:spacing w:before="0" w:after="0"/>
              <w:rPr>
                <w:rFonts w:cstheme="minorHAnsi"/>
                <w:sz w:val="20"/>
                <w:szCs w:val="20"/>
              </w:rPr>
            </w:pPr>
            <w:r w:rsidRPr="00CC1AE6">
              <w:rPr>
                <w:rFonts w:cstheme="minorHAnsi"/>
                <w:sz w:val="20"/>
                <w:szCs w:val="20"/>
              </w:rPr>
              <w:t>0.</w:t>
            </w:r>
            <w:r w:rsidR="000D165D" w:rsidRPr="00CC1AE6">
              <w:rPr>
                <w:rFonts w:cstheme="minorHAnsi"/>
                <w:sz w:val="20"/>
                <w:szCs w:val="20"/>
              </w:rPr>
              <w:t>7</w:t>
            </w:r>
            <w:r w:rsidRPr="00CC1AE6">
              <w:rPr>
                <w:rFonts w:cstheme="minorHAnsi"/>
                <w:sz w:val="20"/>
                <w:szCs w:val="20"/>
              </w:rPr>
              <w:t>4</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CDEEC6D" w14:textId="72DFC0F2" w:rsidR="000D165D" w:rsidRPr="00CC1AE6" w:rsidRDefault="000D165D" w:rsidP="00CC1AE6">
            <w:pPr>
              <w:spacing w:before="0" w:after="0"/>
              <w:rPr>
                <w:rFonts w:cstheme="minorHAnsi"/>
                <w:sz w:val="20"/>
                <w:szCs w:val="20"/>
              </w:rPr>
            </w:pPr>
            <w:r w:rsidRPr="00CC1AE6">
              <w:rPr>
                <w:rFonts w:cstheme="minorHAnsi"/>
                <w:sz w:val="20"/>
                <w:szCs w:val="20"/>
              </w:rPr>
              <w:t>DeepSurv supera al sistema de estadificación TNM tradicional en la predicción de supervivencia específica y en recomendaciones de tratamiento personalizadas.</w:t>
            </w:r>
          </w:p>
        </w:tc>
      </w:tr>
      <w:tr w:rsidR="000D165D" w14:paraId="4A7C0E7C"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271B217" w14:textId="0C22AE3A"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FB5CA7">
              <w:rPr>
                <w:rFonts w:cstheme="minorHAnsi"/>
                <w:sz w:val="20"/>
                <w:szCs w:val="20"/>
              </w:rPr>
              <w:instrText xml:space="preserve"> ADDIN ZOTERO_ITEM CSL_CITATION {"citationID":"ky8SbW7T","properties":{"unsorted":false,"formattedCitation":"(Wang et\\uc0\\u160{}al. 2021)","plainCitation":"(Wang et al. 2021)","dontUpdate":true,"noteIndex":0},"citationItems":[{"id":225,"uris":["http://zotero.org/users/19775897/items/MS4UBMXL"],"itemData":{"id":225,"type":"article-journal","abstract":"AbstractBackground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Wang et al. (2021)</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C9DED1" w14:textId="01FACBF5" w:rsidR="000D165D" w:rsidRPr="00CC1AE6" w:rsidRDefault="000D165D" w:rsidP="00CC1AE6">
            <w:pPr>
              <w:spacing w:before="0" w:after="0"/>
              <w:rPr>
                <w:rFonts w:cstheme="minorHAnsi"/>
                <w:sz w:val="20"/>
                <w:szCs w:val="20"/>
              </w:rPr>
            </w:pPr>
            <w:r w:rsidRPr="00CC1AE6">
              <w:rPr>
                <w:rFonts w:cstheme="minorHAnsi"/>
                <w:sz w:val="20"/>
                <w:szCs w:val="20"/>
              </w:rPr>
              <w:t>TCGA y GSE72094</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175D630" w14:textId="7966CA15" w:rsidR="000D165D" w:rsidRPr="00CC1AE6" w:rsidRDefault="000D165D" w:rsidP="00CC1AE6">
            <w:pPr>
              <w:spacing w:before="0" w:after="0"/>
              <w:rPr>
                <w:rFonts w:cstheme="minorHAnsi"/>
                <w:sz w:val="20"/>
                <w:szCs w:val="20"/>
              </w:rPr>
            </w:pPr>
            <w:r w:rsidRPr="00CC1AE6">
              <w:rPr>
                <w:rFonts w:cstheme="minorHAnsi"/>
                <w:sz w:val="20"/>
                <w:szCs w:val="20"/>
              </w:rPr>
              <w:t>Firma de 13 genes relacionados con la ferroptosis e infiltración inmune</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0A6B63E" w14:textId="40EBA1B7" w:rsidR="000D165D" w:rsidRPr="00CC1AE6" w:rsidRDefault="000D165D" w:rsidP="00CC1AE6">
            <w:pPr>
              <w:spacing w:before="0" w:after="0"/>
              <w:rPr>
                <w:rFonts w:cstheme="minorHAnsi"/>
                <w:sz w:val="20"/>
                <w:szCs w:val="20"/>
              </w:rPr>
            </w:pPr>
            <w:r w:rsidRPr="00CC1AE6">
              <w:rPr>
                <w:rFonts w:cstheme="minorHAnsi"/>
                <w:sz w:val="20"/>
                <w:szCs w:val="20"/>
              </w:rPr>
              <w:t>Modelo de regresión LASSO Cox y Nomograma</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6AA5B50" w14:textId="50BF9A80" w:rsidR="000D165D" w:rsidRPr="00CC1AE6" w:rsidRDefault="000D165D" w:rsidP="00CC1AE6">
            <w:pPr>
              <w:spacing w:before="0" w:after="0"/>
              <w:rPr>
                <w:rFonts w:cstheme="minorHAnsi"/>
                <w:sz w:val="20"/>
                <w:szCs w:val="20"/>
              </w:rPr>
            </w:pPr>
            <w:r w:rsidRPr="00CC1AE6">
              <w:rPr>
                <w:rFonts w:cstheme="minorHAnsi"/>
                <w:sz w:val="20"/>
                <w:szCs w:val="20"/>
              </w:rPr>
              <w:t>0.69</w:t>
            </w:r>
            <w:r w:rsidR="0024728F" w:rsidRPr="00CC1AE6">
              <w:rPr>
                <w:rFonts w:cstheme="minorHAnsi"/>
                <w:sz w:val="20"/>
                <w:szCs w:val="20"/>
              </w:rPr>
              <w:t xml:space="preserve"> </w:t>
            </w:r>
            <w:r w:rsidRPr="00CC1AE6">
              <w:rPr>
                <w:rFonts w:cstheme="minorHAnsi"/>
                <w:sz w:val="20"/>
                <w:szCs w:val="20"/>
              </w:rPr>
              <w:t>(AUC)**</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07DF065" w14:textId="42E63FE4" w:rsidR="000D165D" w:rsidRPr="00CC1AE6" w:rsidRDefault="000D165D" w:rsidP="00CC1AE6">
            <w:pPr>
              <w:spacing w:before="0" w:after="0"/>
              <w:rPr>
                <w:rFonts w:cstheme="minorHAnsi"/>
                <w:sz w:val="20"/>
                <w:szCs w:val="20"/>
              </w:rPr>
            </w:pPr>
            <w:r w:rsidRPr="00CC1AE6">
              <w:rPr>
                <w:rFonts w:cstheme="minorHAnsi"/>
                <w:sz w:val="20"/>
                <w:szCs w:val="20"/>
              </w:rPr>
              <w:t>Se validó una firma genética de ferroptosis que predice de forma independiente la supervivencia y se relaciona con el microambiente inmune.</w:t>
            </w:r>
          </w:p>
        </w:tc>
      </w:tr>
      <w:tr w:rsidR="000D165D" w14:paraId="75EBB6E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312415B" w14:textId="4E11F658"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FB5CA7">
              <w:rPr>
                <w:rFonts w:cstheme="minorHAnsi"/>
                <w:sz w:val="20"/>
                <w:szCs w:val="20"/>
              </w:rPr>
              <w:instrText xml:space="preserve"> ADDIN ZOTERO_ITEM CSL_CITATION {"citationID":"LfxPwn90","properties":{"unsorted":false,"formattedCitation":"(Didier et\\uc0\\u160{}al. 2024)","plainCitation":"(Didier et al. 2024)","dontUpdate":true,"noteIndex":0},"citationItems":[{"id":238,"uris":["http://zotero.org/users/19775897/items/95VSQZCL"],"itemData":{"id":238,"type":"article-journal","abstract":"Machine learning (ML) techniques have gained increasing attention in the field of healthcare, including predicting outcomes in patients with lung cancer. ML has the potential to enhance prognostication in lung cancer patients and improve clinical decision-making. In this systematic review and meta-analysis, we aimed to evaluate the performance of ML models compared to logistic regression (LR) models in predicting overall survival in patients with lung cancer.We followed the Preferred Reporting Items for Systematic Reviews and Meta-Analysis (PRISMA) statement. A comprehensive search was conducted in Medline, Embase, and Cochrane databases using a predefined search query. Two independent reviewers screened abstracts and conflicts were resolved by a third reviewer. Inclusion and exclusion criteria were applied to select eligible studies. Risk of bias assessment was performed using predefined criteria. Data extraction was conducted using the Critical Appraisal and Data Extraction for Systematic Reviews of Prediction Modelling Studies (CHARMS) checklist. Meta-analytic analysis was performed to compare the discriminative ability of ML and LR models.The literature search resulted in 3635 studies, and 12 studies with a total of 211,068 patients were included in the analysis. Six studies reported confidence intervals and were included in the metaanalysis. The performance of ML models varied across studies, with C-statistics ranging from 0.60 to 0.85. The pooled analysis showed that ML models had higher discriminative ability compared to LR models, with a weighted average C-statistic of 0.78 for ML models compared to 0.70 for LR models.Machine learning models show promise in predicting overall survival in patients with lung cancer, with superior discriminative ability compared to logistic regression models. However, further validation and standardization of ML models are needed before their widespread implementation in clinical practice. Future research should focus on addressing the limitations of the current literature, such as potential bias and heterogeneity among studies, to improve the accuracy and generalizability of ML models for predicting outcomes in patients with lung cancer. Further research and development of ML models in this field may lead to improved patient outcomes and personalized treatment strategies.","container-title":"Frontiers in Artificial Intelligence","DOI":"10.3389/frai.2024.1365777","ISSN":"2624-8212","journalAbbreviation":"Front. Artif. Intell.","language":"English","publisher":"Frontiers","source":"Frontiers","title":"Application of machine learning for lung cancer survival prognostication—A systematic review and meta-analysis","URL":"https://www.frontiersin.org/journals/artificial-intelligence/articles/10.3389/frai.2024.1365777/full","volume":"7","author":[{"family":"Didier","given":"Alexander J."},{"family":"Nigro","given":"Anthony"},{"family":"Noori","given":"Zaid"},{"family":"Omballi","given":"Mohamed A."},{"family":"Pappada","given":"Scott M."},{"family":"Hamouda","given":"Danae M."}],"accessed":{"date-parts":[["2026",3,17]]},"issued":{"date-parts":[["2024",4,5]]}}}],"schema":"https://github.com/citation-style-language/schema/raw/master/csl-citation.json"}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Didier et al. (2024)</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621AB9" w14:textId="7831D2E8" w:rsidR="000D165D" w:rsidRPr="00CC1AE6" w:rsidRDefault="000D165D" w:rsidP="00CC1AE6">
            <w:pPr>
              <w:spacing w:before="0" w:after="0"/>
              <w:rPr>
                <w:rFonts w:cstheme="minorHAnsi"/>
                <w:sz w:val="20"/>
                <w:szCs w:val="20"/>
              </w:rPr>
            </w:pPr>
            <w:r w:rsidRPr="00CC1AE6">
              <w:rPr>
                <w:rFonts w:cstheme="minorHAnsi"/>
                <w:sz w:val="20"/>
                <w:szCs w:val="20"/>
              </w:rPr>
              <w:t xml:space="preserve">Meta-análisis de 12 estudios (211,068 pacientes) </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04A7FCCF" w14:textId="489B0D52" w:rsidR="000D165D" w:rsidRPr="00CC1AE6" w:rsidRDefault="000D165D" w:rsidP="00CC1AE6">
            <w:pPr>
              <w:spacing w:before="0" w:after="0"/>
              <w:rPr>
                <w:rFonts w:cstheme="minorHAnsi"/>
                <w:sz w:val="20"/>
                <w:szCs w:val="20"/>
              </w:rPr>
            </w:pPr>
            <w:r w:rsidRPr="00CC1AE6">
              <w:rPr>
                <w:rFonts w:cstheme="minorHAnsi"/>
                <w:sz w:val="20"/>
                <w:szCs w:val="20"/>
              </w:rPr>
              <w:t xml:space="preserve">Variables clínicas y radiómicas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3B9A3D42" w14:textId="3E820413" w:rsidR="000D165D" w:rsidRPr="00CC1AE6" w:rsidRDefault="000D165D" w:rsidP="00CC1AE6">
            <w:pPr>
              <w:spacing w:before="0" w:after="0"/>
              <w:rPr>
                <w:rFonts w:cstheme="minorHAnsi"/>
                <w:sz w:val="20"/>
                <w:szCs w:val="20"/>
              </w:rPr>
            </w:pPr>
            <w:r w:rsidRPr="00CC1AE6">
              <w:rPr>
                <w:rFonts w:cstheme="minorHAnsi"/>
                <w:sz w:val="20"/>
                <w:szCs w:val="20"/>
              </w:rPr>
              <w:t>Modelos de Machine Learning</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72CDF53" w14:textId="197A21F3" w:rsidR="000D165D" w:rsidRPr="00CC1AE6" w:rsidRDefault="000D165D" w:rsidP="00CC1AE6">
            <w:pPr>
              <w:spacing w:before="0" w:after="0"/>
              <w:rPr>
                <w:rFonts w:cstheme="minorHAnsi"/>
                <w:sz w:val="20"/>
                <w:szCs w:val="20"/>
              </w:rPr>
            </w:pPr>
            <w:r w:rsidRPr="00CC1AE6">
              <w:rPr>
                <w:rFonts w:cstheme="minorHAnsi"/>
                <w:sz w:val="20"/>
                <w:szCs w:val="20"/>
              </w:rPr>
              <w:t>0.78</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F803E87" w14:textId="7D752517" w:rsidR="000D165D" w:rsidRPr="00CC1AE6" w:rsidRDefault="000D165D" w:rsidP="00CC1AE6">
            <w:pPr>
              <w:spacing w:before="0" w:after="0"/>
              <w:rPr>
                <w:rFonts w:cstheme="minorHAnsi"/>
                <w:sz w:val="20"/>
                <w:szCs w:val="20"/>
              </w:rPr>
            </w:pPr>
            <w:r w:rsidRPr="00CC1AE6">
              <w:rPr>
                <w:rFonts w:cstheme="minorHAnsi"/>
                <w:sz w:val="20"/>
                <w:szCs w:val="20"/>
              </w:rPr>
              <w:t xml:space="preserve">Los modelos de Machine Learning muestran una capacidad discriminativa superior (C-index 0.78) frente a la </w:t>
            </w:r>
            <w:r w:rsidRPr="00CC1AE6">
              <w:rPr>
                <w:rFonts w:cstheme="minorHAnsi"/>
                <w:sz w:val="20"/>
                <w:szCs w:val="20"/>
              </w:rPr>
              <w:lastRenderedPageBreak/>
              <w:t>regresión logística tradicional (0.70).</w:t>
            </w:r>
          </w:p>
        </w:tc>
      </w:tr>
    </w:tbl>
    <w:p w14:paraId="364E5815" w14:textId="77777777" w:rsidR="000D165D" w:rsidRPr="000D165D" w:rsidRDefault="000D165D" w:rsidP="00783C55">
      <w:pPr>
        <w:spacing w:after="100"/>
        <w:rPr>
          <w:sz w:val="18"/>
          <w:szCs w:val="18"/>
        </w:rPr>
      </w:pPr>
      <w:r w:rsidRPr="000D165D">
        <w:rPr>
          <w:i/>
          <w:iCs/>
          <w:sz w:val="18"/>
          <w:szCs w:val="18"/>
        </w:rPr>
        <w:lastRenderedPageBreak/>
        <w:t>*NR: No reportado explícitamente como C-index en los fragmentos del estudio, aunque se presentan otros valores estadísticos de supervivencia.</w:t>
      </w:r>
      <w:r w:rsidRPr="000D165D">
        <w:rPr>
          <w:sz w:val="18"/>
          <w:szCs w:val="18"/>
        </w:rPr>
        <w:t xml:space="preserve"> </w:t>
      </w:r>
    </w:p>
    <w:p w14:paraId="026A9AC3" w14:textId="717F28D5" w:rsidR="00783C55" w:rsidRPr="000D165D" w:rsidRDefault="000D165D" w:rsidP="00783C55">
      <w:pPr>
        <w:spacing w:after="100"/>
        <w:rPr>
          <w:sz w:val="18"/>
          <w:szCs w:val="18"/>
        </w:rPr>
      </w:pPr>
      <w:r w:rsidRPr="000D165D">
        <w:rPr>
          <w:i/>
          <w:iCs/>
          <w:sz w:val="18"/>
          <w:szCs w:val="18"/>
        </w:rPr>
        <w:t>**En algunos estudios de Deep Learning se reporta el AUC como métrica principal de discriminación, la cual es análoga al C-index en modelos de clasificación de supervivencia.</w:t>
      </w:r>
    </w:p>
    <w:p w14:paraId="4EBFE8F4" w14:textId="77777777" w:rsidR="00783C55" w:rsidRPr="00F439B4" w:rsidRDefault="00783C55" w:rsidP="00F439B4">
      <w:pPr>
        <w:pStyle w:val="Ttulo2"/>
      </w:pPr>
      <w:bookmarkStart w:id="66" w:name="_Toc224681513"/>
      <w:r w:rsidRPr="00F439B4">
        <w:t>2.8 Validación cruzada entre datasets y generalización de modelos</w:t>
      </w:r>
      <w:bookmarkEnd w:id="66"/>
    </w:p>
    <w:p w14:paraId="3358C8BD" w14:textId="77777777" w:rsidR="00783C55" w:rsidRPr="00F439B4" w:rsidRDefault="00783C55" w:rsidP="00F439B4">
      <w:pPr>
        <w:pStyle w:val="Ttulo3"/>
      </w:pPr>
      <w:bookmarkStart w:id="67" w:name="_Toc224681514"/>
      <w:r w:rsidRPr="00F439B4">
        <w:t>2.8.1 Importancia y estado actual</w:t>
      </w:r>
      <w:bookmarkEnd w:id="67"/>
    </w:p>
    <w:p w14:paraId="7019BAF2" w14:textId="0A8A2526" w:rsidR="00783C55" w:rsidRPr="00CC1AE6" w:rsidRDefault="00783C55" w:rsidP="00CC1AE6">
      <w:pPr>
        <w:rPr>
          <w:rFonts w:cstheme="minorHAnsi"/>
        </w:rPr>
      </w:pPr>
      <w:r w:rsidRPr="00CC1AE6">
        <w:rPr>
          <w:rFonts w:cstheme="minorHAnsi"/>
        </w:rPr>
        <w:t xml:space="preserve">La evaluación de la generalización de los modelos predictivos mediante validación externa en cohortes independientes es un requisito metodológico fundamental que, a pesar de su importancia, se cumple de forma muy inconsistente en la literatura de aprendizaje automático oncológico. La revisión de </w:t>
      </w:r>
      <w:r w:rsidR="002A4F4C" w:rsidRPr="00CC1AE6">
        <w:rPr>
          <w:rFonts w:cstheme="minorHAnsi"/>
        </w:rPr>
        <w:fldChar w:fldCharType="begin"/>
      </w:r>
      <w:r w:rsidR="00FB5CA7">
        <w:rPr>
          <w:rFonts w:cstheme="minorHAnsi"/>
        </w:rPr>
        <w:instrText xml:space="preserve"> ADDIN ZOTERO_ITEM CSL_CITATION {"citationID":"FxO5nVd7","properties":{"unsorted":false,"formattedCitation":"(Li et\\uc0\\u160{}al. 2021)","plainCitation":"(Li et al. 2021)","dontUpdate":true,"noteIndex":0},"citationItems":[{"id":133,"uris":["http://zotero.org/users/19775897/items/T3BB8FD6"],"itemData":{"id":133,"type":"article-journal","abstract":"Background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2A4F4C" w:rsidRPr="00CC1AE6">
        <w:rPr>
          <w:rFonts w:cstheme="minorHAnsi"/>
        </w:rPr>
        <w:fldChar w:fldCharType="separate"/>
      </w:r>
      <w:r w:rsidR="002A4F4C" w:rsidRPr="00CC1AE6">
        <w:rPr>
          <w:rFonts w:cstheme="minorHAnsi"/>
          <w:szCs w:val="24"/>
        </w:rPr>
        <w:t>Li et al. (2021)</w:t>
      </w:r>
      <w:r w:rsidR="002A4F4C" w:rsidRPr="00CC1AE6">
        <w:rPr>
          <w:rFonts w:cstheme="minorHAnsi"/>
        </w:rPr>
        <w:fldChar w:fldCharType="end"/>
      </w:r>
      <w:r w:rsidR="002A4F4C" w:rsidRPr="00CC1AE6">
        <w:rPr>
          <w:rFonts w:cstheme="minorHAnsi"/>
        </w:rPr>
        <w:t xml:space="preserve"> que el campo sufre de una falta crítica de estandarización, validación externa y transparencia en el manejo de datos</w:t>
      </w:r>
      <w:r w:rsidRPr="00CC1AE6">
        <w:rPr>
          <w:rFonts w:cstheme="minorHAnsi"/>
        </w:rPr>
        <w:t xml:space="preserve">. </w:t>
      </w:r>
      <w:r w:rsidR="002A4F4C" w:rsidRPr="00CC1AE6">
        <w:rPr>
          <w:rFonts w:cstheme="minorHAnsi"/>
        </w:rPr>
        <w:fldChar w:fldCharType="begin"/>
      </w:r>
      <w:r w:rsidR="00FB5CA7">
        <w:rPr>
          <w:rFonts w:cstheme="minorHAnsi"/>
        </w:rPr>
        <w:instrText xml:space="preserve"> ADDIN ZOTERO_ITEM CSL_CITATION {"citationID":"tUDzwTAj","properties":{"unsorted":false,"formattedCitation":"(Dhiman et\\uc0\\u160{}al. 2021)","plainCitation":"(Dhiman et al. 2021)","dontUpdate":true,"noteIndex":0},"citationItems":[{"id":147,"uris":["http://zotero.org/users/19775897/items/VLWXQBNR"],"itemData":{"id":147,"type":"article-journal","abstract":"Objective\nEvaluate the completeness of reporting of prognostic prediction models developed using machine learning methods in the field of oncology.\nStudy design and setting\nWe conducted a systematic review, searching the MEDLINE and Embase databases between 01/01/2019 and 05/09/2019, for non-imaging studies developing a prognostic clinical prediction model using machine learning methods (as defined by primary study authors) in oncology. We used the Transparent Reporting of a multivariable prediction model for Individual Prognosis Or Diagnosis (TRIPOD) statement to assess the reporting quality of included publications. We described overall reporting adherence of included publications and by each section of TRIPOD.\nResults\nSixty-two publications met the inclusion criteria. 48 were development studies and 14 were development with validation studies. 152 models were developed across all publications. Median adherence to TRIPOD reporting items was 41% [range: 10%-67%] and at least 50% adherence was found in 19% (n=12/62) of publications. Adherence was lower in development only studies (median: 38% [range: 10%-67%]); and higher in development with validation studies (median: 49% [range: 33%-59%]).\nConclusion\nReporting of clinical prediction models using machine learning in oncology is poor and needs urgent improvement, so readers and stakeholders can appraise the study methods, understand study findings, and reduce research waste.","container-title":"Journal of Clinical Epidemiology","DOI":"10.1016/j.jclinepi.2021.06.024","ISSN":"0895-4356","journalAbbreviation":"Journal of Clinical Epidemiology","page":"60-72","source":"ScienceDirect","title":"Reporting of prognostic clinical prediction models based on machine learning methods in oncology needs to be improved","volume":"138","author":[{"family":"Dhiman","given":"Paula"},{"family":"Ma","given":"Jie"},{"family":"Navarro","given":"Constanza Andaur"},{"family":"Speich","given":"Benjamin"},{"family":"Bullock","given":"Garrett"},{"family":"Damen","given":"Johanna AA"},{"family":"Kirtley","given":"Shona"},{"family":"Hooft","given":"Lotty"},{"family":"Riley","given":"Richard D"},{"family":"Van Calster","given":"Ben"},{"family":"Moons","given":"Karel G. M."},{"family":"Collins","given":"Gary S."}],"issued":{"date-parts":[["2021",10,1]]}}}],"schema":"https://github.com/citation-style-language/schema/raw/master/csl-citation.json"} </w:instrText>
      </w:r>
      <w:r w:rsidR="002A4F4C" w:rsidRPr="00CC1AE6">
        <w:rPr>
          <w:rFonts w:cstheme="minorHAnsi"/>
        </w:rPr>
        <w:fldChar w:fldCharType="separate"/>
      </w:r>
      <w:r w:rsidR="002A4F4C" w:rsidRPr="00CC1AE6">
        <w:rPr>
          <w:rFonts w:cstheme="minorHAnsi"/>
          <w:szCs w:val="24"/>
        </w:rPr>
        <w:t xml:space="preserve">Dhiman et al. </w:t>
      </w:r>
      <w:r w:rsidR="002A4F4C" w:rsidRPr="00CC1AE6">
        <w:rPr>
          <w:rFonts w:cstheme="minorHAnsi"/>
        </w:rPr>
        <w:t>(</w:t>
      </w:r>
      <w:r w:rsidR="002A4F4C" w:rsidRPr="00CC1AE6">
        <w:rPr>
          <w:rFonts w:cstheme="minorHAnsi"/>
          <w:szCs w:val="24"/>
        </w:rPr>
        <w:t>2021)</w:t>
      </w:r>
      <w:r w:rsidR="002A4F4C" w:rsidRPr="00CC1AE6">
        <w:rPr>
          <w:rFonts w:cstheme="minorHAnsi"/>
        </w:rPr>
        <w:fldChar w:fldCharType="end"/>
      </w:r>
      <w:r w:rsidR="002A4F4C" w:rsidRPr="00CC1AE6">
        <w:rPr>
          <w:rFonts w:cstheme="minorHAnsi"/>
        </w:rPr>
        <w:t xml:space="preserve"> </w:t>
      </w:r>
      <w:r w:rsidRPr="00CC1AE6">
        <w:rPr>
          <w:rFonts w:cstheme="minorHAnsi"/>
        </w:rPr>
        <w:t xml:space="preserve">confirmaron este hallazgo en una revisión más amplia, </w:t>
      </w:r>
      <w:r w:rsidR="002A4F4C" w:rsidRPr="00CC1AE6">
        <w:rPr>
          <w:rFonts w:cstheme="minorHAnsi"/>
        </w:rPr>
        <w:t>identificando una pobre y urgente necesidad de mejora de los modelos de predicción clínicos.</w:t>
      </w:r>
    </w:p>
    <w:p w14:paraId="2625D046" w14:textId="5FE06652" w:rsidR="00783C55" w:rsidRPr="00CC1AE6" w:rsidRDefault="00783C55" w:rsidP="00CC1AE6">
      <w:pPr>
        <w:rPr>
          <w:rFonts w:cstheme="minorHAnsi"/>
        </w:rPr>
      </w:pPr>
      <w:r w:rsidRPr="00CC1AE6">
        <w:rPr>
          <w:rFonts w:cstheme="minorHAnsi"/>
        </w:rPr>
        <w:t xml:space="preserve">Este déficit tiene implicaciones directas en la aplicabilidad clínica de los modelos desarrollados. </w:t>
      </w:r>
      <w:r w:rsidR="002A4F4C" w:rsidRPr="00CC1AE6">
        <w:rPr>
          <w:rFonts w:cstheme="minorHAnsi"/>
        </w:rPr>
        <w:fldChar w:fldCharType="begin"/>
      </w:r>
      <w:r w:rsidR="00FB5CA7">
        <w:rPr>
          <w:rFonts w:cstheme="minorHAnsi"/>
        </w:rPr>
        <w:instrText xml:space="preserve"> ADDIN ZOTERO_ITEM CSL_CITATION {"citationID":"Midsv01I","properties":{"unsorted":false,"formattedCitation":"(Ramspek et\\uc0\\u160{}al. 2021)","plainCitation":"(Ramspek et al. 2021)","dontUpdate":true,"noteIndex":0},"citationItems":[{"id":152,"uris":["http://zotero.org/users/19775897/items/ADBS9PAL"],"itemData":{"id":152,"type":"article-journal","abstract":"Prognostic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2A4F4C" w:rsidRPr="00CC1AE6">
        <w:rPr>
          <w:rFonts w:cstheme="minorHAnsi"/>
        </w:rPr>
        <w:fldChar w:fldCharType="separate"/>
      </w:r>
      <w:r w:rsidR="002A4F4C" w:rsidRPr="00CC1AE6">
        <w:rPr>
          <w:rFonts w:cstheme="minorHAnsi"/>
          <w:szCs w:val="24"/>
        </w:rPr>
        <w:t>Ramspek et al. (2021)</w:t>
      </w:r>
      <w:r w:rsidR="002A4F4C" w:rsidRPr="00CC1AE6">
        <w:rPr>
          <w:rFonts w:cstheme="minorHAnsi"/>
        </w:rPr>
        <w:fldChar w:fldCharType="end"/>
      </w:r>
      <w:r w:rsidR="002A4F4C" w:rsidRPr="00CC1AE6">
        <w:rPr>
          <w:rFonts w:cstheme="minorHAnsi"/>
        </w:rPr>
        <w:t xml:space="preserve"> </w:t>
      </w:r>
      <w:r w:rsidRPr="00CC1AE6">
        <w:rPr>
          <w:rFonts w:cstheme="minorHAnsi"/>
        </w:rPr>
        <w:t>argumentan que la validación interna (ya sea mediante partición train/test o validación cruzada) solo permite estimar la varianza del rendimiento, pero no puede detectar los sesgos derivados de la selección de la cohorte, las diferencias en los protocolos de recogida de datos o la heterogeneidad poblacional. La validación externa, definida como la evaluación del modelo sobre una cohorte recopilada de forma independiente y en un contexto diferente al de entrenamiento, es el único mecanismo que permite establecer con rigor la generalización del modelo.</w:t>
      </w:r>
    </w:p>
    <w:p w14:paraId="13B3D8BC" w14:textId="77777777" w:rsidR="00783C55" w:rsidRPr="00F439B4" w:rsidRDefault="00783C55" w:rsidP="00F439B4">
      <w:pPr>
        <w:pStyle w:val="Ttulo3"/>
      </w:pPr>
      <w:bookmarkStart w:id="68" w:name="_Toc224681515"/>
      <w:r w:rsidRPr="00F439B4">
        <w:t>2.8.2 Estudios de validación TCGA – METABRIC</w:t>
      </w:r>
      <w:bookmarkEnd w:id="68"/>
    </w:p>
    <w:p w14:paraId="758E6CD3" w14:textId="155CC31A" w:rsidR="00783C55" w:rsidRPr="00CC1AE6" w:rsidRDefault="00783C55" w:rsidP="00CC1AE6">
      <w:pPr>
        <w:rPr>
          <w:rFonts w:cstheme="minorHAnsi"/>
          <w:color w:val="000000" w:themeColor="text1"/>
        </w:rPr>
      </w:pPr>
      <w:r w:rsidRPr="00CC1AE6">
        <w:t xml:space="preserve">En el ámbito específico de cáncer de mama con datos genómicos, la combinación TCGA-BRCA + METABRIC es la más frecuentemente utilizada para validación cruzada. La diferencia fundamental entre ambos datasets (RNA-seq vs. microarrays) plantea la necesidad de normalización cruzada o corrección de efectos de lote antes de la comparación directa de expresión génica a nivel de valores brutos. Sin embargo, los métodos de </w:t>
      </w:r>
      <w:r w:rsidRPr="00CC1AE6">
        <w:rPr>
          <w:rFonts w:cstheme="minorHAnsi"/>
          <w:color w:val="000000" w:themeColor="text1"/>
        </w:rPr>
        <w:t xml:space="preserve">puntuación de actividad de vías (pathway activity scores) o de genes de firma (signature scores), al operar en un espacio de características derivadas, son más robustos frente a estas diferencias de plataforma </w:t>
      </w:r>
      <w:r w:rsidR="00503D6A" w:rsidRPr="00CC1AE6">
        <w:rPr>
          <w:rFonts w:cstheme="minorHAnsi"/>
          <w:color w:val="000000" w:themeColor="text1"/>
        </w:rPr>
        <w:fldChar w:fldCharType="begin"/>
      </w:r>
      <w:r w:rsidR="00503D6A" w:rsidRPr="00CC1AE6">
        <w:rPr>
          <w:rFonts w:cstheme="minorHAnsi"/>
          <w:color w:val="000000" w:themeColor="text1"/>
        </w:rPr>
        <w:instrText xml:space="preserve"> ADDIN ZOTERO_ITEM CSL_CITATION {"citationID":"iWWxDhWZ","properties":{"unsorted":false,"formattedCitation":"(H\\uc0\\u228{}nzelmann, Castelo, y Guinney 2013)","plainCitation":"(Hänzelmann, Castelo, y Guinney 2013)","noteIndex":0},"citationItems":[{"id":155,"uris":["http://zotero.org/users/19775897/items/6HJXVSX2"],"itemData":{"id":155,"type":"article-journal","abstract":"Gene set enrichment (GSE) analysis is a popular framework for condensing information from gene expression profiles into a pathway or signature summary. The strengths of this approach over single gene analysis include noise and dimension reduction, as well as greater biological interpretability. As molecular profiling experiments move beyond simple case-control studies, robust and flexible GSE methodologies are needed that can model pathway activity within highly heterogeneous data sets.","container-title":"BMC Bioinformatics","DOI":"10.1186/1471-2105-14-7","ISSN":"1471-2105","issue":"1","journalAbbreviation":"BMC Bioinformatics","language":"en","page":"7","source":"Springer Link","title":"GSVA: gene set variation analysis for microarray and RNA-Seq data","title-short":"GSVA","volume":"14","author":[{"family":"Hänzelmann","given":"Sonja"},{"family":"Castelo","given":"Robert"},{"family":"Guinney","given":"Justin"}],"issued":{"date-parts":[["2013",1,16]]}}}],"schema":"https://github.com/citation-style-language/schema/raw/master/csl-citation.json"} </w:instrText>
      </w:r>
      <w:r w:rsidR="00503D6A" w:rsidRPr="00CC1AE6">
        <w:rPr>
          <w:rFonts w:cstheme="minorHAnsi"/>
          <w:color w:val="000000" w:themeColor="text1"/>
        </w:rPr>
        <w:fldChar w:fldCharType="separate"/>
      </w:r>
      <w:r w:rsidR="00503D6A" w:rsidRPr="00CC1AE6">
        <w:rPr>
          <w:rFonts w:ascii="Calibri" w:hAnsi="Calibri" w:cs="Calibri"/>
          <w:szCs w:val="24"/>
        </w:rPr>
        <w:t>(Hänzelmann, Castelo, y Guinney 2013)</w:t>
      </w:r>
      <w:r w:rsidR="00503D6A" w:rsidRPr="00CC1AE6">
        <w:rPr>
          <w:rFonts w:cstheme="minorHAnsi"/>
          <w:color w:val="000000" w:themeColor="text1"/>
        </w:rPr>
        <w:fldChar w:fldCharType="end"/>
      </w:r>
      <w:r w:rsidRPr="00CC1AE6">
        <w:rPr>
          <w:rFonts w:cstheme="minorHAnsi"/>
          <w:color w:val="000000" w:themeColor="text1"/>
        </w:rPr>
        <w:t>.</w:t>
      </w:r>
    </w:p>
    <w:p w14:paraId="15808B65" w14:textId="5685CB3F" w:rsidR="00783C55" w:rsidRPr="00CC1AE6" w:rsidRDefault="00783C55" w:rsidP="00CC1AE6">
      <w:r w:rsidRPr="00CC1AE6">
        <w:rPr>
          <w:rFonts w:cstheme="minorHAnsi"/>
        </w:rPr>
        <w:t xml:space="preserve">Para mitigar el impacto de las diferencias entre datasets, se han desarrollado diversas estrategias metodológicas. </w:t>
      </w:r>
      <w:r w:rsidR="00503D6A" w:rsidRPr="00CC1AE6">
        <w:rPr>
          <w:rFonts w:cstheme="minorHAnsi"/>
        </w:rPr>
        <w:fldChar w:fldCharType="begin"/>
      </w:r>
      <w:r w:rsidR="00FB5CA7">
        <w:rPr>
          <w:rFonts w:cstheme="minorHAnsi"/>
        </w:rPr>
        <w:instrText xml:space="preserve"> ADDIN ZOTERO_ITEM CSL_CITATION {"citationID":"urXUffce","properties":{"unsorted":false,"formattedCitation":"(Jensen et\\uc0\\u160{}al. 2017)","plainCitation":"(Jensen et al. 2017)","dontUpdate":true,"noteIndex":0},"citationItems":[{"id":189,"uris":["http://zotero.org/users/19775897/items/66A46MTG"],"itemData":{"id":189,"type":"article-journal","abstract":"The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503D6A" w:rsidRPr="00CC1AE6">
        <w:rPr>
          <w:rFonts w:cstheme="minorHAnsi"/>
        </w:rPr>
        <w:fldChar w:fldCharType="separate"/>
      </w:r>
      <w:r w:rsidR="00503D6A" w:rsidRPr="00CC1AE6">
        <w:rPr>
          <w:rFonts w:ascii="Calibri" w:hAnsi="Calibri" w:cs="Calibri"/>
          <w:szCs w:val="24"/>
        </w:rPr>
        <w:t>Jensen et al. (2017)</w:t>
      </w:r>
      <w:r w:rsidR="00503D6A" w:rsidRPr="00CC1AE6">
        <w:rPr>
          <w:rFonts w:cstheme="minorHAnsi"/>
        </w:rPr>
        <w:fldChar w:fldCharType="end"/>
      </w:r>
      <w:r w:rsidR="00503D6A" w:rsidRPr="00CC1AE6">
        <w:rPr>
          <w:rFonts w:cstheme="minorHAnsi"/>
        </w:rPr>
        <w:t xml:space="preserve"> </w:t>
      </w:r>
      <w:r w:rsidRPr="00CC1AE6">
        <w:rPr>
          <w:rFonts w:cstheme="minorHAnsi"/>
        </w:rPr>
        <w:t>describieron</w:t>
      </w:r>
      <w:r w:rsidRPr="00CC1AE6">
        <w:t xml:space="preserve"> el proceso de armonización del GDC, que reanaliza todos los datos del TCGA con pipelines estandarizados para minimizar las diferencias debidas al procesamiento computacional. Para las diferencias de plataforma tecnológica (microarrays vs. RNA-seq)</w:t>
      </w:r>
      <w:r w:rsidR="00B140DD" w:rsidRPr="00CC1AE6">
        <w:t xml:space="preserve">, </w:t>
      </w:r>
      <w:r w:rsidRPr="00CC1AE6">
        <w:t>un modelo de efectos mixtos bayesiano para corrección de batch effects</w:t>
      </w:r>
      <w:r w:rsidR="00B140DD" w:rsidRPr="00CC1AE6">
        <w:t xml:space="preserve"> </w:t>
      </w:r>
      <w:r w:rsidRPr="00CC1AE6">
        <w:t>o la transformación a rangos percentiles de expresión son los más utilizados en la literatura</w:t>
      </w:r>
      <w:r w:rsidR="00503D6A" w:rsidRPr="00CC1AE6">
        <w:t xml:space="preserve"> </w:t>
      </w:r>
      <w:r w:rsidR="00503D6A" w:rsidRPr="00CC1AE6">
        <w:fldChar w:fldCharType="begin"/>
      </w:r>
      <w:r w:rsidR="00503D6A" w:rsidRPr="00CC1AE6">
        <w:instrText xml:space="preserve"> ADDIN ZOTERO_ITEM CSL_CITATION {"citationID":"5UhAq0Ao","properties":{"unsorted":false,"formattedCitation":"(Johnson, Li, y Rabinovic 2007; Yousefi et\\uc0\\u160{}al. 2017)","plainCitation":"(Johnson, Li, y Rabinovic 2007; Yousefi et al. 2017)","noteIndex":0},"citationItems":[{"id":157,"uris":["http://zotero.org/users/19775897/items/EEC57NH9"],"itemData":{"id":157,"type":"article-journal","abstract":"Non-biological experimental variation or “batch effects\" are commonly observed across multiple batches of microarray experiments, often rendering the task of combining data from these batches difficult. The ability to combine microarray data sets is advantageous to researchers to increase statistical power to detect biological phenomena from studies where logistical considerations restrict sample size or in studies that require the sequential hybridization of arrays. In general, it is inappropriate to combine data sets without adjusting for batch effects. Methods have been proposed to filter batch effects from data, but these are often complicated and require large batch sizes (&amp;gt;25) to implement. Because the majority of microarray studies are conducted using much smaller sample sizes, existing methods are not sufficient. We propose parametric and non-parametric empirical Bayes frameworks for adjusting data for batch effects that is robust to outliers in small sample sizes and performs comparable to existing methods for large samples. We illustrate our methods using two example data sets and show that our methods are justifiable, easy to apply, and useful in practice. Software for our method is freely available at: http://biosun1.harvard.edu/complab/batch/.","container-title":"Biostatistics","DOI":"10.1093/biostatistics/kxj037","ISSN":"1465-4644","issue":"1","journalAbbreviation":"Biostatistics","page":"118-127","source":"Silverchair","title":"Adjusting batch effects in microarray expression data using empirical Bayes methods","volume":"8","author":[{"family":"Johnson","given":"W. Evan"},{"family":"Li","given":"Cheng"},{"family":"Rabinovic","given":"Ariel"}],"issued":{"date-parts":[["2007",1,1]]}}},{"id":95,"uris":["http://zotero.org/users/19775897/items/J53P2BX3"],"itemData":{"id":95,"type":"article-journal","abstract":"Translating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rsidR="00503D6A" w:rsidRPr="00CC1AE6">
        <w:fldChar w:fldCharType="separate"/>
      </w:r>
      <w:r w:rsidR="00503D6A" w:rsidRPr="00CC1AE6">
        <w:rPr>
          <w:rFonts w:ascii="Calibri" w:hAnsi="Calibri" w:cs="Calibri"/>
          <w:szCs w:val="24"/>
        </w:rPr>
        <w:t>(Johnson, Li, y Rabinovic 2007; Yousefi et al. 2017)</w:t>
      </w:r>
      <w:r w:rsidR="00503D6A" w:rsidRPr="00CC1AE6">
        <w:fldChar w:fldCharType="end"/>
      </w:r>
      <w:r w:rsidRPr="00CC1AE6">
        <w:t>. En el contexto de este TFM, la estrategia de armonización adoptada se documentará y justificará en el Capítulo 3 (Datos).</w:t>
      </w:r>
    </w:p>
    <w:p w14:paraId="12FECA1E" w14:textId="77777777" w:rsidR="00783C55" w:rsidRPr="00F439B4" w:rsidRDefault="00783C55" w:rsidP="00F439B4">
      <w:pPr>
        <w:pStyle w:val="Ttulo2"/>
      </w:pPr>
      <w:bookmarkStart w:id="69" w:name="_Toc224681516"/>
      <w:r w:rsidRPr="00F439B4">
        <w:t>2.9 Métricas de evaluación en modelos de supervivencia</w:t>
      </w:r>
      <w:bookmarkEnd w:id="69"/>
    </w:p>
    <w:p w14:paraId="539C8DA1" w14:textId="77777777" w:rsidR="00783C55" w:rsidRPr="00F439B4" w:rsidRDefault="00783C55" w:rsidP="00F439B4">
      <w:pPr>
        <w:pStyle w:val="Ttulo3"/>
      </w:pPr>
      <w:bookmarkStart w:id="70" w:name="_Toc224681517"/>
      <w:r w:rsidRPr="00F439B4">
        <w:lastRenderedPageBreak/>
        <w:t>2.9.1 El índice de concordancia (C-index)</w:t>
      </w:r>
      <w:bookmarkEnd w:id="70"/>
    </w:p>
    <w:p w14:paraId="37F24430" w14:textId="2A507074" w:rsidR="00783C55" w:rsidRDefault="00783C55" w:rsidP="00CC1AE6">
      <w:r>
        <w:t xml:space="preserve">El índice de concordancia (Harrell's C-index) </w:t>
      </w:r>
      <w:r w:rsidR="003D505D">
        <w:fldChar w:fldCharType="begin"/>
      </w:r>
      <w:r w:rsidR="003D505D">
        <w:instrText xml:space="preserve"> ADDIN ZOTERO_ITEM CSL_CITATION {"citationID":"fqrODGFC","properties":{"unsorted":false,"formattedCitation":"(HARRELL Jr., Lee, y Mark 1996)","plainCitation":"(HARRELL Jr., Lee, y Mark 1996)","noteIndex":0},"citationItems":[{"id":160,"uris":["http://zotero.org/users/19775897/items/B5IYCVX2"],"itemData":{"id":160,"type":"article-journal","abstract":"Multivariable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rsidR="003D505D">
        <w:fldChar w:fldCharType="separate"/>
      </w:r>
      <w:r w:rsidR="003D505D" w:rsidRPr="003D505D">
        <w:rPr>
          <w:rFonts w:ascii="Calibri" w:hAnsi="Calibri" w:cs="Calibri"/>
        </w:rPr>
        <w:t>(HARRELL Jr., Lee, y Mark 1996)</w:t>
      </w:r>
      <w:r w:rsidR="003D505D">
        <w:fldChar w:fldCharType="end"/>
      </w:r>
      <w:r w:rsidR="003D505D">
        <w:t xml:space="preserve"> </w:t>
      </w:r>
      <w:r>
        <w:t>es la métrica más utilizada en la literatura para evaluar el poder discriminativo de modelos de supervivencia. Mide la probabilidad de que, dado un par de pacientes del que uno ha experimentado el evento, el modelo asigne un riesgo mayor al paciente que experimenta el evento primero. Su interpretación es análoga al área bajo la curva ROC para datos binarios: valores de 0,5 indican rendimiento aleatorio, y valores de 1,0 indican discriminación perfecta. En la práctica, los modelos publicados en cáncer de mama y pulmón reportan C-index en el rango 0,60-0,80, con los valores más elevados correspondiendo a modelos que integran múltiples modalidades de datos genómicos.</w:t>
      </w:r>
    </w:p>
    <w:p w14:paraId="642EB216" w14:textId="2286A2E8" w:rsidR="00783C55" w:rsidRDefault="00783C55" w:rsidP="00CC1AE6">
      <w:r>
        <w:t>Una limitación del C-index es que es una medida de rango que no evalúa la calibración del modelo, es decir, si las probabilidades de supervivencia predichas se corresponden cuantitativamente con las observadas. Dos modelos con el mismo C-index pueden tener calibraciones radicalmente distintas, lo que tiene implicaciones directas en su aplicación clínica. Por esta razón, el uso del C-index debe complementarse con otras métricas</w:t>
      </w:r>
      <w:r w:rsidR="003D505D">
        <w:t xml:space="preserve"> </w:t>
      </w:r>
      <w:r w:rsidR="003D505D">
        <w:fldChar w:fldCharType="begin"/>
      </w:r>
      <w:r w:rsidR="003D505D">
        <w:instrText xml:space="preserve"> ADDIN ZOTERO_ITEM CSL_CITATION {"citationID":"80jB3LjB","properties":{"unsorted":false,"formattedCitation":"(Kar et\\uc0\\u160{}al. 2023)","plainCitation":"(Kar et al. 2023)","noteIndex":0},"citationItems":[{"id":16,"uris":["http://zotero.org/users/19775897/items/HUBVQMTJ"],"itemData":{"id":16,"type":"article-journal","abstract":"Background The curative treatment for Stage I non-small cell lung cancer (NSCLC) is surgical resection. Even for Stage I patients, the probability of recurrence after curative treatment is around 20%. Methods In this retrospective study, we included 268 operated Stage I NSCLC patients between January 2008 and June 2018 to analyze the prognostic factors (pathological stage, histological type, number of sampled mediastinal lymph node stations, type of resection, SUVmax of the lesion) that may affect relapse with three different methods, Cox proportional hazard (CoxPH), random survival forest (RSF), DeepSurv, and to compare the performance of these methods with Harrell's C-index. The dataset was randomly split into two sets, training and test sets. Results In the training set, DeepSurv showed the best performance among the three models, the C-index of the training set was 0.832, followed by RSF (0.675) and CoxPH (0.672). In the test set, RSF showed the best performance among the three models, followed by DeepSurv with 0.677 and CoxPH methods with 0.625. Conclusion In conclusion, machine-learning techniques can be useful in predicting recurrence for lung cancer and guide clinicians both in choosing the adjuvant treatment options and best follow-up programs.","container-title":"Cancer Medicine","DOI":"10.1002/cam4.6479","ISSN":"2045-7634","issue":"18","language":"en","license":"© 2023 The Authors. Cancer Medicine published by John Wiley &amp; Sons Ltd.","note":"_eprint: https://onlinelibrary.wiley.com/doi/pdf/10.1002/cam4.6479","page":"19272-19278","source":"Wiley Online Library","title":"Comparison of deep learning-based recurrence-free survival with random survival forest and Cox proportional hazard models in Stage-I NSCLC patients","volume":"12","author":[{"family":"Kar","given":"İrem"},{"family":"Kocaman","given":"Gökhan"},{"family":"İbrahimov","given":"Farrukh"},{"family":"Enön","given":"Serkan"},{"family":"Coşgun","given":"Erdal"},{"family":"Elhan","given":"Atilla Halil"}],"issued":{"date-parts":[["2023"]]}}}],"schema":"https://github.com/citation-style-language/schema/raw/master/csl-citation.json"} </w:instrText>
      </w:r>
      <w:r w:rsidR="003D505D">
        <w:fldChar w:fldCharType="separate"/>
      </w:r>
      <w:r w:rsidR="003D505D" w:rsidRPr="003D505D">
        <w:rPr>
          <w:rFonts w:ascii="Calibri" w:hAnsi="Calibri" w:cs="Calibri"/>
          <w:szCs w:val="24"/>
        </w:rPr>
        <w:t>(Kar et al. 2023)</w:t>
      </w:r>
      <w:r w:rsidR="003D505D">
        <w:fldChar w:fldCharType="end"/>
      </w:r>
      <w:r>
        <w:t>.</w:t>
      </w:r>
    </w:p>
    <w:p w14:paraId="6E72EF39" w14:textId="77777777" w:rsidR="00783C55" w:rsidRPr="00F439B4" w:rsidRDefault="00783C55" w:rsidP="00F439B4">
      <w:pPr>
        <w:pStyle w:val="Ttulo3"/>
      </w:pPr>
      <w:bookmarkStart w:id="71" w:name="_Toc224681518"/>
      <w:r w:rsidRPr="00F439B4">
        <w:t>2.9.2 El Brier Score integrado</w:t>
      </w:r>
      <w:bookmarkEnd w:id="71"/>
    </w:p>
    <w:p w14:paraId="4A5059DD" w14:textId="03689717" w:rsidR="00783C55" w:rsidRDefault="00783C55" w:rsidP="008540C1">
      <w:r>
        <w:t xml:space="preserve">El Brier Score </w:t>
      </w:r>
      <w:r w:rsidR="003D505D">
        <w:fldChar w:fldCharType="begin"/>
      </w:r>
      <w:r w:rsidR="003D505D">
        <w:instrText xml:space="preserve"> ADDIN ZOTERO_ITEM CSL_CITATION {"citationID":"0cK8xIBs","properties":{"unsorted":false,"formattedCitation":"(Graf et\\uc0\\u160{}al. 1999)","plainCitation":"(Graf et al. 1999)","noteIndex":0},"citationItems":[{"id":243,"uris":["http://zotero.org/users/19775897/items/Q6X7W2GW"],"itemData":{"id":243,"type":"article-journal","abstract":"Prognostic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rsidR="003D505D">
        <w:fldChar w:fldCharType="separate"/>
      </w:r>
      <w:r w:rsidR="003D505D" w:rsidRPr="003D505D">
        <w:rPr>
          <w:rFonts w:ascii="Calibri" w:hAnsi="Calibri" w:cs="Calibri"/>
          <w:szCs w:val="24"/>
        </w:rPr>
        <w:t>(Graf et al. 1999)</w:t>
      </w:r>
      <w:r w:rsidR="003D505D">
        <w:fldChar w:fldCharType="end"/>
      </w:r>
      <w:r w:rsidR="003D505D">
        <w:t xml:space="preserve"> </w:t>
      </w:r>
      <w:r>
        <w:t>para supervivencia mide el error cuadrático medio entre la probabilidad de supervivencia predicha por el modelo y el resultado binario observado (vivo/muerto) a un tiempo t dado. El Brier Score integrado (IBS) promedia el Brier Score sobre todos los tiempos del horizonte de seguimiento, proporcionando una medida conjunta de calibración y discriminación. Un IBS de 0 indica predicción perfecta, un IBS de 0,25 corresponde al score de un modelo que asigna P(supervivencia) = 0,5 a todos los sujetos independientemente de sus características (modelo nulo). En la práctica, los modelos bien calibrados en datos oncológicos alcanzan IBS en el rango 0,15-0,22.</w:t>
      </w:r>
    </w:p>
    <w:p w14:paraId="07944C61" w14:textId="77777777" w:rsidR="00783C55" w:rsidRPr="00F439B4" w:rsidRDefault="00783C55" w:rsidP="00F439B4">
      <w:pPr>
        <w:pStyle w:val="Ttulo3"/>
      </w:pPr>
      <w:bookmarkStart w:id="72" w:name="_Toc224681519"/>
      <w:r w:rsidRPr="00F439B4">
        <w:t>2.9.3 El test de log-rank y la estratificación de riesgo</w:t>
      </w:r>
      <w:bookmarkEnd w:id="72"/>
    </w:p>
    <w:p w14:paraId="5F42D797" w14:textId="03460F4A" w:rsidR="00783C55" w:rsidRDefault="00783C55" w:rsidP="008540C1">
      <w:r>
        <w:t xml:space="preserve">El test de log-rank </w:t>
      </w:r>
      <w:r w:rsidR="00F41A5B">
        <w:fldChar w:fldCharType="begin"/>
      </w:r>
      <w:r w:rsidR="00F41A5B">
        <w:instrText xml:space="preserve"> ADDIN ZOTERO_ITEM CSL_CITATION {"citationID":"zTAVTlrZ","properties":{"unsorted":false,"formattedCitation":"(Baum y Henderson 2004)","plainCitation":"(Baum y Henderson 2004)","noteIndex":0},"citationItems":[{"id":248,"uris":["http://zotero.org/users/19775897/items/R4DP3GGX"],"itemData":{"id":248,"type":"chapter","abstract":"The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rsidR="00F41A5B">
        <w:fldChar w:fldCharType="separate"/>
      </w:r>
      <w:r w:rsidR="00F41A5B" w:rsidRPr="00F41A5B">
        <w:rPr>
          <w:rFonts w:ascii="Calibri" w:hAnsi="Calibri" w:cs="Calibri"/>
        </w:rPr>
        <w:t>(Baum y Henderson 2004)</w:t>
      </w:r>
      <w:r w:rsidR="00F41A5B">
        <w:fldChar w:fldCharType="end"/>
      </w:r>
      <w:r w:rsidR="00F41A5B">
        <w:t xml:space="preserve"> </w:t>
      </w:r>
      <w:r>
        <w:t>es el test estadístico estándar para comparar curvas de supervivencia entre grupos. En el contexto de los modelos predictivos, se utiliza habitualmente para evaluar si la estratificación de los pacientes en grupos de riesgo (alto vs. bajo, basada en el score de riesgo del modelo) resulta en diferencias de supervivencia estadísticamente significativas. Esta evaluación complementa las métricas continuas (C-index, IBS) con una evaluación categórica de la utilidad clínica del modelo para estratificar pacientes.</w:t>
      </w:r>
    </w:p>
    <w:p w14:paraId="5DAAE7E3" w14:textId="77777777" w:rsidR="00B2586F" w:rsidRPr="00F439B4" w:rsidRDefault="00B2586F" w:rsidP="00F439B4">
      <w:pPr>
        <w:pStyle w:val="Ttulo2"/>
      </w:pPr>
      <w:bookmarkStart w:id="73" w:name="_Toc224681520"/>
      <w:r w:rsidRPr="00F439B4">
        <w:t>2.10 Síntesis comparativa y brechas de conocimiento</w:t>
      </w:r>
      <w:bookmarkEnd w:id="73"/>
    </w:p>
    <w:p w14:paraId="008EE076" w14:textId="77777777" w:rsidR="00B2586F" w:rsidRPr="00F439B4" w:rsidRDefault="00B2586F" w:rsidP="00F439B4">
      <w:pPr>
        <w:pStyle w:val="Ttulo3"/>
      </w:pPr>
      <w:bookmarkStart w:id="74" w:name="_Toc224681521"/>
      <w:r w:rsidRPr="00F439B4">
        <w:t>2.10.1 Comparativa de C-index por familia metodológica</w:t>
      </w:r>
      <w:bookmarkEnd w:id="74"/>
    </w:p>
    <w:p w14:paraId="0445BF0D" w14:textId="5803E55E" w:rsidR="00B2586F" w:rsidRDefault="00B2586F" w:rsidP="008540C1">
      <w:r>
        <w:t xml:space="preserve">La </w:t>
      </w:r>
      <w:r w:rsidR="008540C1">
        <w:t>f</w:t>
      </w:r>
      <w:r>
        <w:t>igura 3 resume los rangos de C-index reportados en la literatura para cada familia metodológica, evidenciando la progresión desde los modelos clásicos hasta los enfoques de aprendizaje profundo. Los valores corresponden a estudios sobre datos de cáncer de mama y pulmón de TCGA y/o METABRIC, tal como se cita a lo largo del capítulo.</w:t>
      </w:r>
    </w:p>
    <w:p w14:paraId="02BF0156" w14:textId="77777777" w:rsidR="00B2586F" w:rsidRDefault="00B2586F" w:rsidP="00B2586F">
      <w:pPr>
        <w:spacing w:after="80"/>
      </w:pPr>
    </w:p>
    <w:p w14:paraId="74A2F446" w14:textId="77777777" w:rsidR="00B2586F" w:rsidRDefault="00B2586F" w:rsidP="00B2586F">
      <w:pPr>
        <w:spacing w:after="80"/>
        <w:jc w:val="center"/>
      </w:pPr>
      <w:r>
        <w:rPr>
          <w:noProof/>
        </w:rPr>
        <w:lastRenderedPageBreak/>
        <w:drawing>
          <wp:inline distT="0" distB="0" distL="0" distR="0" wp14:anchorId="08015E05" wp14:editId="3780983E">
            <wp:extent cx="5143500" cy="2571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571750"/>
                    </a:xfrm>
                    <a:prstGeom prst="rect">
                      <a:avLst/>
                    </a:prstGeom>
                  </pic:spPr>
                </pic:pic>
              </a:graphicData>
            </a:graphic>
          </wp:inline>
        </w:drawing>
      </w:r>
    </w:p>
    <w:p w14:paraId="43C74EF8" w14:textId="1CEEA258" w:rsidR="00F439B4" w:rsidRDefault="00F439B4" w:rsidP="00F439B4">
      <w:pPr>
        <w:pStyle w:val="Descripcin"/>
        <w:rPr>
          <w:rFonts w:ascii="Arial" w:hAnsi="Arial"/>
          <w:b/>
          <w:bCs/>
          <w:i w:val="0"/>
          <w:iCs w:val="0"/>
          <w:color w:val="1F3864"/>
          <w:sz w:val="19"/>
          <w:szCs w:val="19"/>
        </w:rPr>
      </w:pPr>
      <w:bookmarkStart w:id="75" w:name="_Toc224681477"/>
      <w:r w:rsidRPr="00F439B4">
        <w:rPr>
          <w:b/>
          <w:bCs/>
        </w:rPr>
        <w:t xml:space="preserve">Figura </w:t>
      </w:r>
      <w:r w:rsidRPr="00F439B4">
        <w:rPr>
          <w:b/>
          <w:bCs/>
        </w:rPr>
        <w:fldChar w:fldCharType="begin"/>
      </w:r>
      <w:r w:rsidRPr="00F439B4">
        <w:rPr>
          <w:b/>
          <w:bCs/>
        </w:rPr>
        <w:instrText xml:space="preserve"> SEQ Figura \* ARABIC </w:instrText>
      </w:r>
      <w:r w:rsidRPr="00F439B4">
        <w:rPr>
          <w:b/>
          <w:bCs/>
        </w:rPr>
        <w:fldChar w:fldCharType="separate"/>
      </w:r>
      <w:r w:rsidRPr="00F439B4">
        <w:rPr>
          <w:b/>
          <w:bCs/>
          <w:noProof/>
        </w:rPr>
        <w:t>3</w:t>
      </w:r>
      <w:r w:rsidRPr="00F439B4">
        <w:rPr>
          <w:b/>
          <w:bCs/>
        </w:rPr>
        <w:fldChar w:fldCharType="end"/>
      </w:r>
      <w:r w:rsidRPr="00F439B4">
        <w:rPr>
          <w:b/>
          <w:bCs/>
        </w:rPr>
        <w:t>.</w:t>
      </w:r>
      <w:r>
        <w:t xml:space="preserve"> </w:t>
      </w:r>
      <w:r w:rsidRPr="002C76A2">
        <w:t>Rangos de C-index reportados en la literatura por familia metodológica para modelos de supervivencia aplicados a cáncer de mama y pulmón sobre TCGA y/o METABRIC. Las barras muestran el valor medio y las líneas de error el rango mínimo-máximo reportado</w:t>
      </w:r>
      <w:r>
        <w:t xml:space="preserve"> en los estudios revisados. La línea roja discontinua marca el nivel de rendimiento aleatorio (C-index =0.50).</w:t>
      </w:r>
      <w:bookmarkEnd w:id="75"/>
      <w:r>
        <w:t xml:space="preserve"> </w:t>
      </w:r>
    </w:p>
    <w:p w14:paraId="6065F8FD" w14:textId="77777777" w:rsidR="00B2586F" w:rsidRPr="00F439B4" w:rsidRDefault="00B2586F" w:rsidP="00F439B4">
      <w:pPr>
        <w:pStyle w:val="Ttulo3"/>
      </w:pPr>
      <w:bookmarkStart w:id="76" w:name="_Toc224681522"/>
      <w:r w:rsidRPr="00F439B4">
        <w:t>2.10.2 Cuadro resumen global de metodologías y líneas de trabajo</w:t>
      </w:r>
      <w:bookmarkEnd w:id="76"/>
    </w:p>
    <w:p w14:paraId="430DF4C6" w14:textId="77777777" w:rsidR="00B2586F" w:rsidRDefault="00B2586F" w:rsidP="008540C1">
      <w:r>
        <w:t>La Tabla 3 sintetiza, en una única vista transversal, las principales técnicas y líneas de trabajo analizadas a lo largo del capítulo, junto con sus características metodológicas y su relevancia específica para el diseño del presente TFM.</w:t>
      </w:r>
    </w:p>
    <w:p w14:paraId="09743B3B" w14:textId="77777777" w:rsidR="00B2586F" w:rsidRDefault="00B2586F" w:rsidP="00B2586F">
      <w:pPr>
        <w:spacing w:after="80"/>
      </w:pPr>
    </w:p>
    <w:p w14:paraId="4B10FE1B" w14:textId="77777777" w:rsidR="00B2586F" w:rsidRDefault="00B2586F" w:rsidP="00B2586F">
      <w:pPr>
        <w:spacing w:before="100" w:after="100"/>
      </w:pPr>
      <w:r>
        <w:rPr>
          <w:rFonts w:ascii="Arial" w:hAnsi="Arial"/>
          <w:b/>
          <w:bCs/>
          <w:i/>
          <w:iCs/>
          <w:color w:val="1F3864"/>
          <w:sz w:val="19"/>
          <w:szCs w:val="19"/>
        </w:rPr>
        <w:t xml:space="preserve">Tabla 3: </w:t>
      </w:r>
      <w:r>
        <w:rPr>
          <w:rFonts w:ascii="Arial" w:hAnsi="Arial"/>
          <w:i/>
          <w:iCs/>
          <w:color w:val="444444"/>
          <w:sz w:val="19"/>
          <w:szCs w:val="19"/>
        </w:rPr>
        <w:t>Cuadro resumen de las técnicas y líneas de investigación analizadas en el Capítulo 2: características metodológicas, referencias fundacionales y relevancia para el TFM.</w:t>
      </w:r>
    </w:p>
    <w:tbl>
      <w:tblPr>
        <w:tblW w:w="78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1"/>
        <w:gridCol w:w="1271"/>
        <w:gridCol w:w="1251"/>
        <w:gridCol w:w="1191"/>
        <w:gridCol w:w="1511"/>
        <w:gridCol w:w="1301"/>
      </w:tblGrid>
      <w:tr w:rsidR="00F41A5B" w14:paraId="48684E9E" w14:textId="77777777" w:rsidTr="003B3426">
        <w:tc>
          <w:tcPr>
            <w:tcW w:w="140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5F12A12" w14:textId="77777777" w:rsidR="00F41A5B" w:rsidRDefault="00F41A5B" w:rsidP="00E92B14">
            <w:pPr>
              <w:jc w:val="center"/>
            </w:pPr>
            <w:r>
              <w:rPr>
                <w:rFonts w:ascii="Arial" w:hAnsi="Arial"/>
                <w:b/>
                <w:bCs/>
                <w:color w:val="FFFFFF"/>
                <w:sz w:val="18"/>
                <w:szCs w:val="18"/>
              </w:rPr>
              <w:t>Técnica / Línea</w:t>
            </w:r>
          </w:p>
        </w:tc>
        <w:tc>
          <w:tcPr>
            <w:tcW w:w="127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FE7F3B1" w14:textId="77777777" w:rsidR="00F41A5B" w:rsidRDefault="00F41A5B" w:rsidP="00E92B14">
            <w:pPr>
              <w:jc w:val="center"/>
            </w:pPr>
            <w:r>
              <w:rPr>
                <w:rFonts w:ascii="Arial" w:hAnsi="Arial"/>
                <w:b/>
                <w:bCs/>
                <w:color w:val="FFFFFF"/>
                <w:sz w:val="18"/>
                <w:szCs w:val="18"/>
              </w:rPr>
              <w:t>Eje temático</w:t>
            </w:r>
          </w:p>
        </w:tc>
        <w:tc>
          <w:tcPr>
            <w:tcW w:w="1133"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07CB082" w14:textId="77777777" w:rsidR="00F41A5B" w:rsidRDefault="00F41A5B" w:rsidP="00E92B14">
            <w:pPr>
              <w:jc w:val="center"/>
            </w:pPr>
            <w:r>
              <w:rPr>
                <w:rFonts w:ascii="Arial" w:hAnsi="Arial"/>
                <w:b/>
                <w:bCs/>
                <w:color w:val="FFFFFF"/>
                <w:sz w:val="18"/>
                <w:szCs w:val="18"/>
              </w:rPr>
              <w:t>Referencia clave</w:t>
            </w:r>
          </w:p>
        </w:tc>
        <w:tc>
          <w:tcPr>
            <w:tcW w:w="119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A1FC8A6" w14:textId="77777777" w:rsidR="00F41A5B" w:rsidRDefault="00F41A5B" w:rsidP="00E92B14">
            <w:pPr>
              <w:jc w:val="center"/>
            </w:pPr>
            <w:r>
              <w:rPr>
                <w:rFonts w:ascii="Arial" w:hAnsi="Arial"/>
                <w:b/>
                <w:bCs/>
                <w:color w:val="FFFFFF"/>
                <w:sz w:val="18"/>
                <w:szCs w:val="18"/>
              </w:rPr>
              <w:t>Interpretab.</w:t>
            </w:r>
          </w:p>
        </w:tc>
        <w:tc>
          <w:tcPr>
            <w:tcW w:w="151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3E7CCA3" w14:textId="77777777" w:rsidR="00F41A5B" w:rsidRDefault="00F41A5B" w:rsidP="00E92B14">
            <w:pPr>
              <w:jc w:val="center"/>
            </w:pPr>
            <w:r>
              <w:rPr>
                <w:rFonts w:ascii="Arial" w:hAnsi="Arial"/>
                <w:b/>
                <w:bCs/>
                <w:color w:val="FFFFFF"/>
                <w:sz w:val="18"/>
                <w:szCs w:val="18"/>
              </w:rPr>
              <w:t>Limitación principal</w:t>
            </w:r>
          </w:p>
        </w:tc>
        <w:tc>
          <w:tcPr>
            <w:tcW w:w="130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4EA26E25" w14:textId="77777777" w:rsidR="00F41A5B" w:rsidRDefault="00F41A5B" w:rsidP="00E92B14">
            <w:pPr>
              <w:jc w:val="center"/>
            </w:pPr>
            <w:r>
              <w:rPr>
                <w:rFonts w:ascii="Arial" w:hAnsi="Arial"/>
                <w:b/>
                <w:bCs/>
                <w:color w:val="FFFFFF"/>
                <w:sz w:val="18"/>
                <w:szCs w:val="18"/>
              </w:rPr>
              <w:t>Relevancia TFM</w:t>
            </w:r>
          </w:p>
        </w:tc>
      </w:tr>
      <w:tr w:rsidR="00F41A5B" w14:paraId="716478E1"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649CE0AF" w14:textId="77777777" w:rsidR="00F41A5B" w:rsidRDefault="00F41A5B" w:rsidP="00E92B14">
            <w:pPr>
              <w:jc w:val="center"/>
            </w:pPr>
            <w:r>
              <w:rPr>
                <w:rFonts w:ascii="Arial" w:hAnsi="Arial"/>
                <w:b/>
                <w:bCs/>
                <w:color w:val="1F3864"/>
                <w:sz w:val="18"/>
                <w:szCs w:val="18"/>
              </w:rPr>
              <w:t>Métodos clásicos de supervivencia</w:t>
            </w:r>
          </w:p>
        </w:tc>
      </w:tr>
      <w:tr w:rsidR="00F41A5B" w14:paraId="3FD9B4CF"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67E51BD" w14:textId="77777777" w:rsidR="00F41A5B" w:rsidRDefault="00F41A5B" w:rsidP="00E92B14">
            <w:r>
              <w:rPr>
                <w:rFonts w:ascii="Arial" w:hAnsi="Arial"/>
                <w:b/>
                <w:bCs/>
                <w:sz w:val="18"/>
                <w:szCs w:val="18"/>
              </w:rPr>
              <w:t>Kaplan-Meier</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7129F32"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0720B59" w14:textId="49255A9D" w:rsidR="00F41A5B" w:rsidRDefault="003B3426" w:rsidP="00E92B14">
            <w:r>
              <w:rPr>
                <w:rFonts w:ascii="Arial" w:hAnsi="Arial"/>
                <w:sz w:val="18"/>
                <w:szCs w:val="18"/>
              </w:rPr>
              <w:fldChar w:fldCharType="begin"/>
            </w:r>
            <w:r w:rsidR="00FB5CA7">
              <w:rPr>
                <w:rFonts w:ascii="Arial" w:hAnsi="Arial"/>
                <w:sz w:val="18"/>
                <w:szCs w:val="18"/>
              </w:rPr>
              <w:instrText xml:space="preserve"> ADDIN ZOTERO_ITEM CSL_CITATION {"citationID":"HmIvxpGi","properties":{"unsorted":false,"formattedCitation":"(Kaplan y Meier 1958)","plainCitation":"(Kaplan y Meier 1958)","dontUpdate":true,"noteIndex":0},"citationItems":[{"id":170,"uris":["http://zotero.org/users/19775897/items/DTR7ZIEV"],"itemData":{"id":170,"type":"article-journal","abstract":"In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Pr>
                <w:rFonts w:ascii="Arial" w:hAnsi="Arial"/>
                <w:sz w:val="18"/>
                <w:szCs w:val="18"/>
              </w:rPr>
              <w:fldChar w:fldCharType="separate"/>
            </w:r>
            <w:r w:rsidRPr="003B3426">
              <w:rPr>
                <w:rFonts w:ascii="Calibri" w:hAnsi="Calibri" w:cs="Calibri"/>
                <w:sz w:val="18"/>
              </w:rPr>
              <w:t xml:space="preserve">Kaplan y Meier </w:t>
            </w:r>
            <w:r>
              <w:rPr>
                <w:rFonts w:ascii="Calibri" w:hAnsi="Calibri" w:cs="Calibri"/>
                <w:sz w:val="18"/>
              </w:rPr>
              <w:t>(</w:t>
            </w:r>
            <w:r w:rsidRPr="003B3426">
              <w:rPr>
                <w:rFonts w:ascii="Calibri" w:hAnsi="Calibri" w:cs="Calibri"/>
                <w:sz w:val="18"/>
              </w:rPr>
              <w:t>1958)</w:t>
            </w:r>
            <w:r>
              <w:rPr>
                <w:rFonts w:ascii="Arial" w:hAnsi="Arial"/>
                <w:sz w:val="18"/>
                <w:szCs w:val="18"/>
              </w:rP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A06103E" w14:textId="77777777" w:rsidR="00F41A5B" w:rsidRDefault="00F41A5B" w:rsidP="00E92B14">
            <w:r>
              <w:rPr>
                <w:rFonts w:ascii="Arial" w:hAnsi="Arial"/>
                <w:sz w:val="18"/>
                <w:szCs w:val="18"/>
              </w:rPr>
              <w:t>Muy alta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67789C7" w14:textId="77777777" w:rsidR="00F41A5B" w:rsidRDefault="00F41A5B" w:rsidP="00E92B14">
            <w:r>
              <w:rPr>
                <w:rFonts w:ascii="Arial" w:hAnsi="Arial"/>
                <w:sz w:val="18"/>
                <w:szCs w:val="18"/>
              </w:rPr>
              <w:t>No multivariable; no predictivo</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2ED9780" w14:textId="77777777" w:rsidR="00F41A5B" w:rsidRDefault="00F41A5B" w:rsidP="00E92B14">
            <w:r>
              <w:rPr>
                <w:rFonts w:ascii="Arial" w:hAnsi="Arial"/>
                <w:sz w:val="18"/>
                <w:szCs w:val="18"/>
              </w:rPr>
              <w:t>Baseline descriptivo</w:t>
            </w:r>
          </w:p>
        </w:tc>
      </w:tr>
      <w:tr w:rsidR="00F41A5B" w14:paraId="74E635B4"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1DFA4297" w14:textId="77777777" w:rsidR="00F41A5B" w:rsidRDefault="00F41A5B" w:rsidP="00E92B14">
            <w:r>
              <w:rPr>
                <w:rFonts w:ascii="Arial" w:hAnsi="Arial"/>
                <w:b/>
                <w:bCs/>
                <w:sz w:val="18"/>
                <w:szCs w:val="18"/>
              </w:rPr>
              <w:t>Cox proporcional</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4D96915"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3A11662" w14:textId="04D02757" w:rsidR="00F41A5B" w:rsidRDefault="003B3426" w:rsidP="00E92B14">
            <w:r>
              <w:fldChar w:fldCharType="begin"/>
            </w:r>
            <w:r w:rsidR="00FB5CA7">
              <w:instrText xml:space="preserve"> ADDIN ZOTERO_ITEM CSL_CITATION {"citationID":"BcP59aMA","properties":{"unsorted":false,"formattedCitation":"(Cox 1972)","plainCitation":"(Cox 1972)","dontUpdate":true,"noteIndex":0},"citationItems":[{"id":67,"uris":["http://zotero.org/users/19775897/items/EQ2QEUXM"],"itemData":{"id":67,"type":"article-journal","abstract":"The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fldChar w:fldCharType="separate"/>
            </w:r>
            <w:r w:rsidRPr="003B3426">
              <w:rPr>
                <w:rFonts w:ascii="Calibri" w:hAnsi="Calibri" w:cs="Calibri"/>
              </w:rPr>
              <w:t xml:space="preserve">Cox </w:t>
            </w:r>
            <w:r>
              <w:rPr>
                <w:rFonts w:ascii="Calibri" w:hAnsi="Calibri" w:cs="Calibri"/>
              </w:rPr>
              <w:t>(</w:t>
            </w:r>
            <w:r w:rsidRPr="003B3426">
              <w:rPr>
                <w:rFonts w:ascii="Calibri" w:hAnsi="Calibri" w:cs="Calibri"/>
              </w:rPr>
              <w:t>1972)</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ADCBD3"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6C9B5AF" w14:textId="77777777" w:rsidR="00F41A5B" w:rsidRDefault="00F41A5B" w:rsidP="00E92B14">
            <w:r>
              <w:rPr>
                <w:rFonts w:ascii="Arial" w:hAnsi="Arial"/>
                <w:sz w:val="18"/>
                <w:szCs w:val="18"/>
              </w:rPr>
              <w:t>No aplica cuando p &gt;&gt; n; asume proporcionalidad</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34BFAED" w14:textId="77777777" w:rsidR="00F41A5B" w:rsidRDefault="00F41A5B" w:rsidP="00E92B14">
            <w:r>
              <w:rPr>
                <w:rFonts w:ascii="Arial" w:hAnsi="Arial"/>
                <w:sz w:val="18"/>
                <w:szCs w:val="18"/>
              </w:rPr>
              <w:t>Modelo referencia</w:t>
            </w:r>
          </w:p>
        </w:tc>
      </w:tr>
      <w:tr w:rsidR="00F41A5B" w14:paraId="3B28BFC0"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EA731E7" w14:textId="77777777" w:rsidR="00F41A5B" w:rsidRDefault="00F41A5B" w:rsidP="00E92B14">
            <w:r>
              <w:rPr>
                <w:rFonts w:ascii="Arial" w:hAnsi="Arial"/>
                <w:b/>
                <w:bCs/>
                <w:sz w:val="18"/>
                <w:szCs w:val="18"/>
              </w:rPr>
              <w:t>Cox LASSO</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F3239F8"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E6AAC6" w14:textId="172D15BE" w:rsidR="00F41A5B" w:rsidRDefault="003B3426" w:rsidP="00E92B14">
            <w:r>
              <w:fldChar w:fldCharType="begin"/>
            </w:r>
            <w:r w:rsidR="00FB5CA7">
              <w:instrText xml:space="preserve"> ADDIN ZOTERO_ITEM CSL_CITATION {"citationID":"V4wKYhd8","properties":{"unsorted":false,"formattedCitation":"(Tibshirani 1997)","plainCitation":"(Tibshirani 1997)","dontUpdate":true,"noteIndex":0},"citationItems":[{"id":73,"uris":["http://zotero.org/users/19775897/items/X3VBJF4Z"],"itemData":{"id":73,"type":"article-journal","abstract":"I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fldChar w:fldCharType="separate"/>
            </w:r>
            <w:r w:rsidRPr="003B3426">
              <w:rPr>
                <w:rFonts w:ascii="Calibri" w:hAnsi="Calibri" w:cs="Calibri"/>
              </w:rPr>
              <w:t xml:space="preserve">Tibshirani </w:t>
            </w:r>
            <w:r>
              <w:rPr>
                <w:rFonts w:ascii="Calibri" w:hAnsi="Calibri" w:cs="Calibri"/>
              </w:rPr>
              <w:t>(</w:t>
            </w:r>
            <w:r w:rsidRPr="003B3426">
              <w:rPr>
                <w:rFonts w:ascii="Calibri" w:hAnsi="Calibri" w:cs="Calibri"/>
              </w:rPr>
              <w:t>1997)</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CF59F2" w14:textId="77777777" w:rsidR="00F41A5B" w:rsidRDefault="00F41A5B" w:rsidP="00E92B14">
            <w:r>
              <w:rPr>
                <w:rFonts w:ascii="Arial" w:hAnsi="Arial"/>
                <w:sz w:val="18"/>
                <w:szCs w:val="18"/>
              </w:rPr>
              <w:t>Media-Alta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BA28D2" w14:textId="77777777" w:rsidR="00F41A5B" w:rsidRDefault="00F41A5B" w:rsidP="00E92B14">
            <w:r>
              <w:rPr>
                <w:rFonts w:ascii="Arial" w:hAnsi="Arial"/>
                <w:sz w:val="18"/>
                <w:szCs w:val="18"/>
              </w:rPr>
              <w:t>Asume linealidad; una sola variable por grupo colineal</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4BCD448" w14:textId="77777777" w:rsidR="00F41A5B" w:rsidRDefault="00F41A5B" w:rsidP="00E92B14">
            <w:r>
              <w:rPr>
                <w:rFonts w:ascii="Arial" w:hAnsi="Arial"/>
                <w:sz w:val="18"/>
                <w:szCs w:val="18"/>
              </w:rPr>
              <w:t>Modelo referencia penalizado</w:t>
            </w:r>
          </w:p>
        </w:tc>
      </w:tr>
      <w:tr w:rsidR="00F41A5B" w14:paraId="2C39D66E"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550EA50" w14:textId="77777777" w:rsidR="00F41A5B" w:rsidRDefault="00F41A5B" w:rsidP="00E92B14">
            <w:pPr>
              <w:jc w:val="center"/>
            </w:pPr>
            <w:r>
              <w:rPr>
                <w:rFonts w:ascii="Arial" w:hAnsi="Arial"/>
                <w:b/>
                <w:bCs/>
                <w:color w:val="375623"/>
                <w:sz w:val="18"/>
                <w:szCs w:val="18"/>
              </w:rPr>
              <w:t>Machine Learning para supervivencia</w:t>
            </w:r>
          </w:p>
        </w:tc>
      </w:tr>
      <w:tr w:rsidR="00F41A5B" w14:paraId="45CA0D61"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1E40BDC" w14:textId="77777777" w:rsidR="00F41A5B" w:rsidRDefault="00F41A5B" w:rsidP="00E92B14">
            <w:r>
              <w:rPr>
                <w:rFonts w:ascii="Arial" w:hAnsi="Arial"/>
                <w:b/>
                <w:bCs/>
                <w:sz w:val="18"/>
                <w:szCs w:val="18"/>
              </w:rPr>
              <w:lastRenderedPageBreak/>
              <w:t>Random Survival Forest</w:t>
            </w:r>
          </w:p>
        </w:tc>
        <w:tc>
          <w:tcPr>
            <w:tcW w:w="127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A7BEDA" w14:textId="77777777" w:rsidR="00F41A5B" w:rsidRDefault="00F41A5B" w:rsidP="00E92B14">
            <w:r>
              <w:rPr>
                <w:rFonts w:ascii="Arial" w:hAnsi="Arial"/>
                <w:sz w:val="18"/>
                <w:szCs w:val="18"/>
              </w:rPr>
              <w:t>ML (ensemble)</w:t>
            </w:r>
          </w:p>
        </w:tc>
        <w:tc>
          <w:tcPr>
            <w:tcW w:w="1133"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251996C" w14:textId="2D88BF2F" w:rsidR="00F41A5B" w:rsidRDefault="003B3426" w:rsidP="00E92B14">
            <w:r>
              <w:fldChar w:fldCharType="begin"/>
            </w:r>
            <w:r w:rsidR="00FB5CA7">
              <w:instrText xml:space="preserve"> ADDIN ZOTERO_ITEM CSL_CITATION {"citationID":"tPNsFKMv","properties":{"unsorted":false,"formattedCitation":"(Ishwaran et\\uc0\\u160{}al. 2008)","plainCitation":"(Ishwaran et al. 2008)","dontUpdate":true,"noteIndex":0},"citationItems":[{"id":83,"uris":["http://zotero.org/users/19775897/items/SATSKVD7"],"itemData":{"id":83,"type":"article-journal","abstract":"We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fldChar w:fldCharType="separate"/>
            </w:r>
            <w:r w:rsidRPr="003B3426">
              <w:rPr>
                <w:rFonts w:ascii="Calibri" w:hAnsi="Calibri" w:cs="Calibri"/>
                <w:szCs w:val="24"/>
              </w:rPr>
              <w:t xml:space="preserve">Ishwaran et al. </w:t>
            </w:r>
            <w:r>
              <w:rPr>
                <w:rFonts w:ascii="Calibri" w:hAnsi="Calibri" w:cs="Calibri"/>
                <w:szCs w:val="24"/>
              </w:rPr>
              <w:t>(</w:t>
            </w:r>
            <w:r w:rsidRPr="003B3426">
              <w:rPr>
                <w:rFonts w:ascii="Calibri" w:hAnsi="Calibri" w:cs="Calibri"/>
                <w:szCs w:val="24"/>
              </w:rPr>
              <w:t>2008)</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0B21B5" w14:textId="77777777" w:rsidR="00F41A5B" w:rsidRDefault="00F41A5B" w:rsidP="00E92B14">
            <w:r>
              <w:rPr>
                <w:rFonts w:ascii="Arial" w:hAnsi="Arial"/>
                <w:sz w:val="18"/>
                <w:szCs w:val="18"/>
              </w:rPr>
              <w:t>Media (VIMP)</w:t>
            </w:r>
          </w:p>
        </w:tc>
        <w:tc>
          <w:tcPr>
            <w:tcW w:w="151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AC4765F" w14:textId="77777777" w:rsidR="00F41A5B" w:rsidRDefault="00F41A5B" w:rsidP="00E92B14">
            <w:r>
              <w:rPr>
                <w:rFonts w:ascii="Arial" w:hAnsi="Arial"/>
                <w:sz w:val="18"/>
                <w:szCs w:val="18"/>
              </w:rPr>
              <w:t>Coste comp. alto; n mínimo recomendado ~300</w:t>
            </w:r>
          </w:p>
        </w:tc>
        <w:tc>
          <w:tcPr>
            <w:tcW w:w="13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DFE09C7" w14:textId="77777777" w:rsidR="00F41A5B" w:rsidRDefault="00F41A5B" w:rsidP="00E92B14">
            <w:r>
              <w:rPr>
                <w:rFonts w:ascii="Arial" w:hAnsi="Arial"/>
                <w:sz w:val="18"/>
                <w:szCs w:val="18"/>
              </w:rPr>
              <w:t>Modelo ML principal</w:t>
            </w:r>
          </w:p>
        </w:tc>
      </w:tr>
      <w:tr w:rsidR="00F41A5B" w14:paraId="6BCEF310"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3702644" w14:textId="77777777" w:rsidR="00F41A5B" w:rsidRDefault="00F41A5B" w:rsidP="00E92B14">
            <w:r>
              <w:rPr>
                <w:rFonts w:ascii="Arial" w:hAnsi="Arial"/>
                <w:b/>
                <w:bCs/>
                <w:sz w:val="18"/>
                <w:szCs w:val="18"/>
              </w:rPr>
              <w:t>Gradient Boosting</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078EB5A" w14:textId="77777777" w:rsidR="00F41A5B" w:rsidRDefault="00F41A5B" w:rsidP="00E92B14">
            <w:r>
              <w:rPr>
                <w:rFonts w:ascii="Arial" w:hAnsi="Arial"/>
                <w:sz w:val="18"/>
                <w:szCs w:val="18"/>
              </w:rPr>
              <w:t>ML (ensemble)</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9E99DDC" w14:textId="2AC307E5" w:rsidR="00F41A5B" w:rsidRDefault="003B3426" w:rsidP="00E92B14">
            <w:r>
              <w:fldChar w:fldCharType="begin"/>
            </w:r>
            <w:r w:rsidR="00FB5CA7">
              <w:instrText xml:space="preserve"> ADDIN ZOTERO_ITEM CSL_CITATION {"citationID":"XMv8SBHc","properties":{"unsorted":false,"formattedCitation":"(Chen et\\uc0\\u160{}al. 2013)","plainCitation":"(Chen et al. 2013)","dontUpdate":true,"noteIndex":0},"citationItems":[{"id":179,"uris":["http://zotero.org/users/19775897/items/BPIPA5QS"],"itemData":{"id":179,"type":"article-journal","abstract":"Survival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fldChar w:fldCharType="separate"/>
            </w:r>
            <w:r w:rsidRPr="003B3426">
              <w:rPr>
                <w:rFonts w:ascii="Calibri" w:hAnsi="Calibri" w:cs="Calibri"/>
                <w:szCs w:val="24"/>
              </w:rPr>
              <w:t xml:space="preserve">Chen et al. </w:t>
            </w:r>
            <w:r>
              <w:rPr>
                <w:rFonts w:ascii="Calibri" w:hAnsi="Calibri" w:cs="Calibri"/>
                <w:szCs w:val="24"/>
              </w:rPr>
              <w:t>(</w:t>
            </w:r>
            <w:r w:rsidRPr="003B3426">
              <w:rPr>
                <w:rFonts w:ascii="Calibri" w:hAnsi="Calibri" w:cs="Calibri"/>
                <w:szCs w:val="24"/>
              </w:rPr>
              <w:t>2013)</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748CF34" w14:textId="77777777" w:rsidR="00F41A5B" w:rsidRDefault="00F41A5B" w:rsidP="00E92B14">
            <w:r>
              <w:rPr>
                <w:rFonts w:ascii="Arial" w:hAnsi="Arial"/>
                <w:sz w:val="18"/>
                <w:szCs w:val="18"/>
              </w:rPr>
              <w:t>Media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D5F82B3" w14:textId="77777777" w:rsidR="00F41A5B" w:rsidRDefault="00F41A5B" w:rsidP="00E92B14">
            <w:r>
              <w:rPr>
                <w:rFonts w:ascii="Arial" w:hAnsi="Arial"/>
                <w:sz w:val="18"/>
                <w:szCs w:val="18"/>
              </w:rPr>
              <w:t>Menor adopción en genómica; sensible a outliers</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25DE52" w14:textId="77777777" w:rsidR="00F41A5B" w:rsidRDefault="00F41A5B" w:rsidP="00E92B14">
            <w:r>
              <w:rPr>
                <w:rFonts w:ascii="Arial" w:hAnsi="Arial"/>
                <w:sz w:val="18"/>
                <w:szCs w:val="18"/>
              </w:rPr>
              <w:t>Referencia comparativa</w:t>
            </w:r>
          </w:p>
        </w:tc>
      </w:tr>
      <w:tr w:rsidR="00F41A5B" w14:paraId="38DC6825"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D4F8FA4" w14:textId="77777777" w:rsidR="00F41A5B" w:rsidRDefault="00F41A5B" w:rsidP="00E92B14">
            <w:r>
              <w:rPr>
                <w:rFonts w:ascii="Arial" w:hAnsi="Arial"/>
                <w:b/>
                <w:bCs/>
                <w:sz w:val="18"/>
                <w:szCs w:val="18"/>
              </w:rPr>
              <w:t>Survival SVM</w:t>
            </w:r>
          </w:p>
        </w:tc>
        <w:tc>
          <w:tcPr>
            <w:tcW w:w="127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04676E5" w14:textId="77777777" w:rsidR="00F41A5B" w:rsidRDefault="00F41A5B" w:rsidP="00E92B14">
            <w:r>
              <w:rPr>
                <w:rFonts w:ascii="Arial" w:hAnsi="Arial"/>
                <w:sz w:val="18"/>
                <w:szCs w:val="18"/>
              </w:rPr>
              <w:t>ML (kernel)</w:t>
            </w:r>
          </w:p>
        </w:tc>
        <w:tc>
          <w:tcPr>
            <w:tcW w:w="1133"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A4C13D2" w14:textId="5FBC8AD7" w:rsidR="00F41A5B" w:rsidRDefault="003B3426" w:rsidP="00E92B14">
            <w:r>
              <w:rPr>
                <w:rFonts w:ascii="Arial" w:hAnsi="Arial"/>
                <w:sz w:val="18"/>
                <w:szCs w:val="18"/>
              </w:rPr>
              <w:fldChar w:fldCharType="begin"/>
            </w:r>
            <w:r w:rsidR="00FB5CA7">
              <w:rPr>
                <w:rFonts w:ascii="Arial" w:hAnsi="Arial"/>
                <w:sz w:val="18"/>
                <w:szCs w:val="18"/>
              </w:rPr>
              <w:instrText xml:space="preserve"> ADDIN ZOTERO_ITEM CSL_CITATION {"citationID":"lfmhtYzk","properties":{"unsorted":false,"formattedCitation":"(Van Belle et\\uc0\\u160{}al. 2011)","plainCitation":"(Van Belle et al. 2011)","dontUpdate":true,"noteIndex":0},"citationItems":[{"id":88,"uris":["http://zotero.org/users/19775897/items/PZ4EUSEP"],"itemData":{"id":88,"type":"article-journal","abstract":"Motivation: New application areas of survival analysis as for example based on micro-array expression data call for novel tools able to handle high-dimensional data. While classical (semi-) parametric techniques as based on likelihood or partial likelihood functions are omnipresent in clinical studies, they are often inadequate for modelling in case when there are less observations than features in the data. Support vector machines (svms) and extensions are in general found particularly useful for such cases, both conceptually (non-parametric approach), computationally (boiling down to a convex program which can be solved efficiently), theoretically (for its intrinsic relation with learning theory) as well as empirically. This article discusses such an extension of svms which is tuned towards survival data. A particularly useful feature is that this method can incorporate such additional structure as additive models, positivity constraints of the parameters or regression constraints.Results: Besides discussion of the proposed methods, an empirical case study is conducted on both clinical as well as micro-array gene expression data in the context of cancer studies. Results are expressed based on the logrank statistic, concordance index and the hazard ratio. The reported performances indicate that the present method yields better models for high-dimensional data, while it gives results which are comparable to what classical techniques based on a proportional hazard model give for clinical data.Contact:  vanya.vanbelle@esat.kuleuven.beSupplementary information:  Supplementary data are available at Bioinformatics online.","container-title":"Bioinformatics","DOI":"10.1093/bioinformatics/btq617","ISSN":"1367-4803","issue":"1","journalAbbreviation":"Bioinformatics","page":"87-94","source":"Silverchair","title":"Improved performance on high-dimensional survival data by application of Survival-SVM","volume":"27","author":[{"family":"Van Belle","given":"V."},{"family":"Pelckmans","given":"K."},{"family":"Van Huffel","given":"S."},{"family":"Suykens","given":"J. A. K."}],"issued":{"date-parts":[["2011",1,1]]}}}],"schema":"https://github.com/citation-style-language/schema/raw/master/csl-citation.json"} </w:instrText>
            </w:r>
            <w:r>
              <w:rPr>
                <w:rFonts w:ascii="Arial" w:hAnsi="Arial"/>
                <w:sz w:val="18"/>
                <w:szCs w:val="18"/>
              </w:rPr>
              <w:fldChar w:fldCharType="separate"/>
            </w:r>
            <w:r w:rsidRPr="003B3426">
              <w:rPr>
                <w:rFonts w:ascii="Calibri" w:hAnsi="Calibri" w:cs="Calibri"/>
                <w:sz w:val="18"/>
                <w:szCs w:val="24"/>
              </w:rPr>
              <w:t xml:space="preserve">Van Belle et al. </w:t>
            </w:r>
            <w:r>
              <w:rPr>
                <w:rFonts w:ascii="Calibri" w:hAnsi="Calibri" w:cs="Calibri"/>
                <w:sz w:val="18"/>
                <w:szCs w:val="24"/>
              </w:rPr>
              <w:t>(</w:t>
            </w:r>
            <w:r w:rsidRPr="003B3426">
              <w:rPr>
                <w:rFonts w:ascii="Calibri" w:hAnsi="Calibri" w:cs="Calibri"/>
                <w:sz w:val="18"/>
                <w:szCs w:val="24"/>
              </w:rPr>
              <w:t>2011)</w:t>
            </w:r>
            <w:r>
              <w:rPr>
                <w:rFonts w:ascii="Arial" w:hAnsi="Arial"/>
                <w:sz w:val="18"/>
                <w:szCs w:val="18"/>
              </w:rP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B832FD9"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37F8AB4F" w14:textId="77777777" w:rsidR="00F41A5B" w:rsidRDefault="00F41A5B" w:rsidP="00E92B14">
            <w:r>
              <w:rPr>
                <w:rFonts w:ascii="Arial" w:hAnsi="Arial"/>
                <w:sz w:val="18"/>
                <w:szCs w:val="18"/>
              </w:rPr>
              <w:t>Escasa escalabilidad con p &gt; 10.000 variables</w:t>
            </w:r>
          </w:p>
        </w:tc>
        <w:tc>
          <w:tcPr>
            <w:tcW w:w="13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9D0C32C" w14:textId="77777777" w:rsidR="00F41A5B" w:rsidRDefault="00F41A5B" w:rsidP="00E92B14">
            <w:r>
              <w:rPr>
                <w:rFonts w:ascii="Arial" w:hAnsi="Arial"/>
                <w:sz w:val="18"/>
                <w:szCs w:val="18"/>
              </w:rPr>
              <w:t>Ref. conceptual</w:t>
            </w:r>
          </w:p>
        </w:tc>
      </w:tr>
      <w:tr w:rsidR="00F41A5B" w14:paraId="1FF367D7"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7A942243" w14:textId="77777777" w:rsidR="00F41A5B" w:rsidRDefault="00F41A5B" w:rsidP="00E92B14">
            <w:pPr>
              <w:jc w:val="center"/>
            </w:pPr>
            <w:r>
              <w:rPr>
                <w:rFonts w:ascii="Arial" w:hAnsi="Arial"/>
                <w:b/>
                <w:bCs/>
                <w:color w:val="7F3F98"/>
                <w:sz w:val="18"/>
                <w:szCs w:val="18"/>
              </w:rPr>
              <w:t>Deep Learning para supervivencia</w:t>
            </w:r>
          </w:p>
        </w:tc>
      </w:tr>
      <w:tr w:rsidR="00F41A5B" w14:paraId="5E67DB5B"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57E3748D" w14:textId="77777777" w:rsidR="00F41A5B" w:rsidRDefault="00F41A5B" w:rsidP="00E92B14">
            <w:r>
              <w:rPr>
                <w:rFonts w:ascii="Arial" w:hAnsi="Arial"/>
                <w:b/>
                <w:bCs/>
                <w:sz w:val="18"/>
                <w:szCs w:val="18"/>
              </w:rPr>
              <w:t>DeepSurv</w:t>
            </w:r>
          </w:p>
        </w:tc>
        <w:tc>
          <w:tcPr>
            <w:tcW w:w="127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4BFB3012"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E6FFD20" w14:textId="26847D1B" w:rsidR="00F41A5B" w:rsidRDefault="003B3426" w:rsidP="00E92B14">
            <w:r>
              <w:fldChar w:fldCharType="begin"/>
            </w:r>
            <w:r w:rsidR="00FB5CA7">
              <w:instrText xml:space="preserve"> ADDIN ZOTERO_ITEM CSL_CITATION {"citationID":"AIKqqVml","properties":{"unsorted":false,"formattedCitation":"(Katzman et\\uc0\\u160{}al. 2018)","plainCitation":"(Katzman et al. 2018)","dontUpdate":true,"noteIndex":0},"citationItems":[{"id":22,"uris":["http://zotero.org/users/19775897/items/ZQLZDRDV"],"itemData":{"id":22,"type":"article-journal","abstract":"Medical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fldChar w:fldCharType="separate"/>
            </w:r>
            <w:r w:rsidRPr="003B3426">
              <w:rPr>
                <w:rFonts w:ascii="Calibri" w:hAnsi="Calibri" w:cs="Calibri"/>
                <w:szCs w:val="24"/>
              </w:rPr>
              <w:t xml:space="preserve">Katzman et al. </w:t>
            </w:r>
            <w:r>
              <w:rPr>
                <w:rFonts w:ascii="Calibri" w:hAnsi="Calibri" w:cs="Calibri"/>
                <w:szCs w:val="24"/>
              </w:rPr>
              <w:t>(</w:t>
            </w:r>
            <w:r w:rsidRPr="003B3426">
              <w:rPr>
                <w:rFonts w:ascii="Calibri" w:hAnsi="Calibri" w:cs="Calibri"/>
                <w:szCs w:val="24"/>
              </w:rPr>
              <w:t>2018)</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C771385" w14:textId="77777777" w:rsidR="00F41A5B" w:rsidRDefault="00F41A5B" w:rsidP="00E92B14">
            <w:r>
              <w:rPr>
                <w:rFonts w:ascii="Arial" w:hAnsi="Arial"/>
                <w:sz w:val="18"/>
                <w:szCs w:val="18"/>
              </w:rPr>
              <w:t>Baja (SHAP)</w:t>
            </w:r>
          </w:p>
        </w:tc>
        <w:tc>
          <w:tcPr>
            <w:tcW w:w="151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274C73F2" w14:textId="77777777" w:rsidR="00F41A5B" w:rsidRDefault="00F41A5B" w:rsidP="00E92B14">
            <w:r>
              <w:rPr>
                <w:rFonts w:ascii="Arial" w:hAnsi="Arial"/>
                <w:sz w:val="18"/>
                <w:szCs w:val="18"/>
              </w:rPr>
              <w:t>Requiere n grande; sobreajuste con n &lt; 500; opaco</w:t>
            </w:r>
          </w:p>
        </w:tc>
        <w:tc>
          <w:tcPr>
            <w:tcW w:w="13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3B08DF36" w14:textId="77777777" w:rsidR="00F41A5B" w:rsidRDefault="00F41A5B" w:rsidP="00E92B14">
            <w:r>
              <w:rPr>
                <w:rFonts w:ascii="Arial" w:hAnsi="Arial"/>
                <w:sz w:val="18"/>
                <w:szCs w:val="18"/>
              </w:rPr>
              <w:t>Modelo DL principal</w:t>
            </w:r>
          </w:p>
        </w:tc>
      </w:tr>
      <w:tr w:rsidR="00F41A5B" w14:paraId="3E9824C5"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1570980" w14:textId="77777777" w:rsidR="00F41A5B" w:rsidRDefault="00F41A5B" w:rsidP="00E92B14">
            <w:r>
              <w:rPr>
                <w:rFonts w:ascii="Arial" w:hAnsi="Arial"/>
                <w:b/>
                <w:bCs/>
                <w:sz w:val="18"/>
                <w:szCs w:val="18"/>
              </w:rPr>
              <w:t>SurvivalNet</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3144C5E"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CC275F6" w14:textId="1A4E547D" w:rsidR="00F41A5B" w:rsidRDefault="003B3426" w:rsidP="00E92B14">
            <w:r>
              <w:fldChar w:fldCharType="begin"/>
            </w:r>
            <w:r w:rsidR="00FB5CA7">
              <w:instrText xml:space="preserve"> ADDIN ZOTERO_ITEM CSL_CITATION {"citationID":"IIPm7wJl","properties":{"unsorted":false,"formattedCitation":"(Yousefi et\\uc0\\u160{}al. 2017)","plainCitation":"(Yousefi et al. 2017)","dontUpdate":true,"noteIndex":0},"citationItems":[{"id":95,"uris":["http://zotero.org/users/19775897/items/J53P2BX3"],"itemData":{"id":95,"type":"article-journal","abstract":"Translating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fldChar w:fldCharType="separate"/>
            </w:r>
            <w:r w:rsidRPr="003B3426">
              <w:rPr>
                <w:rFonts w:ascii="Calibri" w:hAnsi="Calibri" w:cs="Calibri"/>
                <w:szCs w:val="24"/>
              </w:rPr>
              <w:t xml:space="preserve">Yousefi et al. </w:t>
            </w:r>
            <w:r>
              <w:rPr>
                <w:rFonts w:ascii="Calibri" w:hAnsi="Calibri" w:cs="Calibri"/>
                <w:szCs w:val="24"/>
              </w:rPr>
              <w:t>(</w:t>
            </w:r>
            <w:r w:rsidRPr="003B3426">
              <w:rPr>
                <w:rFonts w:ascii="Calibri" w:hAnsi="Calibri" w:cs="Calibri"/>
                <w:szCs w:val="24"/>
              </w:rPr>
              <w:t>2017)</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3A83EF"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9CA83BC" w14:textId="77777777" w:rsidR="00F41A5B" w:rsidRDefault="00F41A5B" w:rsidP="00E92B14">
            <w:r>
              <w:rPr>
                <w:rFonts w:ascii="Arial" w:hAnsi="Arial"/>
                <w:sz w:val="18"/>
                <w:szCs w:val="18"/>
              </w:rPr>
              <w:t>Menor difusión; HP optimization costosa</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92C968A" w14:textId="77777777" w:rsidR="00F41A5B" w:rsidRDefault="00F41A5B" w:rsidP="00E92B14">
            <w:r>
              <w:rPr>
                <w:rFonts w:ascii="Arial" w:hAnsi="Arial"/>
                <w:sz w:val="18"/>
                <w:szCs w:val="18"/>
              </w:rPr>
              <w:t>Ref. alternativa DL</w:t>
            </w:r>
          </w:p>
        </w:tc>
      </w:tr>
      <w:tr w:rsidR="00F41A5B" w14:paraId="2EC7F14A"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DC75E20" w14:textId="77777777" w:rsidR="00F41A5B" w:rsidRDefault="00F41A5B" w:rsidP="00E92B14">
            <w:r>
              <w:rPr>
                <w:rFonts w:ascii="Arial" w:hAnsi="Arial"/>
                <w:b/>
                <w:bCs/>
                <w:sz w:val="18"/>
                <w:szCs w:val="18"/>
              </w:rPr>
              <w:t>Transformers multimodales</w:t>
            </w:r>
          </w:p>
        </w:tc>
        <w:tc>
          <w:tcPr>
            <w:tcW w:w="127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72D32F"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1C78BC" w14:textId="4CA70906" w:rsidR="00F41A5B" w:rsidRDefault="003B3426" w:rsidP="00E92B14">
            <w:r>
              <w:fldChar w:fldCharType="begin"/>
            </w:r>
            <w:r w:rsidR="00FB5CA7">
              <w:instrText xml:space="preserve"> ADDIN ZOTERO_ITEM CSL_CITATION {"citationID":"eSFg48UV","properties":{"unsorted":false,"formattedCitation":"(Tong et\\uc0\\u160{}al. 2020)","plainCitation":"(Tong et al. 2020)","dontUpdate":true,"noteIndex":0},"citationItems":[{"id":102,"uris":["http://zotero.org/users/19775897/items/Z82U38ET"],"itemData":{"id":102,"type":"article-journal","abstract":"Breast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fldChar w:fldCharType="separate"/>
            </w:r>
            <w:r w:rsidRPr="003B3426">
              <w:rPr>
                <w:rFonts w:ascii="Calibri" w:hAnsi="Calibri" w:cs="Calibri"/>
                <w:szCs w:val="24"/>
              </w:rPr>
              <w:t xml:space="preserve">Tong et al. </w:t>
            </w:r>
            <w:r>
              <w:rPr>
                <w:rFonts w:ascii="Calibri" w:hAnsi="Calibri" w:cs="Calibri"/>
                <w:szCs w:val="24"/>
              </w:rPr>
              <w:t>(</w:t>
            </w:r>
            <w:r w:rsidRPr="003B3426">
              <w:rPr>
                <w:rFonts w:ascii="Calibri" w:hAnsi="Calibri" w:cs="Calibri"/>
                <w:szCs w:val="24"/>
              </w:rPr>
              <w:t>2020)</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5989344"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F526C98" w14:textId="77777777" w:rsidR="00F41A5B" w:rsidRDefault="00F41A5B" w:rsidP="00E92B14">
            <w:r>
              <w:rPr>
                <w:rFonts w:ascii="Arial" w:hAnsi="Arial"/>
                <w:sz w:val="18"/>
                <w:szCs w:val="18"/>
              </w:rPr>
              <w:t>Requiere n &gt;&gt; 1.000; complejidad extrema</w:t>
            </w:r>
          </w:p>
        </w:tc>
        <w:tc>
          <w:tcPr>
            <w:tcW w:w="13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81CAA8E" w14:textId="77777777" w:rsidR="00F41A5B" w:rsidRDefault="00F41A5B" w:rsidP="00E92B14">
            <w:r>
              <w:rPr>
                <w:rFonts w:ascii="Arial" w:hAnsi="Arial"/>
                <w:sz w:val="18"/>
                <w:szCs w:val="18"/>
              </w:rPr>
              <w:t>Línea futura</w:t>
            </w:r>
          </w:p>
        </w:tc>
      </w:tr>
      <w:tr w:rsidR="00F41A5B" w14:paraId="23E31C3B"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47806658" w14:textId="77777777" w:rsidR="00F41A5B" w:rsidRDefault="00F41A5B" w:rsidP="00E92B14">
            <w:pPr>
              <w:jc w:val="center"/>
            </w:pPr>
            <w:r>
              <w:rPr>
                <w:rFonts w:ascii="Arial" w:hAnsi="Arial"/>
                <w:b/>
                <w:bCs/>
                <w:color w:val="E65100"/>
                <w:sz w:val="18"/>
                <w:szCs w:val="18"/>
              </w:rPr>
              <w:t>Fuentes de datos y herramientas de validación</w:t>
            </w:r>
          </w:p>
        </w:tc>
      </w:tr>
      <w:tr w:rsidR="00F41A5B" w14:paraId="491F0F1A"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5ABECA3D" w14:textId="77777777" w:rsidR="00F41A5B" w:rsidRDefault="00F41A5B" w:rsidP="00E92B14">
            <w:r>
              <w:rPr>
                <w:rFonts w:ascii="Arial" w:hAnsi="Arial"/>
                <w:b/>
                <w:bCs/>
                <w:sz w:val="18"/>
                <w:szCs w:val="18"/>
              </w:rPr>
              <w:t>TCGA (GDC)</w:t>
            </w:r>
          </w:p>
        </w:tc>
        <w:tc>
          <w:tcPr>
            <w:tcW w:w="127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46178F3" w14:textId="77777777" w:rsidR="00F41A5B" w:rsidRDefault="00F41A5B" w:rsidP="00E92B14">
            <w:r>
              <w:rPr>
                <w:rFonts w:ascii="Arial" w:hAnsi="Arial"/>
                <w:sz w:val="18"/>
                <w:szCs w:val="18"/>
              </w:rPr>
              <w:t>Repositorio genómico</w:t>
            </w:r>
          </w:p>
        </w:tc>
        <w:tc>
          <w:tcPr>
            <w:tcW w:w="1133"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0A69E69C" w14:textId="44DFF454" w:rsidR="00F41A5B" w:rsidRDefault="003B3426" w:rsidP="00E92B14">
            <w:r>
              <w:fldChar w:fldCharType="begin"/>
            </w:r>
            <w:r w:rsidR="00FB5CA7">
              <w:instrText xml:space="preserve"> ADDIN ZOTERO_ITEM CSL_CITATION {"citationID":"qGYmUEQP","properties":{"unsorted":false,"formattedCitation":"(The Cancer Genome Atlas Research Network et\\uc0\\u160{}al. 2013)","plainCitation":"(The Cancer Genome Atlas Research Network et al. 2013)","dontUpdate":true,"noteIndex":0},"citationItems":[{"id":108,"uris":["http://zotero.org/users/19775897/items/L8DEXBHB"],"itemData":{"id":108,"type":"article-journal","container-title":"Nature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fldChar w:fldCharType="separate"/>
            </w:r>
            <w:r w:rsidRPr="003B3426">
              <w:rPr>
                <w:rFonts w:ascii="Calibri" w:hAnsi="Calibri" w:cs="Calibri"/>
                <w:szCs w:val="24"/>
              </w:rPr>
              <w:t xml:space="preserve">The Cancer Genome Atlas Research Network et al. </w:t>
            </w:r>
            <w:r>
              <w:rPr>
                <w:rFonts w:ascii="Calibri" w:hAnsi="Calibri" w:cs="Calibri"/>
                <w:szCs w:val="24"/>
              </w:rPr>
              <w:t>(</w:t>
            </w:r>
            <w:r w:rsidRPr="003B3426">
              <w:rPr>
                <w:rFonts w:ascii="Calibri" w:hAnsi="Calibri" w:cs="Calibri"/>
                <w:szCs w:val="24"/>
              </w:rPr>
              <w:t>2013)</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0ABD492"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11535BAF" w14:textId="77777777" w:rsidR="00F41A5B" w:rsidRDefault="00F41A5B" w:rsidP="00E92B14">
            <w:r>
              <w:rPr>
                <w:rFonts w:ascii="Arial" w:hAnsi="Arial"/>
                <w:sz w:val="18"/>
                <w:szCs w:val="18"/>
              </w:rPr>
              <w:t>Sesgo de ancestría europea; n heterogéneo por tipo</w:t>
            </w:r>
          </w:p>
        </w:tc>
        <w:tc>
          <w:tcPr>
            <w:tcW w:w="130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45F0FCCD" w14:textId="77777777" w:rsidR="00F41A5B" w:rsidRDefault="00F41A5B" w:rsidP="00E92B14">
            <w:r>
              <w:rPr>
                <w:rFonts w:ascii="Arial" w:hAnsi="Arial"/>
                <w:sz w:val="18"/>
                <w:szCs w:val="18"/>
              </w:rPr>
              <w:t>Dataset primario</w:t>
            </w:r>
          </w:p>
        </w:tc>
      </w:tr>
      <w:tr w:rsidR="00F41A5B" w14:paraId="5596A956"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7932EFD" w14:textId="77777777" w:rsidR="00F41A5B" w:rsidRDefault="00F41A5B" w:rsidP="00E92B14">
            <w:r>
              <w:rPr>
                <w:rFonts w:ascii="Arial" w:hAnsi="Arial"/>
                <w:b/>
                <w:bCs/>
                <w:sz w:val="18"/>
                <w:szCs w:val="18"/>
              </w:rPr>
              <w:t>METABRIC</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7E71E1" w14:textId="77777777" w:rsidR="00F41A5B" w:rsidRDefault="00F41A5B" w:rsidP="00E92B14">
            <w:r>
              <w:rPr>
                <w:rFonts w:ascii="Arial" w:hAnsi="Arial"/>
                <w:sz w:val="18"/>
                <w:szCs w:val="18"/>
              </w:rPr>
              <w:t>Repositorio genómico</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1E3BA01" w14:textId="36369C54" w:rsidR="00F41A5B" w:rsidRDefault="003B3426" w:rsidP="00E92B14">
            <w:r>
              <w:fldChar w:fldCharType="begin"/>
            </w:r>
            <w:r w:rsidR="00FB5CA7">
              <w:instrText xml:space="preserve"> ADDIN ZOTERO_ITEM CSL_CITATION {"citationID":"r0WkgjaI","properties":{"unsorted":false,"formattedCitation":"(Curtis et\\uc0\\u160{}al. 2012)","plainCitation":"(Curtis et al. 2012)","dontUpdate":true,"noteIndex":0},"citationItems":[{"id":192,"uris":["http://zotero.org/users/19775897/items/NLKL9VDI"],"itemData":{"id":192,"type":"article-journal","abstract":"The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FB5CA7">
              <w:rPr>
                <w:rFonts w:ascii="Cambria Math" w:hAnsi="Cambria Math" w:cs="Cambria Math"/>
              </w:rPr>
              <w:instrText>∼</w:instrText>
            </w:r>
            <w:r w:rsidR="00FB5CA7">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fldChar w:fldCharType="separate"/>
            </w:r>
            <w:r w:rsidRPr="003B3426">
              <w:rPr>
                <w:rFonts w:ascii="Calibri" w:hAnsi="Calibri" w:cs="Calibri"/>
                <w:szCs w:val="24"/>
              </w:rPr>
              <w:t xml:space="preserve">Curtis et al. </w:t>
            </w:r>
            <w:r>
              <w:rPr>
                <w:rFonts w:ascii="Calibri" w:hAnsi="Calibri" w:cs="Calibri"/>
                <w:szCs w:val="24"/>
              </w:rPr>
              <w:t>(</w:t>
            </w:r>
            <w:r w:rsidRPr="003B3426">
              <w:rPr>
                <w:rFonts w:ascii="Calibri" w:hAnsi="Calibri" w:cs="Calibri"/>
                <w:szCs w:val="24"/>
              </w:rPr>
              <w:t>2012)</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E00897"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F6F34D" w14:textId="71378273" w:rsidR="00F41A5B" w:rsidRDefault="00F41A5B" w:rsidP="00E92B14">
            <w:r>
              <w:rPr>
                <w:rFonts w:ascii="Arial" w:hAnsi="Arial"/>
                <w:sz w:val="18"/>
                <w:szCs w:val="18"/>
              </w:rPr>
              <w:t xml:space="preserve">Solo mama; microarrays  </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EE07FE2" w14:textId="77777777" w:rsidR="00F41A5B" w:rsidRDefault="00F41A5B" w:rsidP="00E92B14">
            <w:r>
              <w:rPr>
                <w:rFonts w:ascii="Arial" w:hAnsi="Arial"/>
                <w:sz w:val="18"/>
                <w:szCs w:val="18"/>
              </w:rPr>
              <w:t>Dataset val. externa</w:t>
            </w:r>
          </w:p>
        </w:tc>
      </w:tr>
      <w:tr w:rsidR="00F41A5B" w14:paraId="5128C50D"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F758327" w14:textId="77777777" w:rsidR="00F41A5B" w:rsidRDefault="00F41A5B" w:rsidP="00E92B14">
            <w:r>
              <w:rPr>
                <w:rFonts w:ascii="Arial" w:hAnsi="Arial"/>
                <w:b/>
                <w:bCs/>
                <w:sz w:val="18"/>
                <w:szCs w:val="18"/>
              </w:rPr>
              <w:lastRenderedPageBreak/>
              <w:t>Validación externa</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353C46" w14:textId="77777777" w:rsidR="00F41A5B" w:rsidRDefault="00F41A5B" w:rsidP="00E92B14">
            <w:r>
              <w:rPr>
                <w:rFonts w:ascii="Arial" w:hAnsi="Arial"/>
                <w:sz w:val="18"/>
                <w:szCs w:val="18"/>
              </w:rPr>
              <w:t>Metodología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55F963" w14:textId="57B94F95" w:rsidR="00F41A5B" w:rsidRDefault="003B3426" w:rsidP="00E92B14">
            <w:r>
              <w:fldChar w:fldCharType="begin"/>
            </w:r>
            <w:r w:rsidR="00FB5CA7">
              <w:instrText xml:space="preserve"> ADDIN ZOTERO_ITEM CSL_CITATION {"citationID":"48xbMI98","properties":{"unsorted":false,"formattedCitation":"(Ramspek et\\uc0\\u160{}al. 2021)","plainCitation":"(Ramspek et al. 2021)","dontUpdate":true,"noteIndex":0},"citationItems":[{"id":152,"uris":["http://zotero.org/users/19775897/items/ADBS9PAL"],"itemData":{"id":152,"type":"article-journal","abstract":"Prognostic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fldChar w:fldCharType="separate"/>
            </w:r>
            <w:r w:rsidRPr="003B3426">
              <w:rPr>
                <w:rFonts w:ascii="Calibri" w:hAnsi="Calibri" w:cs="Calibri"/>
                <w:szCs w:val="24"/>
              </w:rPr>
              <w:t xml:space="preserve">Ramspek et al. </w:t>
            </w:r>
            <w:r>
              <w:rPr>
                <w:rFonts w:ascii="Calibri" w:hAnsi="Calibri" w:cs="Calibri"/>
                <w:szCs w:val="24"/>
              </w:rPr>
              <w:t>(</w:t>
            </w:r>
            <w:r w:rsidRPr="003B3426">
              <w:rPr>
                <w:rFonts w:ascii="Calibri" w:hAnsi="Calibri" w:cs="Calibri"/>
                <w:szCs w:val="24"/>
              </w:rPr>
              <w:t>2021)</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0A5B29A"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9B2F2F" w14:textId="77777777" w:rsidR="00F41A5B" w:rsidRDefault="00F41A5B" w:rsidP="00E92B14">
            <w:r>
              <w:rPr>
                <w:rFonts w:ascii="Arial" w:hAnsi="Arial"/>
                <w:sz w:val="18"/>
                <w:szCs w:val="18"/>
              </w:rPr>
              <w:t>Solo el 3% de estudios la realizan; deficitaria</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6DF3A4" w14:textId="77777777" w:rsidR="00F41A5B" w:rsidRDefault="00F41A5B" w:rsidP="00E92B14">
            <w:r>
              <w:rPr>
                <w:rFonts w:ascii="Arial" w:hAnsi="Arial"/>
                <w:sz w:val="18"/>
                <w:szCs w:val="18"/>
              </w:rPr>
              <w:t>Diferenciador TFM</w:t>
            </w:r>
          </w:p>
        </w:tc>
      </w:tr>
      <w:tr w:rsidR="00F41A5B" w14:paraId="6FE4E77B"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41C61E9" w14:textId="77777777" w:rsidR="00F41A5B" w:rsidRDefault="00F41A5B" w:rsidP="00E92B14">
            <w:pPr>
              <w:jc w:val="center"/>
            </w:pPr>
            <w:r>
              <w:rPr>
                <w:rFonts w:ascii="Arial" w:hAnsi="Arial"/>
                <w:b/>
                <w:bCs/>
                <w:color w:val="2E5496"/>
                <w:sz w:val="18"/>
                <w:szCs w:val="18"/>
              </w:rPr>
              <w:t>Métricas de evaluación</w:t>
            </w:r>
          </w:p>
        </w:tc>
      </w:tr>
      <w:tr w:rsidR="00F41A5B" w14:paraId="2A653B53"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3B915098" w14:textId="77777777" w:rsidR="00F41A5B" w:rsidRDefault="00F41A5B" w:rsidP="00E92B14">
            <w:r>
              <w:rPr>
                <w:rFonts w:ascii="Arial" w:hAnsi="Arial"/>
                <w:b/>
                <w:bCs/>
                <w:sz w:val="18"/>
                <w:szCs w:val="18"/>
              </w:rPr>
              <w:t>C-index</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CDBB3F" w14:textId="77777777" w:rsidR="00F41A5B" w:rsidRDefault="00F41A5B" w:rsidP="00E92B14">
            <w:r>
              <w:rPr>
                <w:rFonts w:ascii="Arial" w:hAnsi="Arial"/>
                <w:sz w:val="18"/>
                <w:szCs w:val="18"/>
              </w:rPr>
              <w:t>Métrica discriminativa</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F954C87" w14:textId="1EADD412" w:rsidR="00F41A5B" w:rsidRDefault="003B3426" w:rsidP="00E92B14">
            <w:r>
              <w:fldChar w:fldCharType="begin"/>
            </w:r>
            <w:r w:rsidR="00FB5CA7">
              <w:instrText xml:space="preserve"> ADDIN ZOTERO_ITEM CSL_CITATION {"citationID":"kJRv4LlU","properties":{"unsorted":false,"formattedCitation":"(HARRELL Jr. et\\uc0\\u160{}al. 1996)","plainCitation":"(HARRELL Jr. et al. 1996)","dontUpdate":true,"noteIndex":0},"citationItems":[{"id":160,"uris":["http://zotero.org/users/19775897/items/B5IYCVX2"],"itemData":{"id":160,"type":"article-journal","abstract":"Multivariable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fldChar w:fldCharType="separate"/>
            </w:r>
            <w:r w:rsidRPr="003B3426">
              <w:rPr>
                <w:rFonts w:ascii="Calibri" w:hAnsi="Calibri" w:cs="Calibri"/>
                <w:szCs w:val="24"/>
              </w:rPr>
              <w:t xml:space="preserve">HARRELL Jr. et al. </w:t>
            </w:r>
            <w:r>
              <w:rPr>
                <w:rFonts w:ascii="Calibri" w:hAnsi="Calibri" w:cs="Calibri"/>
                <w:szCs w:val="24"/>
              </w:rPr>
              <w:t>(</w:t>
            </w:r>
            <w:r w:rsidRPr="003B3426">
              <w:rPr>
                <w:rFonts w:ascii="Calibri" w:hAnsi="Calibri" w:cs="Calibri"/>
                <w:szCs w:val="24"/>
              </w:rPr>
              <w:t>1996)</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1542EFF"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6E2F389" w14:textId="77777777" w:rsidR="00F41A5B" w:rsidRDefault="00F41A5B" w:rsidP="00E92B14">
            <w:r>
              <w:rPr>
                <w:rFonts w:ascii="Arial" w:hAnsi="Arial"/>
                <w:sz w:val="18"/>
                <w:szCs w:val="18"/>
              </w:rPr>
              <w:t>No evalúa calibración; sensible a censura informativa</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BA59580" w14:textId="77777777" w:rsidR="00F41A5B" w:rsidRDefault="00F41A5B" w:rsidP="00E92B14">
            <w:r>
              <w:rPr>
                <w:rFonts w:ascii="Arial" w:hAnsi="Arial"/>
                <w:sz w:val="18"/>
                <w:szCs w:val="18"/>
              </w:rPr>
              <w:t>Métrica principal</w:t>
            </w:r>
          </w:p>
        </w:tc>
      </w:tr>
      <w:tr w:rsidR="00F41A5B" w14:paraId="122EE90D"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8A1A13E" w14:textId="77777777" w:rsidR="00F41A5B" w:rsidRDefault="00F41A5B" w:rsidP="00E92B14">
            <w:r>
              <w:rPr>
                <w:rFonts w:ascii="Arial" w:hAnsi="Arial"/>
                <w:b/>
                <w:bCs/>
                <w:sz w:val="18"/>
                <w:szCs w:val="18"/>
              </w:rPr>
              <w:t>Brier Score integrado</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BB382F1" w14:textId="77777777" w:rsidR="00F41A5B" w:rsidRDefault="00F41A5B" w:rsidP="00E92B14">
            <w:r>
              <w:rPr>
                <w:rFonts w:ascii="Arial" w:hAnsi="Arial"/>
                <w:sz w:val="18"/>
                <w:szCs w:val="18"/>
              </w:rPr>
              <w:t>Calibración + discrim.</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0B332F6" w14:textId="76B60E4B" w:rsidR="00F41A5B" w:rsidRDefault="003B3426" w:rsidP="00E92B14">
            <w:r>
              <w:fldChar w:fldCharType="begin"/>
            </w:r>
            <w:r w:rsidR="00FB5CA7">
              <w:instrText xml:space="preserve"> ADDIN ZOTERO_ITEM CSL_CITATION {"citationID":"YRcRjdVM","properties":{"unsorted":false,"formattedCitation":"(Graf et\\uc0\\u160{}al. 1999)","plainCitation":"(Graf et al. 1999)","dontUpdate":true,"noteIndex":0},"citationItems":[{"id":243,"uris":["http://zotero.org/users/19775897/items/Q6X7W2GW"],"itemData":{"id":243,"type":"article-journal","abstract":"Prognostic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fldChar w:fldCharType="separate"/>
            </w:r>
            <w:r w:rsidRPr="003B3426">
              <w:rPr>
                <w:rFonts w:ascii="Calibri" w:hAnsi="Calibri" w:cs="Calibri"/>
                <w:szCs w:val="24"/>
              </w:rPr>
              <w:t xml:space="preserve">Graf et al. </w:t>
            </w:r>
            <w:r>
              <w:rPr>
                <w:rFonts w:ascii="Calibri" w:hAnsi="Calibri" w:cs="Calibri"/>
                <w:szCs w:val="24"/>
              </w:rPr>
              <w:t>(</w:t>
            </w:r>
            <w:r w:rsidRPr="003B3426">
              <w:rPr>
                <w:rFonts w:ascii="Calibri" w:hAnsi="Calibri" w:cs="Calibri"/>
                <w:szCs w:val="24"/>
              </w:rPr>
              <w:t>1999)</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2F4C6AF" w14:textId="77777777" w:rsidR="00F41A5B" w:rsidRDefault="00F41A5B" w:rsidP="00E92B14">
            <w:r>
              <w:rPr>
                <w:rFonts w:ascii="Arial" w:hAnsi="Arial"/>
                <w:sz w:val="18"/>
                <w:szCs w:val="18"/>
              </w:rPr>
              <w:t>Media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533AB90" w14:textId="77777777" w:rsidR="00F41A5B" w:rsidRDefault="00F41A5B" w:rsidP="00E92B14">
            <w:r>
              <w:rPr>
                <w:rFonts w:ascii="Arial" w:hAnsi="Arial"/>
                <w:sz w:val="18"/>
                <w:szCs w:val="18"/>
              </w:rPr>
              <w:t>Menos intuitivo; depende del horizonte temporal</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49898F" w14:textId="77777777" w:rsidR="00F41A5B" w:rsidRDefault="00F41A5B" w:rsidP="00E92B14">
            <w:r>
              <w:rPr>
                <w:rFonts w:ascii="Arial" w:hAnsi="Arial"/>
                <w:sz w:val="18"/>
                <w:szCs w:val="18"/>
              </w:rPr>
              <w:t>Métrica secundaria</w:t>
            </w:r>
          </w:p>
        </w:tc>
      </w:tr>
      <w:tr w:rsidR="00F41A5B" w14:paraId="74F74721"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CAF50BF" w14:textId="77777777" w:rsidR="00F41A5B" w:rsidRDefault="00F41A5B" w:rsidP="00E92B14">
            <w:r>
              <w:rPr>
                <w:rFonts w:ascii="Arial" w:hAnsi="Arial"/>
                <w:b/>
                <w:bCs/>
                <w:sz w:val="18"/>
                <w:szCs w:val="18"/>
              </w:rPr>
              <w:t>Log-rank test</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CB96BA1" w14:textId="77777777" w:rsidR="00F41A5B" w:rsidRDefault="00F41A5B" w:rsidP="00E92B14">
            <w:r>
              <w:rPr>
                <w:rFonts w:ascii="Arial" w:hAnsi="Arial"/>
                <w:sz w:val="18"/>
                <w:szCs w:val="18"/>
              </w:rPr>
              <w:t>Comparación grupos</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62DAD3" w14:textId="0164CCED" w:rsidR="00F41A5B" w:rsidRDefault="008E3475" w:rsidP="00E92B14">
            <w:r>
              <w:fldChar w:fldCharType="begin"/>
            </w:r>
            <w:r w:rsidR="00FB5CA7">
              <w:instrText xml:space="preserve"> ADDIN ZOTERO_ITEM CSL_CITATION {"citationID":"xRt8EOOj","properties":{"unsorted":false,"formattedCitation":"(Baum y Henderson 2004)","plainCitation":"(Baum y Henderson 2004)","dontUpdate":true,"noteIndex":0},"citationItems":[{"id":248,"uris":["http://zotero.org/users/19775897/items/R4DP3GGX"],"itemData":{"id":248,"type":"chapter","abstract":"The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fldChar w:fldCharType="separate"/>
            </w:r>
            <w:r w:rsidRPr="008E3475">
              <w:rPr>
                <w:rFonts w:ascii="Calibri" w:hAnsi="Calibri" w:cs="Calibri"/>
              </w:rPr>
              <w:t xml:space="preserve">Baum y Henderson </w:t>
            </w:r>
            <w:r>
              <w:rPr>
                <w:rFonts w:ascii="Calibri" w:hAnsi="Calibri" w:cs="Calibri"/>
              </w:rPr>
              <w:t>(</w:t>
            </w:r>
            <w:r w:rsidRPr="008E3475">
              <w:rPr>
                <w:rFonts w:ascii="Calibri" w:hAnsi="Calibri" w:cs="Calibri"/>
              </w:rPr>
              <w:t>2004)</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4175E5E"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1D47BCB" w14:textId="77777777" w:rsidR="00F41A5B" w:rsidRDefault="00F41A5B" w:rsidP="00E92B14">
            <w:r>
              <w:rPr>
                <w:rFonts w:ascii="Arial" w:hAnsi="Arial"/>
                <w:sz w:val="18"/>
                <w:szCs w:val="18"/>
              </w:rPr>
              <w:t>Solo evalúa diferencia categórica entre grupos</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9DD4BD" w14:textId="77777777" w:rsidR="00F41A5B" w:rsidRDefault="00F41A5B" w:rsidP="00E92B14">
            <w:r>
              <w:rPr>
                <w:rFonts w:ascii="Arial" w:hAnsi="Arial"/>
                <w:sz w:val="18"/>
                <w:szCs w:val="18"/>
              </w:rPr>
              <w:t>Estratificación de riesgo</w:t>
            </w:r>
          </w:p>
        </w:tc>
      </w:tr>
    </w:tbl>
    <w:p w14:paraId="4D70A01E" w14:textId="77777777" w:rsidR="00B2586F" w:rsidRDefault="00B2586F" w:rsidP="00B2586F">
      <w:pPr>
        <w:spacing w:after="80"/>
      </w:pPr>
    </w:p>
    <w:p w14:paraId="74BB84B9" w14:textId="77777777" w:rsidR="00B2586F" w:rsidRPr="00F439B4" w:rsidRDefault="00B2586F" w:rsidP="00F439B4">
      <w:pPr>
        <w:pStyle w:val="Ttulo3"/>
      </w:pPr>
      <w:bookmarkStart w:id="77" w:name="_Toc224681523"/>
      <w:r w:rsidRPr="00F439B4">
        <w:t>2.10.3 Brechas de conocimiento identificadas</w:t>
      </w:r>
      <w:bookmarkEnd w:id="77"/>
    </w:p>
    <w:p w14:paraId="58DFA7A4" w14:textId="77777777" w:rsidR="00B2586F" w:rsidRDefault="00B2586F" w:rsidP="00D025FE">
      <w:r>
        <w:t>La revisión permite identificar las siguientes brechas que justifican el diseño del presente TFM:</w:t>
      </w:r>
    </w:p>
    <w:p w14:paraId="172F10ED" w14:textId="77777777" w:rsidR="00B2586F" w:rsidRDefault="00B2586F" w:rsidP="00D025FE"/>
    <w:p w14:paraId="03A91F7B" w14:textId="28B0F3B7" w:rsidR="00B2586F" w:rsidRDefault="00B2586F" w:rsidP="00D025FE">
      <w:pPr>
        <w:pStyle w:val="Prrafodelista"/>
        <w:numPr>
          <w:ilvl w:val="0"/>
          <w:numId w:val="12"/>
        </w:numPr>
      </w:pPr>
      <w:r>
        <w:t xml:space="preserve">Déficit sistemático de validación externa: </w:t>
      </w:r>
      <w:r w:rsidR="00AF0DC8">
        <w:t>la mayoría</w:t>
      </w:r>
      <w:r>
        <w:t xml:space="preserve"> de los estudios no la realizan, imposibilitando establecer la generalización real de los modelos publicados.</w:t>
      </w:r>
    </w:p>
    <w:p w14:paraId="0A295AD3" w14:textId="77777777" w:rsidR="00B2586F" w:rsidRDefault="00B2586F" w:rsidP="00D025FE">
      <w:pPr>
        <w:pStyle w:val="Prrafodelista"/>
        <w:numPr>
          <w:ilvl w:val="0"/>
          <w:numId w:val="12"/>
        </w:numPr>
      </w:pPr>
      <w:r>
        <w:t>Escasez de comparaciones multi-modelo sistemáticas: los estudios suelen comparar un modelo nuevo únicamente con el Cox estándar, sin evaluaciones exhaustivas entre familias metodológicas en condiciones experimentales idénticas.</w:t>
      </w:r>
    </w:p>
    <w:p w14:paraId="6F8DF969" w14:textId="77777777" w:rsidR="00B2586F" w:rsidRDefault="00B2586F" w:rsidP="00D025FE">
      <w:pPr>
        <w:pStyle w:val="Prrafodelista"/>
        <w:numPr>
          <w:ilvl w:val="0"/>
          <w:numId w:val="12"/>
        </w:numPr>
      </w:pPr>
      <w:r>
        <w:t>Heterogeneidad en pipelines de preprocesamiento: la falta de estandarización dificulta la comparación entre estudios y puede ser fuente importante de variabilidad en los resultados.</w:t>
      </w:r>
    </w:p>
    <w:p w14:paraId="34A62A28" w14:textId="77777777" w:rsidR="00B2586F" w:rsidRDefault="00B2586F" w:rsidP="00D025FE">
      <w:pPr>
        <w:pStyle w:val="Prrafodelista"/>
        <w:numPr>
          <w:ilvl w:val="0"/>
          <w:numId w:val="12"/>
        </w:numPr>
      </w:pPr>
      <w:r>
        <w:t>Análisis insuficiente de transferibilidad TCGA-BRCA ↔ METABRIC con modelos complejos: la validación cruzada de RSF y DeepSurv entre ambas cohortes es escasa y no sistematizada.</w:t>
      </w:r>
    </w:p>
    <w:p w14:paraId="65AC017E" w14:textId="77777777" w:rsidR="00B2586F" w:rsidRDefault="00B2586F" w:rsidP="00D025FE">
      <w:pPr>
        <w:pStyle w:val="Prrafodelista"/>
        <w:numPr>
          <w:ilvl w:val="0"/>
          <w:numId w:val="12"/>
        </w:numPr>
      </w:pPr>
      <w:r>
        <w:t>Limitada aplicación de criterios de interpretabilidad en DeepSurv: los estudios que aplican DeepSurv raramente complementan los resultados con análisis SHAP, dificultando la traducción biológica de los hallazgos.</w:t>
      </w:r>
    </w:p>
    <w:p w14:paraId="12C22B1F" w14:textId="77777777" w:rsidR="00B2586F" w:rsidRDefault="00B2586F" w:rsidP="00D025FE"/>
    <w:p w14:paraId="3DFD10C4" w14:textId="77777777" w:rsidR="00B2586F" w:rsidRDefault="00B2586F" w:rsidP="00D025FE">
      <w:r>
        <w:t xml:space="preserve">El presente TFM aborda explícitamente las tres primeras brechas al proponer validación cruzada entre TCGA y METABRIC (brecha 1), comparación de cuatro familias metodológicas en igualdad de condiciones (brecha 2) y documentación exhaustiva y </w:t>
      </w:r>
      <w:r>
        <w:lastRenderedPageBreak/>
        <w:t>reproducible del pipeline de preprocesamiento (brecha 3). Las brechas cuarta y quinta orientan el análisis de interpretabilidad del OE5 y la discusión del Capítulo 6.</w:t>
      </w:r>
    </w:p>
    <w:p w14:paraId="3078F423" w14:textId="77777777" w:rsidR="00B2586F" w:rsidRDefault="00B2586F" w:rsidP="00B2586F">
      <w:pPr>
        <w:spacing w:after="80"/>
      </w:pPr>
    </w:p>
    <w:p w14:paraId="2B3AC0C0" w14:textId="77777777" w:rsidR="00B2586F" w:rsidRDefault="00B2586F" w:rsidP="00B2586F">
      <w:r>
        <w:br w:type="page"/>
      </w:r>
    </w:p>
    <w:p w14:paraId="71847E37" w14:textId="77777777" w:rsidR="00783C55" w:rsidRPr="00F439B4" w:rsidRDefault="00783C55" w:rsidP="00F439B4">
      <w:pPr>
        <w:pStyle w:val="Ttulo2"/>
      </w:pPr>
      <w:bookmarkStart w:id="78" w:name="_Toc224681524"/>
      <w:r w:rsidRPr="00F439B4">
        <w:lastRenderedPageBreak/>
        <w:t>Referencias bibliográficas del Capítulo 2</w:t>
      </w:r>
      <w:bookmarkEnd w:id="78"/>
    </w:p>
    <w:p w14:paraId="02EAEA1D" w14:textId="51724E24" w:rsidR="00783C55" w:rsidRDefault="00783C55" w:rsidP="00783C55">
      <w:pPr>
        <w:spacing w:after="100"/>
        <w:rPr>
          <w:sz w:val="23"/>
          <w:szCs w:val="23"/>
        </w:rPr>
      </w:pPr>
      <w:r>
        <w:rPr>
          <w:sz w:val="23"/>
          <w:szCs w:val="23"/>
        </w:rPr>
        <w:t>A continuación, se indican las referencias académicas que sustentan el estado del arte de este TFM:</w:t>
      </w:r>
    </w:p>
    <w:p w14:paraId="228ECFAA" w14:textId="77777777" w:rsidR="00D319E1" w:rsidRDefault="00AF0DC8" w:rsidP="00D319E1">
      <w:pPr>
        <w:pStyle w:val="Bibliografa"/>
      </w:pPr>
      <w:r>
        <w:rPr>
          <w:szCs w:val="23"/>
        </w:rPr>
        <w:fldChar w:fldCharType="begin"/>
      </w:r>
      <w:r>
        <w:rPr>
          <w:szCs w:val="23"/>
        </w:rPr>
        <w:instrText xml:space="preserve"> ADDIN ZOTERO_BIBL {"uncited":[],"omitted":[],"custom":[]} CSL_BIBLIOGRAPHY </w:instrText>
      </w:r>
      <w:r>
        <w:rPr>
          <w:szCs w:val="23"/>
        </w:rPr>
        <w:fldChar w:fldCharType="separate"/>
      </w:r>
      <w:r w:rsidR="00D319E1">
        <w:t xml:space="preserve">Abbas, Qaiser, Woonyoung Jeong, y Seung Won Lee. 2025. «Explainable AI in Clinical Decision Support Systems: A Meta-Analysis of Methods, Applications, and Usability Challenges». </w:t>
      </w:r>
      <w:r w:rsidR="00D319E1">
        <w:rPr>
          <w:i/>
          <w:iCs/>
        </w:rPr>
        <w:t>Healthcare</w:t>
      </w:r>
      <w:r w:rsidR="00D319E1">
        <w:t xml:space="preserve"> 13(17):2154. doi:10.3390/healthcare13172154.</w:t>
      </w:r>
    </w:p>
    <w:p w14:paraId="5BC170B7" w14:textId="77777777" w:rsidR="00D319E1" w:rsidRDefault="00D319E1" w:rsidP="00D319E1">
      <w:pPr>
        <w:pStyle w:val="Bibliografa"/>
      </w:pPr>
      <w:r>
        <w:t xml:space="preserve">Banerjee, Susana, Christopher M. Booth, Eduardo Bruera, Markus W. Büchler, Alexander Drilon, Terry J. Fry, Irene M. Ghobrial, Luca Gianni, Rakesh K. Jain, Guido Kroemer, Josep M. Llovet, Georgina V. Long, Klaus Pantel, Kathy Pritchard-Jones, Howard I. Scher, Josep Tabernero, Ralph R. Weichselbaum, Michael Weller, y Yi-Long Wu. 2024. «Two decades of advances in clinical oncology — lessons learned and future directions». </w:t>
      </w:r>
      <w:r>
        <w:rPr>
          <w:i/>
          <w:iCs/>
        </w:rPr>
        <w:t>Nature reviews. Clinical oncology</w:t>
      </w:r>
      <w:r>
        <w:t xml:space="preserve"> 21(11):771-80. doi:10.1038/s41571-024-00945-4.</w:t>
      </w:r>
    </w:p>
    <w:p w14:paraId="270E1305" w14:textId="77777777" w:rsidR="00D319E1" w:rsidRDefault="00D319E1" w:rsidP="00D319E1">
      <w:pPr>
        <w:pStyle w:val="Bibliografa"/>
      </w:pPr>
      <w:r>
        <w:t xml:space="preserve">Baum, Michael, y Craig Henderson. 2004. «Evaluation of survival data and two new rank order statistics arising in its consideration: Mantel N». en </w:t>
      </w:r>
      <w:r>
        <w:rPr>
          <w:i/>
          <w:iCs/>
        </w:rPr>
        <w:t>Classic Papers in Breast Disease</w:t>
      </w:r>
      <w:r>
        <w:t>. CRC Press.</w:t>
      </w:r>
    </w:p>
    <w:p w14:paraId="61FC67ED" w14:textId="77777777" w:rsidR="00D319E1" w:rsidRDefault="00D319E1" w:rsidP="00D319E1">
      <w:pPr>
        <w:pStyle w:val="Bibliografa"/>
      </w:pPr>
      <w:r>
        <w:t xml:space="preserve">Bismeijer, Tycho, Sander Canisius, y Lodewyk F. A. Wessels. 2018. «Molecular Characterization of Breast and Lung Tumors by Integration of Multiple Data Types with Functional Sparse-Factor Analysis». </w:t>
      </w:r>
      <w:r>
        <w:rPr>
          <w:i/>
          <w:iCs/>
        </w:rPr>
        <w:t>PLOS Computational Biology</w:t>
      </w:r>
      <w:r>
        <w:t xml:space="preserve"> 14(10):e1006520. doi:10.1371/journal.pcbi.1006520.</w:t>
      </w:r>
    </w:p>
    <w:p w14:paraId="2B2BE962" w14:textId="77777777" w:rsidR="00D319E1" w:rsidRDefault="00D319E1" w:rsidP="00D319E1">
      <w:pPr>
        <w:pStyle w:val="Bibliografa"/>
      </w:pPr>
      <w:r>
        <w:t>Brandão, Mariana, Noam Pondé, y Martine Piccart-Gebhart. 2018. «Mammaprint</w:t>
      </w:r>
      <w:r>
        <w:rPr>
          <w:vertAlign w:val="superscript"/>
        </w:rPr>
        <w:t>TM</w:t>
      </w:r>
      <w:r>
        <w:t xml:space="preserve">: a comprehensive review». </w:t>
      </w:r>
      <w:r>
        <w:rPr>
          <w:i/>
          <w:iCs/>
        </w:rPr>
        <w:t>Future Oncology</w:t>
      </w:r>
      <w:r>
        <w:t xml:space="preserve"> 15(2):207-24. doi:10.2217/fon-2018-0221.</w:t>
      </w:r>
    </w:p>
    <w:p w14:paraId="4EA518DC" w14:textId="77777777" w:rsidR="00D319E1" w:rsidRDefault="00D319E1" w:rsidP="00D319E1">
      <w:pPr>
        <w:pStyle w:val="Bibliografa"/>
      </w:pPr>
      <w:r>
        <w:t xml:space="preserve">Bray, Freddie, Mathieu Laversanne, Hyuna Sung, Jacques Ferlay, Rebecca L. Siegel, Isabelle Soerjomataram, y Ahmedin Jemal. 2024. «Global Cancer Statistics 2022: GLOBOCAN Estimates of Incidence and Mortality Worldwide for 36 Cancers in 185 Countries». </w:t>
      </w:r>
      <w:r>
        <w:rPr>
          <w:i/>
          <w:iCs/>
        </w:rPr>
        <w:t>CA: A Cancer Journal for Clinicians</w:t>
      </w:r>
      <w:r>
        <w:t xml:space="preserve"> 74(3):229-63. doi:10.3322/caac.21834.</w:t>
      </w:r>
    </w:p>
    <w:p w14:paraId="2EB79BF8" w14:textId="77777777" w:rsidR="00D319E1" w:rsidRDefault="00D319E1" w:rsidP="00D319E1">
      <w:pPr>
        <w:pStyle w:val="Bibliografa"/>
      </w:pPr>
      <w:r>
        <w:t xml:space="preserve">Breiman, Leo. 2001. «Random Forests». </w:t>
      </w:r>
      <w:r>
        <w:rPr>
          <w:i/>
          <w:iCs/>
        </w:rPr>
        <w:t>Machine Learning</w:t>
      </w:r>
      <w:r>
        <w:t xml:space="preserve"> 45(1):5-32. doi:10.1023/A:1010933404324.</w:t>
      </w:r>
    </w:p>
    <w:p w14:paraId="54E75016" w14:textId="77777777" w:rsidR="00D319E1" w:rsidRDefault="00D319E1" w:rsidP="00D319E1">
      <w:pPr>
        <w:pStyle w:val="Bibliografa"/>
      </w:pPr>
      <w:r>
        <w:t xml:space="preserve">Cardarella, Stephanie, y Bruce E. Johnson. 2013. «The Impact of Genomic Changes on Treatment of Lung Cancer». </w:t>
      </w:r>
      <w:r>
        <w:rPr>
          <w:i/>
          <w:iCs/>
        </w:rPr>
        <w:t>American Journal of Respiratory and Critical Care Medicine</w:t>
      </w:r>
      <w:r>
        <w:t xml:space="preserve"> 188(7):770-75. doi:10.1164/rccm.201305-0843PP.</w:t>
      </w:r>
    </w:p>
    <w:p w14:paraId="48F83169" w14:textId="77777777" w:rsidR="00D319E1" w:rsidRDefault="00D319E1" w:rsidP="00D319E1">
      <w:pPr>
        <w:pStyle w:val="Bibliografa"/>
      </w:pPr>
      <w:r>
        <w:t xml:space="preserve">Cardoso, Fatima, Laura J. van’t Veer, Jan Bogaerts, Leen Slaets, Giuseppe Viale, Suzette Delaloge, Jean-Yves Pierga, Etienne Brain, Sylvain Causeret, Mauro DeLorenzi, Annuska M. Glas, Vassilis Golfinopoulos, Theodora Goulioti, Susan Knox, Erika Matos, Bart Meulemans, Peter A. Neijenhuis, Ulrike Nitz, Rodolfo Passalacqua, Peter Ravdin, Isabel T. Rubio, Mahasti Saghatchian, Tineke J. Smilde, Christos Sotiriou, Lisette Stork, Carolyn Straehle, Geraldine Thomas, Alastair M. Thompson, Jacobus M. van der Hoeven, Peter Vuylsteke, René Bernards, Konstantinos Tryfonidis, Emiel Rutgers, y Martine Piccart. 2016. «70-Gene Signature as an Aid to Treatment Decisions in Early-Stage Breast Cancer». </w:t>
      </w:r>
      <w:r>
        <w:rPr>
          <w:i/>
          <w:iCs/>
        </w:rPr>
        <w:t>New England Journal of Medicine</w:t>
      </w:r>
      <w:r>
        <w:t xml:space="preserve"> 375(8):717-29. doi:10.1056/NEJMoa1602253.</w:t>
      </w:r>
    </w:p>
    <w:p w14:paraId="748C65AE" w14:textId="77777777" w:rsidR="00D319E1" w:rsidRDefault="00D319E1" w:rsidP="00D319E1">
      <w:pPr>
        <w:pStyle w:val="Bibliografa"/>
      </w:pPr>
      <w:r>
        <w:t xml:space="preserve">Chen, Yifei, Zhenyu Jia, Dan Mercola, y Xiaohui Xie. 2013. «A Gradient Boosting Algorithm for Survival Analysis via Direct Optimization of Concordance Index». </w:t>
      </w:r>
      <w:r>
        <w:rPr>
          <w:i/>
          <w:iCs/>
        </w:rPr>
        <w:t>Computational and Mathematical Methods in Medicine</w:t>
      </w:r>
      <w:r>
        <w:t xml:space="preserve"> 2013(1):873595. doi:10.1155/2013/873595.</w:t>
      </w:r>
    </w:p>
    <w:p w14:paraId="4925AA90" w14:textId="77777777" w:rsidR="00D319E1" w:rsidRDefault="00D319E1" w:rsidP="00D319E1">
      <w:pPr>
        <w:pStyle w:val="Bibliografa"/>
      </w:pPr>
      <w:r>
        <w:lastRenderedPageBreak/>
        <w:t xml:space="preserve">Clarke, Robert, Habtom W. Ressom, Antai Wang, Jianhua Xuan, Minetta C. Liu, Edmund A. Gehan, y Yue Wang. 2008. «The Properties of High-Dimensional Data Spaces: Implications for Exploring Gene and Protein Expression Data». </w:t>
      </w:r>
      <w:r>
        <w:rPr>
          <w:i/>
          <w:iCs/>
        </w:rPr>
        <w:t>Nature Reviews Cancer</w:t>
      </w:r>
      <w:r>
        <w:t xml:space="preserve"> 8(1):37-49. doi:10.1038/nrc2294.</w:t>
      </w:r>
    </w:p>
    <w:p w14:paraId="450D34F2" w14:textId="77777777" w:rsidR="00D319E1" w:rsidRDefault="00D319E1" w:rsidP="00D319E1">
      <w:pPr>
        <w:pStyle w:val="Bibliografa"/>
      </w:pPr>
      <w:r>
        <w:t xml:space="preserve">Collisson, Eric A., Joshua D. Campbell, Angela N. Brooks, Alice H. Berger, William Lee, Juliann Chmielecki, David G. Beer, Leslie Cope, Chad J. Creighton, Ludmila Danilova, Li Ding, Gad Getz, Peter S. Hammerman, D. Neil Hayes, Bryan Hernandez, James G. Herman, John V. Heymach, Igor Jurisica, Raju Kucherlapati, David Kwiatkowski, Marc Ladanyi, Gordon Robertson, Nikolaus Schultz, Ronglai Shen, Rileen Sinha, Carrie Sougnez, Ming-Sound Tsao, William D. Travis, John N. Weinstein, Dennis A. Wigle, Matthew D. Wilkerson, Andy Chu, Andrew D. Cherniack, Angela Hadjipanayis, Mara Rosenberg, Daniel J. Weisenberger, Peter W. Laird, Amie Radenbaugh, Singer Ma, Joshua M. Stuart, Lauren Averett Byers, Stephen B. Baylin, Ramaswamy Govindan, Matthew Meyerson, Mara Rosenberg, Stacey B. Gabriel, Kristian Cibulskis, Carrie Sougnez, Jaegil Kim, Chip Stewart, Lee Lichtenstein, Eric S. Lander, Michael S. Lawrence, Gad Getz, Cyriac Kandoth, Robert Fulton, Lucinda L. Fulton, Michael D. McLellan, Richard K. Wilson, Kai Ye, Catrina C. Fronick, Christopher A. Maher, Christopher A. Miller, Michael C. Wendl, Christopher Cabanski, Li Ding, Elaine Mardis, Ramaswamy Govindan, Chad J. Creighton, David Wheeler, Miruna Balasundaram, Yaron S. N. Butterfield, Rebecca Carlsen, Andy Chu, Eric Chuah, Noreen Dhalla, Ranabir Guin, Carrie Hirst, Darlene Lee, Haiyan I. Li, Michael Mayo, Richard A. Moore, Andrew J. Mungall, Jacqueline E. Schein, Payal Sipahimalani, Angela Tam, Richard Varhol, A. Gordon Robertson, Natasja Wye, Nina Thiessen, Robert A. Holt, Steven J. M. Jones, Marco A. Marra, Joshua D. Campbell, Angela N. Brooks, Juliann Chmielecki, Marcin Imielinski, Robert C. Onofrio, Eran Hodis, Travis Zack, Carrie Sougnez, Elena Helman, Chandra Sekhar Pedamallu, Jill Mesirov, Andrew D. Cherniack, Gordon Saksena, Steven E. Schumacher, Scott L. Carter, Bryan Hernandez, Levi Garraway, Rameen Beroukhim, Stacey B. Gabriel, Gad Getz, Matthew Meyerson, Angela Hadjipanayis, Semin Lee, Harshad S. Mahadeshwar, Angeliki Pantazi, Alexei Protopopov, Xiaojia Ren, Sahil Seth, Xingzhi Song, Jiabin Tang, Lixing Yang, Jianhua Zhang, Peng-Chieh Chen, Michael Parfenov, Andrew Wei Xu, Netty Santoso, Lynda Chin, Peter J. Park, Raju Kucherlapati, Katherine A. Hoadley, J. Todd Auman, Shaowu Meng, Yan Shi, Elizabeth Buda, Scot Waring, Umadevi Veluvolu, Donghui Tan, Piotr A. Mieczkowski, Corbin D. Jones, Janae V. Simons, Matthew G. Soloway, Tom Bodenheimer, Stuart R. Jefferys, Jeffrey Roach, Alan P. Hoyle, Junyuan Wu, Saianand Balu, Darshan Singh, Jan F. Prins, J. S. Marron, Joel S. Parker, D. Neil Hayes, Charles M. Perou, Jinze Liu, Leslie Cope, Ludmila Danilova, Daniel J. Weisenberger, Dennis T. Maglinte, Philip H. Lai, Moiz S. Bootwalla, David J. Van Den Berg, Timothy Triche Jr, Stephen B. Baylin, Peter W. Laird, Mara Rosenberg, Lynda Chin, Jianhua Zhang, Juok Cho, Daniel DiCara, David Heiman, Pei Lin, William Mallard, Douglas Voet, Hailei Zhang, Lihua Zou, Michael S. Noble, Michael S. Lawrence, Gordon Saksena, Nils Gehlenborg, Helga Thorvaldsdottir, Jill Mesirov, Marc-Danie Nazaire, Jim Robinson, Gad Getz, William Lee, B. Arman Aksoy, Giovanni Ciriello, Barry S. Taylor, Gideon Dresdner, Jianjiong Gao, Benjamin Gross, Venkatraman E. Seshan, Marc Ladanyi, Boris Reva, Rileen Sinha, S. Onur Sumer, Nils Weinhold, Nikolaus Schultz, Ronglai Shen, Chris Sander, Sam Ng, Singer Ma, Jingchun Zhu, Amie Radenbaugh, Joshua M. Stuart, Christopher C. Benz, Christina Yau, David Haussler, Paul T. Spellman, Matthew D. Wilkerson, Joel S. Parker, Katherine A. Hoadley, Patrick K. Kimes, D. Neil Hayes, Charles M. Perou, Bradley M. Broom, Jing Wang, Yiling Lu, Patrick Kwok Shing Ng, Lixia Diao, Lauren Averett Byers, </w:t>
      </w:r>
      <w:r>
        <w:lastRenderedPageBreak/>
        <w:t xml:space="preserve">Wenbin Liu, John V. Heymach, Christopher I. Amos, John N. Weinstein, Rehan Akbani, Gordon B. Mills, Erin Curley, Joseph Paulauskis, Kevin Lau, Scott Morris, Troy Shelton, David Mallery, Johanna Gardner, Robert Penny, Charles Saller, Katherine Tarvin, William G. Richards, Robert Cerfolio, Ayesha Bryant, Daniel P. Raymond, Nathan A. Pennell, Carol Farver, Christine Czerwinski, Lori Huelsenbeck-Dill, Mary Iacocca, Nicholas Petrelli, Brenda Rabeno, Jennifer Brown, Thomas Bauer, Oleg Dolzhanskiy, Olga Potapova, Daniil Rotin, Olga Voronina, Elena Nemirovich-Danchenko, Konstantin V. Fedosenko, Anthony Gal, Madhusmita Behera, Suresh S. Ramalingam, Gabriel Sica, Douglas Flieder, Jeff Boyd, JoEllen Weaver, Bernard Kohl, Dang Huy Quoc Thinh, George Sandusky, Hartmut Juhl, The Cancer Genome Atlas Research Network, Disease analysis working group, Genome sequencing centres: The Eli &amp; Edythe L. Broad Institute, Washington University in St. Louis, Baylor College of Medicine, British Columbia Cancer Agency Genome characterization centres: Canada’s Michael Smith Genome Sciences Centre, The Eli &amp; Edythe L. Broad Institute, Harvard Medical School/Brigham &amp; Women’s Hospital/MD Anderson Cancer Center, Chapel Hill University of North Carolina, University of Kentucky, The USC/JHU Epigenome Characterization Center, Genome data analysis centres: The Eli &amp; Edythe L. Broad Institute, Memorial Sloan-Kettering Cancer Center, Santa Cruz/Buck Institute University of California, Oregon Health &amp; Sciences University, The University of Texas MD Anderson Cancer Center, Biospecimen core resource: International Genomics Consortium, Inc. Tissue source sites: Analytical Biological Service, Brigham &amp; Women’s Hospital, University of Alabama at Birmingham, Cleveland Clinic, Christiana Care, Cureline, Emory University, Fox Chase Cancer Center, ILSbio, Indiana University, Indivumed, y John Flynn Hospital. 2014. «Comprehensive Molecular Profiling of Lung Adenocarcinoma». </w:t>
      </w:r>
      <w:r>
        <w:rPr>
          <w:i/>
          <w:iCs/>
        </w:rPr>
        <w:t>Nature</w:t>
      </w:r>
      <w:r>
        <w:t xml:space="preserve"> 511(7511):543-50. doi:10.1038/nature13385.</w:t>
      </w:r>
    </w:p>
    <w:p w14:paraId="26B51191" w14:textId="77777777" w:rsidR="00D319E1" w:rsidRDefault="00D319E1" w:rsidP="00D319E1">
      <w:pPr>
        <w:pStyle w:val="Bibliografa"/>
      </w:pPr>
      <w:r>
        <w:t xml:space="preserve">Cox, D. R. 1972. «Regression Models and Life-Tables». </w:t>
      </w:r>
      <w:r>
        <w:rPr>
          <w:i/>
          <w:iCs/>
        </w:rPr>
        <w:t>Journal of the Royal Statistical Society: Series B (Methodological)</w:t>
      </w:r>
      <w:r>
        <w:t xml:space="preserve"> 34(2):187-202. doi:10.1111/j.2517-6161.1972.tb00899.x.</w:t>
      </w:r>
    </w:p>
    <w:p w14:paraId="0B6F9F80" w14:textId="77777777" w:rsidR="00D319E1" w:rsidRDefault="00D319E1" w:rsidP="00D319E1">
      <w:pPr>
        <w:pStyle w:val="Bibliografa"/>
      </w:pPr>
      <w:r>
        <w:t xml:space="preserve">Curtis, Christina, Sohrab P. Shah, Suet-Feung Chin, Gulisa Turashvili, Oscar M. Rueda, Mark J. Dunning, Doug Speed, Andy G. Lynch, Shamith Samarajiwa, Yinyin Yuan, Stefan Gräf, Gavin Ha, Gholamreza Haffari, Ali Bashashati, Roslin Russell, Steven McKinney, Anita Langerød, Andrew Green, Elena Provenzano, Gordon Wishart, Sarah Pinder, Peter Watson, Florian Markowetz, Leigh Murphy, Ian Ellis, Arnie Purushotham, Anne-Lise Børresen-Dale, James D. Brenton, Simon Tavaré, Carlos Caldas, y Samuel Aparicio. 2012. «The Genomic and Transcriptomic Architecture of 2,000 Breast Tumours Reveals Novel Subgroups». </w:t>
      </w:r>
      <w:r>
        <w:rPr>
          <w:i/>
          <w:iCs/>
        </w:rPr>
        <w:t>Nature</w:t>
      </w:r>
      <w:r>
        <w:t xml:space="preserve"> 486(7403):346-52. doi:10.1038/nature10983.</w:t>
      </w:r>
    </w:p>
    <w:p w14:paraId="5446B157" w14:textId="77777777" w:rsidR="00D319E1" w:rsidRDefault="00D319E1" w:rsidP="00D319E1">
      <w:pPr>
        <w:pStyle w:val="Bibliografa"/>
      </w:pPr>
      <w:r>
        <w:t xml:space="preserve">Dhiman, Paula, Jie Ma, Constanza Andaur Navarro, Benjamin Speich, Garrett Bullock, Johanna AA Damen, Shona Kirtley, Lotty Hooft, Richard D. Riley, Ben Van Calster, Karel G. M. Moons, y Gary S. Collins. 2021. «Reporting of prognostic clinical prediction models based on machine learning methods in oncology needs to be improved». </w:t>
      </w:r>
      <w:r>
        <w:rPr>
          <w:i/>
          <w:iCs/>
        </w:rPr>
        <w:t>Journal of Clinical Epidemiology</w:t>
      </w:r>
      <w:r>
        <w:t xml:space="preserve"> 138:60-72. doi:10.1016/j.jclinepi.2021.06.024.</w:t>
      </w:r>
    </w:p>
    <w:p w14:paraId="370E2727" w14:textId="77777777" w:rsidR="00D319E1" w:rsidRDefault="00D319E1" w:rsidP="00D319E1">
      <w:pPr>
        <w:pStyle w:val="Bibliografa"/>
      </w:pPr>
      <w:r>
        <w:t xml:space="preserve">Didier, Alexander J., Anthony Nigro, Zaid Noori, Mohamed A. Omballi, Scott M. Pappada, y Danae M. Hamouda. 2024. «Application of Machine Learning for Lung Cancer Survival Prognostication—A Systematic Review and Meta-Analysis». </w:t>
      </w:r>
      <w:r>
        <w:rPr>
          <w:i/>
          <w:iCs/>
        </w:rPr>
        <w:t>Frontiers in Artificial Intelligence</w:t>
      </w:r>
      <w:r>
        <w:t xml:space="preserve"> 7. doi:10.3389/frai.2024.1365777.</w:t>
      </w:r>
    </w:p>
    <w:p w14:paraId="3500E720" w14:textId="77777777" w:rsidR="00D319E1" w:rsidRDefault="00D319E1" w:rsidP="00D319E1">
      <w:pPr>
        <w:pStyle w:val="Bibliografa"/>
      </w:pPr>
      <w:r>
        <w:lastRenderedPageBreak/>
        <w:t xml:space="preserve">Graf, Erika, Claudia Schmoor, Willi Sauerbrei, y Martin Schumacher. 1999. «Assessment and Comparison of Prognostic Classification Schemes for Survival Data». </w:t>
      </w:r>
      <w:r>
        <w:rPr>
          <w:i/>
          <w:iCs/>
        </w:rPr>
        <w:t>Statistics in Medicine</w:t>
      </w:r>
      <w:r>
        <w:t xml:space="preserve"> 18(17-18):2529-45. doi:10.1002/(SICI)1097-0258(19990915/30)18:17/18&lt;2529::AID-SIM274&gt;3.0.CO;2-5.</w:t>
      </w:r>
    </w:p>
    <w:p w14:paraId="7EAF75F0" w14:textId="77777777" w:rsidR="00D319E1" w:rsidRDefault="00D319E1" w:rsidP="00D319E1">
      <w:pPr>
        <w:pStyle w:val="Bibliografa"/>
      </w:pPr>
      <w:r>
        <w:t xml:space="preserve">Han, Eonyong, Hwijun Kwon, y Inuk Jung. 2025. «A Review on Multi-Omics Integration for Aiding Study Design of Large Scale TCGA Cancer Datasets». </w:t>
      </w:r>
      <w:r>
        <w:rPr>
          <w:i/>
          <w:iCs/>
        </w:rPr>
        <w:t>BMC Genomics</w:t>
      </w:r>
      <w:r>
        <w:t xml:space="preserve"> 26(1):769. doi:10.1186/s12864-025-11925-y.</w:t>
      </w:r>
    </w:p>
    <w:p w14:paraId="2C4C64AF" w14:textId="77777777" w:rsidR="00D319E1" w:rsidRDefault="00D319E1" w:rsidP="00D319E1">
      <w:pPr>
        <w:pStyle w:val="Bibliografa"/>
      </w:pPr>
      <w:r>
        <w:t xml:space="preserve">Hänzelmann, Sonja, Robert Castelo, y Justin Guinney. 2013. «GSVA: Gene Set Variation Analysis for Microarray and RNA-Seq Data». </w:t>
      </w:r>
      <w:r>
        <w:rPr>
          <w:i/>
          <w:iCs/>
        </w:rPr>
        <w:t>BMC Bioinformatics</w:t>
      </w:r>
      <w:r>
        <w:t xml:space="preserve"> 14(1):7. doi:10.1186/1471-2105-14-7.</w:t>
      </w:r>
    </w:p>
    <w:p w14:paraId="09BF6804" w14:textId="77777777" w:rsidR="00D319E1" w:rsidRDefault="00D319E1" w:rsidP="00D319E1">
      <w:pPr>
        <w:pStyle w:val="Bibliografa"/>
      </w:pPr>
      <w:r>
        <w:t xml:space="preserve">HARRELL Jr., Frank E., Kerry L. Lee, y Daniel B. Mark. 1996. «Multivariable Prognostic Models: Issues in Developing Models, Evaluating Assumptions and Adequacy, and Measuring and Reducing Errors». </w:t>
      </w:r>
      <w:r>
        <w:rPr>
          <w:i/>
          <w:iCs/>
        </w:rPr>
        <w:t>Statistics in Medicine</w:t>
      </w:r>
      <w:r>
        <w:t xml:space="preserve"> 15(4):361-87. doi:10.1002/(SICI)1097-0258(19960229)15:4&lt;361::AID-SIM168&gt;3.0.CO;2-4.</w:t>
      </w:r>
    </w:p>
    <w:p w14:paraId="0F061E26" w14:textId="77777777" w:rsidR="00D319E1" w:rsidRDefault="00D319E1" w:rsidP="00D319E1">
      <w:pPr>
        <w:pStyle w:val="Bibliografa"/>
      </w:pPr>
      <w:r>
        <w:t xml:space="preserve">Hellmann, Matthew D., Tudor-Eliade Ciuleanu, Adam Pluzanski, Jong Seok Lee, Gregory A. Otterson, Clarisse Audigier-Valette, Elisa Minenza, Helena Linardou, Sjaak Burgers, Pamela Salman, Hossein Borghaei, Suresh S. Ramalingam, Julie Brahmer, Martin Reck, Kenneth J. O’Byrne, William J. Geese, George Green, Han Chang, Joseph Szustakowski, Prabhu Bhagavatheeswaran, Diane Healey, Yali Fu, Faith Nathan, y Luis Paz-Ares. 2018. «Nivolumab plus Ipilimumab in Lung Cancer with a High Tumor Mutational Burden». </w:t>
      </w:r>
      <w:r>
        <w:rPr>
          <w:i/>
          <w:iCs/>
        </w:rPr>
        <w:t>New England Journal of Medicine</w:t>
      </w:r>
      <w:r>
        <w:t xml:space="preserve"> 378(22):2093-2104. doi:10.1056/NEJMoa1801946.</w:t>
      </w:r>
    </w:p>
    <w:p w14:paraId="78BF5039" w14:textId="77777777" w:rsidR="00D319E1" w:rsidRDefault="00D319E1" w:rsidP="00D319E1">
      <w:pPr>
        <w:pStyle w:val="Bibliografa"/>
      </w:pPr>
      <w:r>
        <w:t xml:space="preserve">Huang, Zhi, Travis S. Johnson, Zhi Han, Bryan Helm, Sha Cao, Chi Zhang, Paul Salama, Maher Rizkalla, Christina Y. Yu, Jun Cheng, Shunian Xiang, Xiaohui Zhan, Jie Zhang, y Kun Huang. 2020. «Deep Learning-Based Cancer Survival Prognosis from RNA-Seq Data: Approaches and Evaluations». </w:t>
      </w:r>
      <w:r>
        <w:rPr>
          <w:i/>
          <w:iCs/>
        </w:rPr>
        <w:t>BMC Medical Genomics</w:t>
      </w:r>
      <w:r>
        <w:t xml:space="preserve"> 13(5):41. doi:10.1186/s12920-020-0686-1.</w:t>
      </w:r>
    </w:p>
    <w:p w14:paraId="5E75924B" w14:textId="77777777" w:rsidR="00D319E1" w:rsidRDefault="00D319E1" w:rsidP="00D319E1">
      <w:pPr>
        <w:pStyle w:val="Bibliografa"/>
      </w:pPr>
      <w:r>
        <w:t xml:space="preserve">Ishwaran, Hemant, Udaya B. Kogalur, Eugene H. Blackstone, y Michael S. Lauer. 2008. «Random Survival Forests». </w:t>
      </w:r>
      <w:r>
        <w:rPr>
          <w:i/>
          <w:iCs/>
        </w:rPr>
        <w:t>The Annals of Applied Statistics</w:t>
      </w:r>
      <w:r>
        <w:t xml:space="preserve"> 2(3):841-60. doi:10.1214/08-AOAS169.</w:t>
      </w:r>
    </w:p>
    <w:p w14:paraId="5F7A1D30" w14:textId="77777777" w:rsidR="00D319E1" w:rsidRDefault="00D319E1" w:rsidP="00D319E1">
      <w:pPr>
        <w:pStyle w:val="Bibliografa"/>
      </w:pPr>
      <w:r>
        <w:t xml:space="preserve">Jensen, Mark A., Vincent Ferretti, Robert L. Grossman, y Louis M. Staudt. 2017. «The NCI Genomic Data Commons as an engine for precision medicine». </w:t>
      </w:r>
      <w:r>
        <w:rPr>
          <w:i/>
          <w:iCs/>
        </w:rPr>
        <w:t>Blood</w:t>
      </w:r>
      <w:r>
        <w:t xml:space="preserve"> 130(4):453-59. doi:10.1182/blood-2017-03-735654.</w:t>
      </w:r>
    </w:p>
    <w:p w14:paraId="6ABEA163" w14:textId="77777777" w:rsidR="00D319E1" w:rsidRDefault="00D319E1" w:rsidP="00D319E1">
      <w:pPr>
        <w:pStyle w:val="Bibliografa"/>
      </w:pPr>
      <w:r>
        <w:t xml:space="preserve">Jin, Yudi, Min Zhao, Tong Su, Yanjia Fan, Zubin Ouyang, y Fajin Lv. 2025. «Comparing Random Survival Forests and Cox Regression for Nonresponders to Neoadjuvant Chemotherapy Among Patients With Breast Cancer: Multicenter Retrospective Cohort Study». </w:t>
      </w:r>
      <w:r>
        <w:rPr>
          <w:i/>
          <w:iCs/>
        </w:rPr>
        <w:t>Journal of Medical Internet Research</w:t>
      </w:r>
      <w:r>
        <w:t xml:space="preserve"> 27(1):e69864. doi:10.2196/69864.</w:t>
      </w:r>
    </w:p>
    <w:p w14:paraId="2E4242D6" w14:textId="77777777" w:rsidR="00D319E1" w:rsidRDefault="00D319E1" w:rsidP="00D319E1">
      <w:pPr>
        <w:pStyle w:val="Bibliografa"/>
      </w:pPr>
      <w:r>
        <w:t xml:space="preserve">Johnson, W. Evan, Cheng Li, y Ariel Rabinovic. 2007. «Adjusting batch effects in microarray expression data using empirical Bayes methods». </w:t>
      </w:r>
      <w:r>
        <w:rPr>
          <w:i/>
          <w:iCs/>
        </w:rPr>
        <w:t>Biostatistics</w:t>
      </w:r>
      <w:r>
        <w:t xml:space="preserve"> 8(1):118-27. doi:10.1093/biostatistics/kxj037.</w:t>
      </w:r>
    </w:p>
    <w:p w14:paraId="3F0AC67D" w14:textId="77777777" w:rsidR="00D319E1" w:rsidRDefault="00D319E1" w:rsidP="00D319E1">
      <w:pPr>
        <w:pStyle w:val="Bibliografa"/>
      </w:pPr>
      <w:r>
        <w:t xml:space="preserve">Kandoth, Cyriac, Michael D. McLellan, Fabio Vandin, Kai Ye, Beifang Niu, Charles Lu, Mingchao Xie, Qunyuan Zhang, Joshua F. McMichael, Matthew A. Wyczalkowski, Mark D. M. Leiserson, Christopher A. Miller, John S. Welch, Matthew J. Walter, Michael C. Wendl, Timothy J. Ley, Richard K. Wilson, Benjamin J. Raphael, y Li Ding. 2013. «Mutational </w:t>
      </w:r>
      <w:r>
        <w:lastRenderedPageBreak/>
        <w:t xml:space="preserve">Landscape and Significance across 12 Major Cancer Types». </w:t>
      </w:r>
      <w:r>
        <w:rPr>
          <w:i/>
          <w:iCs/>
        </w:rPr>
        <w:t>Nature</w:t>
      </w:r>
      <w:r>
        <w:t xml:space="preserve"> 502(7471):333-39. doi:10.1038/nature12634.</w:t>
      </w:r>
    </w:p>
    <w:p w14:paraId="1B6D6C79" w14:textId="77777777" w:rsidR="00D319E1" w:rsidRDefault="00D319E1" w:rsidP="00D319E1">
      <w:pPr>
        <w:pStyle w:val="Bibliografa"/>
      </w:pPr>
      <w:r>
        <w:t xml:space="preserve">Kaplan, E. L., y Paul Meier. 1958. «Nonparametric Estimation from Incomplete Observations». </w:t>
      </w:r>
      <w:r>
        <w:rPr>
          <w:i/>
          <w:iCs/>
        </w:rPr>
        <w:t>Journal of the American Statistical Association</w:t>
      </w:r>
      <w:r>
        <w:t xml:space="preserve"> 53(282):457-81. doi:10.1080/01621459.1958.10501452.</w:t>
      </w:r>
    </w:p>
    <w:p w14:paraId="4FE7273C" w14:textId="77777777" w:rsidR="00D319E1" w:rsidRDefault="00D319E1" w:rsidP="00D319E1">
      <w:pPr>
        <w:pStyle w:val="Bibliografa"/>
      </w:pPr>
      <w:r>
        <w:t xml:space="preserve">Kar, İrem, Gökhan Kocaman, Farrukh İbrahimov, Serkan Enön, Erdal Coşgun, y Atilla Halil Elhan. 2023. «Comparison of Deep Learning-Based Recurrence-Free Survival with Random Survival Forest and Cox Proportional Hazard Models in Stage-I NSCLC Patients». </w:t>
      </w:r>
      <w:r>
        <w:rPr>
          <w:i/>
          <w:iCs/>
        </w:rPr>
        <w:t>Cancer Medicine</w:t>
      </w:r>
      <w:r>
        <w:t xml:space="preserve"> 12(18):19272-78. doi:10.1002/cam4.6479.</w:t>
      </w:r>
    </w:p>
    <w:p w14:paraId="71D91B5C" w14:textId="77777777" w:rsidR="00D319E1" w:rsidRDefault="00D319E1" w:rsidP="00D319E1">
      <w:pPr>
        <w:pStyle w:val="Bibliografa"/>
      </w:pPr>
      <w:r>
        <w:t xml:space="preserve">Katzman, Jared L., Uri Shaham, Alexander Cloninger, Jonathan Bates, Tingting Jiang, y Yuval Kluger. 2018. «DeepSurv: Personalized Treatment Recommender System Using a Cox Proportional Hazards Deep Neural Network». </w:t>
      </w:r>
      <w:r>
        <w:rPr>
          <w:i/>
          <w:iCs/>
        </w:rPr>
        <w:t>BMC Medical Research Methodology</w:t>
      </w:r>
      <w:r>
        <w:t xml:space="preserve"> 18(1):24. doi:10.1186/s12874-018-0482-1.</w:t>
      </w:r>
    </w:p>
    <w:p w14:paraId="30FB8E36" w14:textId="77777777" w:rsidR="00D319E1" w:rsidRDefault="00D319E1" w:rsidP="00D319E1">
      <w:pPr>
        <w:pStyle w:val="Bibliografa"/>
      </w:pPr>
      <w:r>
        <w:t xml:space="preserve">Kratz, Johannes R., Jianxing He, Stephen K. Van Den Eeden, Zhi-Hua Zhu, Wen Gao, Patrick T. Pham, Michael S. Mulvihill, Fatemeh Ziaei, Huanrong Zhang, Bo Su, Xiuyi Zhi, Charles P. Quesenberry, Laurel A. Habel, Qiuhua Deng, Zongfei Wang, Jiangfen Zhou, Huiling Li, Mei-Chun Huang, Che-Chung Yeh, Mark R. Segal, M. Roshni Ray, Kirk D. Jones, Dan J. Raz, Zhidong Xu, Thierry M. Jahan, David Berryman, Biao He, Michael J. Mann, y David M. Jablons. 2012. «A Practical Molecular Assay to Predict Survival in Resected Non-Squamous, Non-Small-Cell Lung Cancer: Development and International Validation Studies». </w:t>
      </w:r>
      <w:r>
        <w:rPr>
          <w:i/>
          <w:iCs/>
        </w:rPr>
        <w:t>The Lancet</w:t>
      </w:r>
      <w:r>
        <w:t xml:space="preserve"> 379(9818):823-32. doi:10.1016/S0140-6736(11)61941-7.</w:t>
      </w:r>
    </w:p>
    <w:p w14:paraId="3D8B75C6" w14:textId="77777777" w:rsidR="00D319E1" w:rsidRDefault="00D319E1" w:rsidP="00D319E1">
      <w:pPr>
        <w:pStyle w:val="Bibliografa"/>
      </w:pPr>
      <w:r>
        <w:t xml:space="preserve">Lai, Yu-Heng, Wei-Ning Chen, Te-Cheng Hsu, Che Lin, Yu Tsao, y Semon Wu. 2020. «Overall Survival Prediction of Non-Small Cell Lung Cancer by Integrating Microarray and Clinical Data with Deep Learning». </w:t>
      </w:r>
      <w:r>
        <w:rPr>
          <w:i/>
          <w:iCs/>
        </w:rPr>
        <w:t>Scientific Reports</w:t>
      </w:r>
      <w:r>
        <w:t xml:space="preserve"> 10(1):4679. doi:10.1038/s41598-020-61588-w.</w:t>
      </w:r>
    </w:p>
    <w:p w14:paraId="2A3203B3" w14:textId="77777777" w:rsidR="00D319E1" w:rsidRDefault="00D319E1" w:rsidP="00D319E1">
      <w:pPr>
        <w:pStyle w:val="Bibliografa"/>
      </w:pPr>
      <w:r>
        <w:t xml:space="preserve">Lee, Tzong-Yi, Kai-Yao Huang, Cheng-Hsiang Chuang, Cheng-Yang Lee, y Tzu-Hao Chang. 2020. «Incorporating deep learning and multi-omics autoencoding for analysis of lung adenocarcinoma prognostication». </w:t>
      </w:r>
      <w:r>
        <w:rPr>
          <w:i/>
          <w:iCs/>
        </w:rPr>
        <w:t>Computational Biology and Chemistry</w:t>
      </w:r>
      <w:r>
        <w:t xml:space="preserve"> 87:107277. doi:10.1016/j.compbiolchem.2020.107277.</w:t>
      </w:r>
    </w:p>
    <w:p w14:paraId="5BC4AA8A" w14:textId="77777777" w:rsidR="00D319E1" w:rsidRDefault="00D319E1" w:rsidP="00D319E1">
      <w:pPr>
        <w:pStyle w:val="Bibliografa"/>
      </w:pPr>
      <w:r>
        <w:t xml:space="preserve">Leek, Jeffrey T., W. Evan Johnson, Hilary S. Parker, Andrew E. Jaffe, y John D. Storey. 2012. «The sva package for removing batch effects and other unwanted variation in high-throughput experiments». </w:t>
      </w:r>
      <w:r>
        <w:rPr>
          <w:i/>
          <w:iCs/>
        </w:rPr>
        <w:t>Bioinformatics</w:t>
      </w:r>
      <w:r>
        <w:t xml:space="preserve"> 28(6):882-83. doi:10.1093/bioinformatics/bts034.</w:t>
      </w:r>
    </w:p>
    <w:p w14:paraId="22CF5909" w14:textId="77777777" w:rsidR="00D319E1" w:rsidRDefault="00D319E1" w:rsidP="00D319E1">
      <w:pPr>
        <w:pStyle w:val="Bibliografa"/>
      </w:pPr>
      <w:r>
        <w:t xml:space="preserve">Le-Rademacher, Jennifer, y Xiaofei Wang. 2021. «Time-To-Event Data: An Overview and Analysis Considerations». </w:t>
      </w:r>
      <w:r>
        <w:rPr>
          <w:i/>
          <w:iCs/>
        </w:rPr>
        <w:t>Journal of Thoracic Oncology</w:t>
      </w:r>
      <w:r>
        <w:t xml:space="preserve"> 16(7):1067-74. doi:10.1016/j.jtho.2021.04.004.</w:t>
      </w:r>
    </w:p>
    <w:p w14:paraId="07976D23" w14:textId="77777777" w:rsidR="00D319E1" w:rsidRDefault="00D319E1" w:rsidP="00D319E1">
      <w:pPr>
        <w:pStyle w:val="Bibliografa"/>
      </w:pPr>
      <w:r>
        <w:t xml:space="preserve">Li, Jiaxin, Zijun Zhou, Jianyu Dong, Ying Fu, Yuan Li, Ze Luan, y Xin Peng. 2021. «Predicting Breast Cancer 5-Year Survival Using Machine Learning: A Systematic Review». </w:t>
      </w:r>
      <w:r>
        <w:rPr>
          <w:i/>
          <w:iCs/>
        </w:rPr>
        <w:t>PLOS ONE</w:t>
      </w:r>
      <w:r>
        <w:t xml:space="preserve"> 16(4):e0250370. doi:10.1371/journal.pone.0250370.</w:t>
      </w:r>
    </w:p>
    <w:p w14:paraId="57429A66" w14:textId="77777777" w:rsidR="00D319E1" w:rsidRDefault="00D319E1" w:rsidP="00D319E1">
      <w:pPr>
        <w:pStyle w:val="Bibliografa"/>
      </w:pPr>
      <w:r>
        <w:t xml:space="preserve">Mihaylov, Iliyan, Maria Nisheva, y Dimitar Vassilev. 2019. «Application of Machine Learning Models for Survival Prognosis in Breast Cancer Studies». </w:t>
      </w:r>
      <w:r>
        <w:rPr>
          <w:i/>
          <w:iCs/>
        </w:rPr>
        <w:t>Information</w:t>
      </w:r>
      <w:r>
        <w:t xml:space="preserve"> 10(3):93. doi:10.3390/info10030093.</w:t>
      </w:r>
    </w:p>
    <w:p w14:paraId="312A2E38" w14:textId="77777777" w:rsidR="00D319E1" w:rsidRDefault="00D319E1" w:rsidP="00D319E1">
      <w:pPr>
        <w:pStyle w:val="Bibliografa"/>
      </w:pPr>
      <w:r>
        <w:lastRenderedPageBreak/>
        <w:t xml:space="preserve">Molla, Getnet, y Molalegne Bitew. 2025. «The Future of Cancer Diagnosis and Treatment: Unlocking the Power of Biomarkers and Personalized Molecular-Targeted Therapies». </w:t>
      </w:r>
      <w:r>
        <w:rPr>
          <w:i/>
          <w:iCs/>
        </w:rPr>
        <w:t>Journal of Molecular Pathology</w:t>
      </w:r>
      <w:r>
        <w:t xml:space="preserve"> 6(3):20. doi:10.3390/jmp6030020.</w:t>
      </w:r>
    </w:p>
    <w:p w14:paraId="3A3BFB27" w14:textId="77777777" w:rsidR="00D319E1" w:rsidRDefault="00D319E1" w:rsidP="00D319E1">
      <w:pPr>
        <w:pStyle w:val="Bibliografa"/>
      </w:pPr>
      <w:r>
        <w:t xml:space="preserve">Nguyen, Ricky, y Fatemeh Vafaee. 2025. «Multi-Omics Prognostic Marker Discovery and Survival Modelling: A Case Study on Multi-Cancer Survival Analysis of Women’s Specific Tumours». </w:t>
      </w:r>
      <w:r>
        <w:rPr>
          <w:i/>
          <w:iCs/>
        </w:rPr>
        <w:t>Scientific Reports</w:t>
      </w:r>
      <w:r>
        <w:t xml:space="preserve"> 15(1):36706. doi:10.1038/s41598-025-20572-y.</w:t>
      </w:r>
    </w:p>
    <w:p w14:paraId="2A1ED4B8" w14:textId="77777777" w:rsidR="00D319E1" w:rsidRDefault="00D319E1" w:rsidP="00D319E1">
      <w:pPr>
        <w:pStyle w:val="Bibliografa"/>
      </w:pPr>
      <w:r>
        <w:t>Nota de Prensa: Estadística de Defunciones según la Causa de Muerte. Año 2024. Datos provisionales. s. f. Recuperado 19 de marzo de 2026. https://www.ine.es/dyngs/Prensa/pEDCM2024.html.</w:t>
      </w:r>
    </w:p>
    <w:p w14:paraId="7BD3709B" w14:textId="77777777" w:rsidR="00D319E1" w:rsidRDefault="00D319E1" w:rsidP="00D319E1">
      <w:pPr>
        <w:pStyle w:val="Bibliografa"/>
      </w:pPr>
      <w:r>
        <w:t xml:space="preserve">Oates, Briony J. 2022. </w:t>
      </w:r>
      <w:r>
        <w:rPr>
          <w:i/>
          <w:iCs/>
        </w:rPr>
        <w:t>Researching Information Systems and Computing</w:t>
      </w:r>
      <w:r>
        <w:t>. Second edition. London: SAGE Publications Ltd.</w:t>
      </w:r>
    </w:p>
    <w:p w14:paraId="7993DB5F" w14:textId="77777777" w:rsidR="00D319E1" w:rsidRDefault="00D319E1" w:rsidP="00D319E1">
      <w:pPr>
        <w:pStyle w:val="Bibliografa"/>
      </w:pPr>
      <w:r>
        <w:t xml:space="preserve">Orrantia-Borunda, Erasmo, Patricia Anchondo-Nuñez, Lucero Evelia Acuña-Aguilar, Francisco Octavio Gómez-Valles, y Claudia Adriana Ramírez-Valdespino. 2022. «Subtypes of Breast Cancer». en </w:t>
      </w:r>
      <w:r>
        <w:rPr>
          <w:i/>
          <w:iCs/>
        </w:rPr>
        <w:t>Breast Cancer</w:t>
      </w:r>
      <w:r>
        <w:t>, editado por H. N. Mayrovitz. Brisbane (AU): Exon Publications.</w:t>
      </w:r>
    </w:p>
    <w:p w14:paraId="3853CF76" w14:textId="77777777" w:rsidR="00D319E1" w:rsidRDefault="00D319E1" w:rsidP="00D319E1">
      <w:pPr>
        <w:pStyle w:val="Bibliografa"/>
      </w:pPr>
      <w:r>
        <w:t xml:space="preserve">Paik, Soonmyung, Steven Shak, Gong Tang, Chungyeul Kim, Joffre Baker, Maureen Cronin, Frederick L. Baehner, Michael G. Walker, Drew Watson, Taesung Park, William Hiller, Edwin R. Fisher, D. Lawrence Wickerham, John Bryant, y Norman Wolmark. 2004. «A Multigene Assay to Predict Recurrence of Tamoxifen-Treated, Node-Negative Breast Cancer». </w:t>
      </w:r>
      <w:r>
        <w:rPr>
          <w:i/>
          <w:iCs/>
        </w:rPr>
        <w:t>New England Journal of Medicine</w:t>
      </w:r>
      <w:r>
        <w:t xml:space="preserve"> 351(27):2817-26. doi:10.1056/NEJMoa041588.</w:t>
      </w:r>
    </w:p>
    <w:p w14:paraId="024AB6C4" w14:textId="77777777" w:rsidR="00D319E1" w:rsidRDefault="00D319E1" w:rsidP="00D319E1">
      <w:pPr>
        <w:pStyle w:val="Bibliografa"/>
      </w:pPr>
      <w:r>
        <w:t xml:space="preserve">Pao, William, y Nicolas Girard. 2011. «New Driver Mutations in Non-Small-Cell Lung Cancer». </w:t>
      </w:r>
      <w:r>
        <w:rPr>
          <w:i/>
          <w:iCs/>
        </w:rPr>
        <w:t>The Lancet Oncology</w:t>
      </w:r>
      <w:r>
        <w:t xml:space="preserve"> 12(2):175-80. doi:10.1016/S1470-2045(10)70087-5.</w:t>
      </w:r>
    </w:p>
    <w:p w14:paraId="075228F7" w14:textId="77777777" w:rsidR="00D319E1" w:rsidRDefault="00D319E1" w:rsidP="00D319E1">
      <w:pPr>
        <w:pStyle w:val="Bibliografa"/>
      </w:pPr>
      <w:r>
        <w:t xml:space="preserve">Perou, Charles M., Therese Sørlie, Michael B. Eisen, Matt van de Rijn, Stefanie S. Jeffrey, Christian A. Rees, Jonathan R. Pollack, Douglas T. Ross, Hilde Johnsen, Lars A. Akslen, Øystein Fluge, Alexander Pergamenschikov, Cheryl Williams, Shirley X. Zhu, Per E. Lønning, Anne-Lise Børresen-Dale, Patrick O. Brown, y David Botstein. 2000. «Molecular Portraits of Human Breast Tumours». </w:t>
      </w:r>
      <w:r>
        <w:rPr>
          <w:i/>
          <w:iCs/>
        </w:rPr>
        <w:t>Nature</w:t>
      </w:r>
      <w:r>
        <w:t xml:space="preserve"> 406(6797):747-52. doi:10.1038/35021093.</w:t>
      </w:r>
    </w:p>
    <w:p w14:paraId="75FA4234" w14:textId="77777777" w:rsidR="00D319E1" w:rsidRDefault="00D319E1" w:rsidP="00D319E1">
      <w:pPr>
        <w:pStyle w:val="Bibliografa"/>
      </w:pPr>
      <w:r>
        <w:t xml:space="preserve">Ramspek, Chava L., Kitty J. Jager, Friedo W. Dekker, Carmine Zoccali, y Merel van Diepen. 2021. «External validation of prognostic models: what, why, how, when and where?» </w:t>
      </w:r>
      <w:r>
        <w:rPr>
          <w:i/>
          <w:iCs/>
        </w:rPr>
        <w:t>Clinical Kidney Journal</w:t>
      </w:r>
      <w:r>
        <w:t xml:space="preserve"> 14(1):49-58. doi:10.1093/ckj/sfaa188.</w:t>
      </w:r>
    </w:p>
    <w:p w14:paraId="1CCAB7C0" w14:textId="77777777" w:rsidR="00D319E1" w:rsidRDefault="00D319E1" w:rsidP="00D319E1">
      <w:pPr>
        <w:pStyle w:val="Bibliografa"/>
      </w:pPr>
      <w:r>
        <w:t xml:space="preserve">She, Yunlang, Zhuochen Jin, Junqi Wu, Jiajun Deng, Lei Zhang, Hang Su, Gening Jiang, Haipeng Liu, Dong Xie, Nan Cao, Yijiu Ren, y Chang Chen. 2020. «Development and Validation of a Deep Learning Model for Non–Small Cell Lung Cancer Survival». </w:t>
      </w:r>
      <w:r>
        <w:rPr>
          <w:i/>
          <w:iCs/>
        </w:rPr>
        <w:t>JAMA Network Open</w:t>
      </w:r>
      <w:r>
        <w:t xml:space="preserve"> 3(6):e205842. doi:10.1001/jamanetworkopen.2020.5842.</w:t>
      </w:r>
    </w:p>
    <w:p w14:paraId="27F7F67A" w14:textId="77777777" w:rsidR="00D319E1" w:rsidRDefault="00D319E1" w:rsidP="00D319E1">
      <w:pPr>
        <w:pStyle w:val="Bibliografa"/>
      </w:pPr>
      <w:r>
        <w:t xml:space="preserve">Sørlie, Therese, Charles M. Perou, Robert Tibshirani, Turid Aas, Stephanie Geisler, Hilde Johnsen, Trevor Hastie, Michael B. Eisen, Matt van de Rijn, Stefanie S. Jeffrey, Thor Thorsen, Hanne Quist, John C. Matese, Patrick O. Brown, David Botstein, Per Eystein Lønning, y Anne-Lise Børresen-Dale. 2001. «Gene expression patterns of breast carcinomas distinguish tumor subclasses with clinical implications». </w:t>
      </w:r>
      <w:r>
        <w:rPr>
          <w:i/>
          <w:iCs/>
        </w:rPr>
        <w:t>Proceedings of the National Academy of Sciences</w:t>
      </w:r>
      <w:r>
        <w:t xml:space="preserve"> 98(19):10869-74. doi:10.1073/pnas.191367098.</w:t>
      </w:r>
    </w:p>
    <w:p w14:paraId="6EB762DC" w14:textId="77777777" w:rsidR="00D319E1" w:rsidRDefault="00D319E1" w:rsidP="00D319E1">
      <w:pPr>
        <w:pStyle w:val="Bibliografa"/>
      </w:pPr>
      <w:r>
        <w:t xml:space="preserve">Sparano, Joseph A., Robert J. Gray, Della F. Makower, Kathleen I. Pritchard, Kathy S. Albain, Daniel F. Hayes, Charles E. Geyer, Elizabeth C. Dees, Matthew P. Goetz, John A. </w:t>
      </w:r>
      <w:r>
        <w:lastRenderedPageBreak/>
        <w:t xml:space="preserve">Olson, Tracy Lively, Sunil S. Badve, Thomas J. Saphner, Lynne I. Wagner, Timothy J. Whelan, Matthew J. Ellis, Soonmyung Paik, William C. Wood, Peter M. Ravdin, Maccon M. Keane, Henry L. Gomez Moreno, Pavan S. Reddy, Timothy F. Goggins, Ingrid A. Mayer, Adam M. Brufsky, Deborah L. Toppmeyer, Virginia G. Kaklamani, Jeffrey L. Berenberg, Jeffrey Abrams, y George W. Sledge. 2018. «Adjuvant Chemotherapy Guided by a 21-Gene Expression Assay in Breast Cancer». </w:t>
      </w:r>
      <w:r>
        <w:rPr>
          <w:i/>
          <w:iCs/>
        </w:rPr>
        <w:t>New England Journal of Medicine</w:t>
      </w:r>
      <w:r>
        <w:t xml:space="preserve"> 379(2):111-21. doi:10.1056/NEJMoa1804710.</w:t>
      </w:r>
    </w:p>
    <w:p w14:paraId="0C588923" w14:textId="77777777" w:rsidR="00D319E1" w:rsidRDefault="00D319E1" w:rsidP="00D319E1">
      <w:pPr>
        <w:pStyle w:val="Bibliografa"/>
      </w:pPr>
      <w:r>
        <w:t xml:space="preserve">Stensrud, Mats J., y Miguel A. Hernán. 2020. «Why Test for Proportional Hazards?» </w:t>
      </w:r>
      <w:r>
        <w:rPr>
          <w:i/>
          <w:iCs/>
        </w:rPr>
        <w:t>JAMA</w:t>
      </w:r>
      <w:r>
        <w:t xml:space="preserve"> 323(14):1401-2. doi:10.1001/jama.2020.1267.</w:t>
      </w:r>
    </w:p>
    <w:p w14:paraId="3B91B6E4" w14:textId="77777777" w:rsidR="00D319E1" w:rsidRDefault="00D319E1" w:rsidP="00D319E1">
      <w:pPr>
        <w:pStyle w:val="Bibliografa"/>
      </w:pPr>
      <w:r>
        <w:t xml:space="preserve">The Cancer Genome Atlas Research Network, John N. Weinstein, Eric A. Collisson, Gordon B. Mills, Kenna R. Mills Shaw, Brad A. Ozenberger, Kyle Ellrott, Ilya Shmulevich, Chris Sander, y Joshua M. Stuart. 2013. «The Cancer Genome Atlas Pan-Cancer Analysis Project». </w:t>
      </w:r>
      <w:r>
        <w:rPr>
          <w:i/>
          <w:iCs/>
        </w:rPr>
        <w:t>Nature Genetics</w:t>
      </w:r>
      <w:r>
        <w:t xml:space="preserve"> 45(10):1113-20. doi:10.1038/ng.2764.</w:t>
      </w:r>
    </w:p>
    <w:p w14:paraId="602224FD" w14:textId="77777777" w:rsidR="00D319E1" w:rsidRDefault="00D319E1" w:rsidP="00D319E1">
      <w:pPr>
        <w:pStyle w:val="Bibliografa"/>
      </w:pPr>
      <w:r>
        <w:t xml:space="preserve">Tibshirani, Robert. 1997. «The Lasso Method for Variable Selection in the Cox Model». </w:t>
      </w:r>
      <w:r>
        <w:rPr>
          <w:i/>
          <w:iCs/>
        </w:rPr>
        <w:t>Statistics in Medicine</w:t>
      </w:r>
      <w:r>
        <w:t xml:space="preserve"> 16(4):385-95. doi:10.1002/(SICI)1097-0258(19970228)16:4&lt;385::AID-SIM380&gt;3.0.CO;2-3.</w:t>
      </w:r>
    </w:p>
    <w:p w14:paraId="18F1E7C9" w14:textId="77777777" w:rsidR="00D319E1" w:rsidRDefault="00D319E1" w:rsidP="00D319E1">
      <w:pPr>
        <w:pStyle w:val="Bibliografa"/>
      </w:pPr>
      <w:r>
        <w:t xml:space="preserve">Tong, Li, Jonathan Mitchel, Kevin Chatlin, y May D. Wang. 2020. «Deep Learning Based Feature-Level Integration of Multi-Omics Data for Breast Cancer Patients Survival Analysis». </w:t>
      </w:r>
      <w:r>
        <w:rPr>
          <w:i/>
          <w:iCs/>
        </w:rPr>
        <w:t>BMC Medical Informatics and Decision Making</w:t>
      </w:r>
      <w:r>
        <w:t xml:space="preserve"> 20(1):225. doi:10.1186/s12911-020-01225-8.</w:t>
      </w:r>
    </w:p>
    <w:p w14:paraId="1355D6C0" w14:textId="77777777" w:rsidR="00D319E1" w:rsidRDefault="00D319E1" w:rsidP="00D319E1">
      <w:pPr>
        <w:pStyle w:val="Bibliografa"/>
      </w:pPr>
      <w:r>
        <w:t xml:space="preserve">Usman, M., H. G. Dikko, S. Bala, y S. U. Gulumbe. 2014. «An Application of Kaplan-Meier Survival Analysis Using Breast Cancer Data». </w:t>
      </w:r>
      <w:r>
        <w:rPr>
          <w:i/>
          <w:iCs/>
        </w:rPr>
        <w:t>Sub-Saharan African Journal of Medicine</w:t>
      </w:r>
      <w:r>
        <w:t xml:space="preserve"> 1(3):132. doi:10.4103/2384-5147.138940.</w:t>
      </w:r>
    </w:p>
    <w:p w14:paraId="5F1C3739" w14:textId="77777777" w:rsidR="00D319E1" w:rsidRDefault="00D319E1" w:rsidP="00D319E1">
      <w:pPr>
        <w:pStyle w:val="Bibliografa"/>
      </w:pPr>
      <w:r>
        <w:t xml:space="preserve">Van Belle, V., K. Pelckmans, S. Van Huffel, y J. A. K. Suykens. 2011. «Improved performance on high-dimensional survival data by application of Survival-SVM». </w:t>
      </w:r>
      <w:r>
        <w:rPr>
          <w:i/>
          <w:iCs/>
        </w:rPr>
        <w:t>Bioinformatics</w:t>
      </w:r>
      <w:r>
        <w:t xml:space="preserve"> 27(1):87-94. doi:10.1093/bioinformatics/btq617.</w:t>
      </w:r>
    </w:p>
    <w:p w14:paraId="587F7DBE" w14:textId="77777777" w:rsidR="00D319E1" w:rsidRDefault="00D319E1" w:rsidP="00D319E1">
      <w:pPr>
        <w:pStyle w:val="Bibliografa"/>
      </w:pPr>
      <w:r>
        <w:t xml:space="preserve">Wang, Ping, Yan Li, y Chandan K. Reddy. 2019. «Machine Learning for Survival Analysis: A Survey». </w:t>
      </w:r>
      <w:r>
        <w:rPr>
          <w:i/>
          <w:iCs/>
        </w:rPr>
        <w:t>ACM Comput. Surv.</w:t>
      </w:r>
      <w:r>
        <w:t xml:space="preserve"> 51(6):110:1-110:36. doi:10.1145/3214306.</w:t>
      </w:r>
    </w:p>
    <w:p w14:paraId="2E07BB6A" w14:textId="77777777" w:rsidR="00D319E1" w:rsidRDefault="00D319E1" w:rsidP="00D319E1">
      <w:pPr>
        <w:pStyle w:val="Bibliografa"/>
      </w:pPr>
      <w:r>
        <w:t xml:space="preserve">Wang, Yuxuan, Weikang Chen, Minqi Zhu, y Lei Xian. 2021. «Ferroptosis-Related Gene Signature and Patterns of Immune Infiltration Predict the Overall Survival in Patients With Lung Adenocarcinoma». </w:t>
      </w:r>
      <w:r>
        <w:rPr>
          <w:i/>
          <w:iCs/>
        </w:rPr>
        <w:t>Frontiers in Molecular Biosciences</w:t>
      </w:r>
      <w:r>
        <w:t xml:space="preserve"> 8. doi:10.3389/fmolb.2021.692530.</w:t>
      </w:r>
    </w:p>
    <w:p w14:paraId="79AD9FBB" w14:textId="77777777" w:rsidR="00D319E1" w:rsidRDefault="00D319E1" w:rsidP="00D319E1">
      <w:pPr>
        <w:pStyle w:val="Bibliografa"/>
      </w:pPr>
      <w:r>
        <w:t xml:space="preserve">Yousefi, Safoora, Fatemeh Amrollahi, Mohamed Amgad, Chengliang Dong, Joshua E. Lewis, Congzheng Song, David A. Gutman, Sameer H. Halani, Jose Enrique Velazquez Vega, Daniel J. Brat, y Lee A. D. Cooper. 2017. «Predicting Clinical Outcomes from Large Scale Cancer Genomic Profiles with Deep Survival Models». </w:t>
      </w:r>
      <w:r>
        <w:rPr>
          <w:i/>
          <w:iCs/>
        </w:rPr>
        <w:t>Scientific Reports</w:t>
      </w:r>
      <w:r>
        <w:t xml:space="preserve"> 7(1):11707. doi:10.1038/s41598-017-11817-6.</w:t>
      </w:r>
    </w:p>
    <w:p w14:paraId="14D5BB0D" w14:textId="77777777" w:rsidR="00D319E1" w:rsidRDefault="00D319E1" w:rsidP="00D319E1">
      <w:pPr>
        <w:pStyle w:val="Bibliografa"/>
      </w:pPr>
      <w:r>
        <w:t xml:space="preserve">Zhao, Qing, Xingjie Shi, Yang Xie, Jian Huang, BenChang Shia, y Shuangge Ma. 2015. «Combining multidimensional genomic measurements for predicting cancer prognosis: observations from TCGA». </w:t>
      </w:r>
      <w:r>
        <w:rPr>
          <w:i/>
          <w:iCs/>
        </w:rPr>
        <w:t>Briefings in Bioinformatics</w:t>
      </w:r>
      <w:r>
        <w:t xml:space="preserve"> 16(2):291-303. doi:10.1093/bib/bbu003.</w:t>
      </w:r>
    </w:p>
    <w:p w14:paraId="292C9106" w14:textId="3192050E" w:rsidR="00AF0DC8" w:rsidRDefault="00AF0DC8" w:rsidP="00783C55">
      <w:pPr>
        <w:spacing w:after="100"/>
        <w:rPr>
          <w:sz w:val="23"/>
          <w:szCs w:val="23"/>
        </w:rPr>
      </w:pPr>
      <w:r>
        <w:rPr>
          <w:sz w:val="23"/>
          <w:szCs w:val="23"/>
        </w:rPr>
        <w:fldChar w:fldCharType="end"/>
      </w:r>
    </w:p>
    <w:sectPr w:rsidR="00AF0DC8" w:rsidSect="00E840D2">
      <w:headerReference w:type="default" r:id="rId17"/>
      <w:footerReference w:type="default" r:id="rId18"/>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3AF441" w14:textId="77777777" w:rsidR="00B42546" w:rsidRDefault="00B42546" w:rsidP="00D61758">
      <w:r>
        <w:separator/>
      </w:r>
    </w:p>
  </w:endnote>
  <w:endnote w:type="continuationSeparator" w:id="0">
    <w:p w14:paraId="00101617" w14:textId="77777777" w:rsidR="00B42546" w:rsidRDefault="00B42546" w:rsidP="00D61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C40C0" w14:textId="6F473C01" w:rsidR="00D61758" w:rsidRDefault="00D61758">
    <w:pPr>
      <w:pStyle w:val="Textoindependiente"/>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BB5CF" w14:textId="13BDBF31" w:rsidR="00E840D2" w:rsidRPr="00E840D2" w:rsidRDefault="00E840D2" w:rsidP="00E840D2">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3F108B" w14:textId="77777777" w:rsidR="00B42546" w:rsidRDefault="00B42546" w:rsidP="00D61758">
      <w:r>
        <w:separator/>
      </w:r>
    </w:p>
  </w:footnote>
  <w:footnote w:type="continuationSeparator" w:id="0">
    <w:p w14:paraId="6AC5AEB3" w14:textId="77777777" w:rsidR="00B42546" w:rsidRDefault="00B42546" w:rsidP="00D61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63A9" w14:textId="18528F49" w:rsidR="00D61758" w:rsidRDefault="00E92D60">
    <w:pPr>
      <w:pStyle w:val="Textoindependiente"/>
      <w:spacing w:line="14" w:lineRule="auto"/>
      <w:rPr>
        <w:sz w:val="20"/>
      </w:rPr>
    </w:pPr>
    <w:r>
      <w:rPr>
        <w:noProof/>
        <w:sz w:val="20"/>
      </w:rPr>
      <mc:AlternateContent>
        <mc:Choice Requires="wps">
          <w:drawing>
            <wp:anchor distT="0" distB="0" distL="0" distR="0" simplePos="0" relativeHeight="251662336" behindDoc="1" locked="0" layoutInCell="1" allowOverlap="1" wp14:anchorId="2B30652E" wp14:editId="2D50FDBA">
              <wp:simplePos x="0" y="0"/>
              <wp:positionH relativeFrom="page">
                <wp:posOffset>4511040</wp:posOffset>
              </wp:positionH>
              <wp:positionV relativeFrom="page">
                <wp:posOffset>327444</wp:posOffset>
              </wp:positionV>
              <wp:extent cx="2324100" cy="198408"/>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0" cy="198408"/>
                      </a:xfrm>
                      <a:prstGeom prst="rect">
                        <a:avLst/>
                      </a:prstGeom>
                    </wps:spPr>
                    <wps:txbx>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B30652E" id="_x0000_t202" coordsize="21600,21600" o:spt="202" path="m,l,21600r21600,l21600,xe">
              <v:stroke joinstyle="miter"/>
              <v:path gradientshapeok="t" o:connecttype="rect"/>
            </v:shapetype>
            <v:shape id="Textbox 12" o:spid="_x0000_s1034" type="#_x0000_t202" style="position:absolute;left:0;text-align:left;margin-left:355.2pt;margin-top:25.8pt;width:183pt;height:15.6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" filled="f" stroked="f">
              <v:textbox inset="0,0,0,0">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v:textbox>
              <w10:wrap anchorx="page" anchory="page"/>
            </v:shape>
          </w:pict>
        </mc:Fallback>
      </mc:AlternateContent>
    </w:r>
    <w:r w:rsidR="004331B9">
      <w:rPr>
        <w:noProof/>
        <w:sz w:val="20"/>
      </w:rPr>
      <w:drawing>
        <wp:anchor distT="0" distB="0" distL="0" distR="0" simplePos="0" relativeHeight="251660288" behindDoc="1" locked="0" layoutInCell="1" allowOverlap="1" wp14:anchorId="433C6852" wp14:editId="4A6D0430">
          <wp:simplePos x="0" y="0"/>
          <wp:positionH relativeFrom="page">
            <wp:posOffset>857250</wp:posOffset>
          </wp:positionH>
          <wp:positionV relativeFrom="page">
            <wp:posOffset>210795</wp:posOffset>
          </wp:positionV>
          <wp:extent cx="2024975" cy="478494"/>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2024975" cy="478494"/>
                  </a:xfrm>
                  <a:prstGeom prst="rect">
                    <a:avLst/>
                  </a:prstGeom>
                </pic:spPr>
              </pic:pic>
            </a:graphicData>
          </a:graphic>
        </wp:anchor>
      </w:drawing>
    </w:r>
    <w:r w:rsidR="00D61758">
      <w:rPr>
        <w:noProof/>
        <w:sz w:val="20"/>
      </w:rPr>
      <mc:AlternateContent>
        <mc:Choice Requires="wps">
          <w:drawing>
            <wp:anchor distT="0" distB="0" distL="0" distR="0" simplePos="0" relativeHeight="251659264" behindDoc="1" locked="0" layoutInCell="1" allowOverlap="1" wp14:anchorId="5E76E15E" wp14:editId="4BAD41FC">
              <wp:simplePos x="0" y="0"/>
              <wp:positionH relativeFrom="page">
                <wp:posOffset>2973692</wp:posOffset>
              </wp:positionH>
              <wp:positionV relativeFrom="page">
                <wp:posOffset>209917</wp:posOffset>
              </wp:positionV>
              <wp:extent cx="3921760" cy="3619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129E72B5" id="Graphic 9" o:spid="_x0000_s1026" style="position:absolute;margin-left:234.15pt;margin-top:16.55pt;width:308.8pt;height:2.85pt;z-index:-251657216;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" path="m1771840,l,,,36004r1771840,l1771840,xem3921150,l1789315,r,36004l3921150,36004r,-36004xe" fillcolor="#93eafc" stroked="f">
              <v:path arrowok="t"/>
              <w10:wrap anchorx="page" anchory="page"/>
            </v:shape>
          </w:pict>
        </mc:Fallback>
      </mc:AlternateContent>
    </w:r>
    <w:r w:rsidR="00D61758">
      <w:rPr>
        <w:noProof/>
        <w:sz w:val="20"/>
      </w:rPr>
      <mc:AlternateContent>
        <mc:Choice Requires="wps">
          <w:drawing>
            <wp:anchor distT="0" distB="0" distL="0" distR="0" simplePos="0" relativeHeight="251661312" behindDoc="1" locked="0" layoutInCell="1" allowOverlap="1" wp14:anchorId="2B7A3C78" wp14:editId="0B6E99F2">
              <wp:simplePos x="0" y="0"/>
              <wp:positionH relativeFrom="page">
                <wp:posOffset>2973692</wp:posOffset>
              </wp:positionH>
              <wp:positionV relativeFrom="page">
                <wp:posOffset>660958</wp:posOffset>
              </wp:positionV>
              <wp:extent cx="3921760" cy="3619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4AE9F975" id="Graphic 11" o:spid="_x0000_s1026" style="position:absolute;margin-left:234.15pt;margin-top:52.05pt;width:308.8pt;height:2.85pt;z-index:-251655168;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" path="m1771840,l,,,36004r1771840,l1771840,xem3921150,l1789315,r,36004l3921150,36004r,-36004xe" fillcolor="#93eafc"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44B37" w14:textId="77777777" w:rsidR="000A030B" w:rsidRDefault="00980994">
    <w:pPr>
      <w:pBdr>
        <w:bottom w:val="single" w:sz="6" w:space="1" w:color="2E5496"/>
      </w:pBdr>
      <w:jc w:val="right"/>
    </w:pPr>
    <w:r>
      <w:rPr>
        <w:color w:val="666666"/>
        <w:sz w:val="18"/>
        <w:szCs w:val="18"/>
      </w:rPr>
      <w:t>Análisis de supervivencia al cáncer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DB0"/>
    <w:multiLevelType w:val="hybridMultilevel"/>
    <w:tmpl w:val="00AE4E8C"/>
    <w:lvl w:ilvl="0" w:tplc="BA4C8EC2">
      <w:start w:val="1"/>
      <w:numFmt w:val="bullet"/>
      <w:lvlText w:val="•"/>
      <w:lvlJc w:val="left"/>
      <w:pPr>
        <w:ind w:left="720" w:hanging="360"/>
      </w:pPr>
    </w:lvl>
    <w:lvl w:ilvl="1" w:tplc="1C00B39A">
      <w:numFmt w:val="decimal"/>
      <w:lvlText w:val=""/>
      <w:lvlJc w:val="left"/>
    </w:lvl>
    <w:lvl w:ilvl="2" w:tplc="CE088946">
      <w:numFmt w:val="decimal"/>
      <w:lvlText w:val=""/>
      <w:lvlJc w:val="left"/>
    </w:lvl>
    <w:lvl w:ilvl="3" w:tplc="B9489C6A">
      <w:numFmt w:val="decimal"/>
      <w:lvlText w:val=""/>
      <w:lvlJc w:val="left"/>
    </w:lvl>
    <w:lvl w:ilvl="4" w:tplc="2D9046AE">
      <w:numFmt w:val="decimal"/>
      <w:lvlText w:val=""/>
      <w:lvlJc w:val="left"/>
    </w:lvl>
    <w:lvl w:ilvl="5" w:tplc="EAF8C686">
      <w:numFmt w:val="decimal"/>
      <w:lvlText w:val=""/>
      <w:lvlJc w:val="left"/>
    </w:lvl>
    <w:lvl w:ilvl="6" w:tplc="BB2E65B4">
      <w:numFmt w:val="decimal"/>
      <w:lvlText w:val=""/>
      <w:lvlJc w:val="left"/>
    </w:lvl>
    <w:lvl w:ilvl="7" w:tplc="3D287088">
      <w:numFmt w:val="decimal"/>
      <w:lvlText w:val=""/>
      <w:lvlJc w:val="left"/>
    </w:lvl>
    <w:lvl w:ilvl="8" w:tplc="A048716E">
      <w:numFmt w:val="decimal"/>
      <w:lvlText w:val=""/>
      <w:lvlJc w:val="left"/>
    </w:lvl>
  </w:abstractNum>
  <w:abstractNum w:abstractNumId="1" w15:restartNumberingAfterBreak="0">
    <w:nsid w:val="12AB57E4"/>
    <w:multiLevelType w:val="hybridMultilevel"/>
    <w:tmpl w:val="1002A026"/>
    <w:lvl w:ilvl="0" w:tplc="7F263B38">
      <w:start w:val="1"/>
      <w:numFmt w:val="bullet"/>
      <w:lvlText w:val="●"/>
      <w:lvlJc w:val="left"/>
      <w:pPr>
        <w:ind w:left="720" w:hanging="360"/>
      </w:pPr>
    </w:lvl>
    <w:lvl w:ilvl="1" w:tplc="3C0AAB84">
      <w:start w:val="1"/>
      <w:numFmt w:val="bullet"/>
      <w:lvlText w:val="○"/>
      <w:lvlJc w:val="left"/>
      <w:pPr>
        <w:ind w:left="1440" w:hanging="360"/>
      </w:pPr>
    </w:lvl>
    <w:lvl w:ilvl="2" w:tplc="605AD414">
      <w:start w:val="1"/>
      <w:numFmt w:val="bullet"/>
      <w:lvlText w:val="■"/>
      <w:lvlJc w:val="left"/>
      <w:pPr>
        <w:ind w:left="2160" w:hanging="360"/>
      </w:pPr>
    </w:lvl>
    <w:lvl w:ilvl="3" w:tplc="7FFEA18A">
      <w:start w:val="1"/>
      <w:numFmt w:val="bullet"/>
      <w:lvlText w:val="●"/>
      <w:lvlJc w:val="left"/>
      <w:pPr>
        <w:ind w:left="2880" w:hanging="360"/>
      </w:pPr>
    </w:lvl>
    <w:lvl w:ilvl="4" w:tplc="DC1A7DF4">
      <w:start w:val="1"/>
      <w:numFmt w:val="bullet"/>
      <w:lvlText w:val="○"/>
      <w:lvlJc w:val="left"/>
      <w:pPr>
        <w:ind w:left="3600" w:hanging="360"/>
      </w:pPr>
    </w:lvl>
    <w:lvl w:ilvl="5" w:tplc="8D6600C6">
      <w:start w:val="1"/>
      <w:numFmt w:val="bullet"/>
      <w:lvlText w:val="■"/>
      <w:lvlJc w:val="left"/>
      <w:pPr>
        <w:ind w:left="4320" w:hanging="360"/>
      </w:pPr>
    </w:lvl>
    <w:lvl w:ilvl="6" w:tplc="F502DEB0">
      <w:start w:val="1"/>
      <w:numFmt w:val="bullet"/>
      <w:lvlText w:val="●"/>
      <w:lvlJc w:val="left"/>
      <w:pPr>
        <w:ind w:left="5040" w:hanging="360"/>
      </w:pPr>
    </w:lvl>
    <w:lvl w:ilvl="7" w:tplc="A59E1534">
      <w:start w:val="1"/>
      <w:numFmt w:val="bullet"/>
      <w:lvlText w:val="●"/>
      <w:lvlJc w:val="left"/>
      <w:pPr>
        <w:ind w:left="5760" w:hanging="360"/>
      </w:pPr>
    </w:lvl>
    <w:lvl w:ilvl="8" w:tplc="F3105D56">
      <w:start w:val="1"/>
      <w:numFmt w:val="bullet"/>
      <w:lvlText w:val="●"/>
      <w:lvlJc w:val="left"/>
      <w:pPr>
        <w:ind w:left="6480" w:hanging="360"/>
      </w:pPr>
    </w:lvl>
  </w:abstractNum>
  <w:abstractNum w:abstractNumId="2" w15:restartNumberingAfterBreak="0">
    <w:nsid w:val="18BF7D6E"/>
    <w:multiLevelType w:val="hybridMultilevel"/>
    <w:tmpl w:val="6BFE8D90"/>
    <w:lvl w:ilvl="0" w:tplc="64629E0A">
      <w:start w:val="1"/>
      <w:numFmt w:val="bullet"/>
      <w:lvlText w:val="•"/>
      <w:lvlJc w:val="left"/>
      <w:pPr>
        <w:ind w:left="720" w:hanging="360"/>
      </w:pPr>
    </w:lvl>
    <w:lvl w:ilvl="1" w:tplc="4FA861D8">
      <w:numFmt w:val="decimal"/>
      <w:lvlText w:val=""/>
      <w:lvlJc w:val="left"/>
    </w:lvl>
    <w:lvl w:ilvl="2" w:tplc="23A49F0E">
      <w:numFmt w:val="decimal"/>
      <w:lvlText w:val=""/>
      <w:lvlJc w:val="left"/>
    </w:lvl>
    <w:lvl w:ilvl="3" w:tplc="70108BAE">
      <w:numFmt w:val="decimal"/>
      <w:lvlText w:val=""/>
      <w:lvlJc w:val="left"/>
    </w:lvl>
    <w:lvl w:ilvl="4" w:tplc="27B82542">
      <w:numFmt w:val="decimal"/>
      <w:lvlText w:val=""/>
      <w:lvlJc w:val="left"/>
    </w:lvl>
    <w:lvl w:ilvl="5" w:tplc="D99CAE08">
      <w:numFmt w:val="decimal"/>
      <w:lvlText w:val=""/>
      <w:lvlJc w:val="left"/>
    </w:lvl>
    <w:lvl w:ilvl="6" w:tplc="1554BD06">
      <w:numFmt w:val="decimal"/>
      <w:lvlText w:val=""/>
      <w:lvlJc w:val="left"/>
    </w:lvl>
    <w:lvl w:ilvl="7" w:tplc="2EF4AA54">
      <w:numFmt w:val="decimal"/>
      <w:lvlText w:val=""/>
      <w:lvlJc w:val="left"/>
    </w:lvl>
    <w:lvl w:ilvl="8" w:tplc="F0661724">
      <w:numFmt w:val="decimal"/>
      <w:lvlText w:val=""/>
      <w:lvlJc w:val="left"/>
    </w:lvl>
  </w:abstractNum>
  <w:abstractNum w:abstractNumId="3" w15:restartNumberingAfterBreak="0">
    <w:nsid w:val="243428C2"/>
    <w:multiLevelType w:val="hybridMultilevel"/>
    <w:tmpl w:val="AC8AD04C"/>
    <w:lvl w:ilvl="0" w:tplc="8D6010CE">
      <w:start w:val="1"/>
      <w:numFmt w:val="bullet"/>
      <w:lvlText w:val="•"/>
      <w:lvlJc w:val="left"/>
      <w:pPr>
        <w:ind w:left="720" w:hanging="360"/>
      </w:pPr>
    </w:lvl>
    <w:lvl w:ilvl="1" w:tplc="2C1205E2">
      <w:numFmt w:val="decimal"/>
      <w:lvlText w:val=""/>
      <w:lvlJc w:val="left"/>
    </w:lvl>
    <w:lvl w:ilvl="2" w:tplc="1930C60E">
      <w:numFmt w:val="decimal"/>
      <w:lvlText w:val=""/>
      <w:lvlJc w:val="left"/>
    </w:lvl>
    <w:lvl w:ilvl="3" w:tplc="850214BC">
      <w:numFmt w:val="decimal"/>
      <w:lvlText w:val=""/>
      <w:lvlJc w:val="left"/>
    </w:lvl>
    <w:lvl w:ilvl="4" w:tplc="E716D3C6">
      <w:numFmt w:val="decimal"/>
      <w:lvlText w:val=""/>
      <w:lvlJc w:val="left"/>
    </w:lvl>
    <w:lvl w:ilvl="5" w:tplc="F73ECBA4">
      <w:numFmt w:val="decimal"/>
      <w:lvlText w:val=""/>
      <w:lvlJc w:val="left"/>
    </w:lvl>
    <w:lvl w:ilvl="6" w:tplc="0F7C4E20">
      <w:numFmt w:val="decimal"/>
      <w:lvlText w:val=""/>
      <w:lvlJc w:val="left"/>
    </w:lvl>
    <w:lvl w:ilvl="7" w:tplc="8DC076FC">
      <w:numFmt w:val="decimal"/>
      <w:lvlText w:val=""/>
      <w:lvlJc w:val="left"/>
    </w:lvl>
    <w:lvl w:ilvl="8" w:tplc="2D603F62">
      <w:numFmt w:val="decimal"/>
      <w:lvlText w:val=""/>
      <w:lvlJc w:val="left"/>
    </w:lvl>
  </w:abstractNum>
  <w:abstractNum w:abstractNumId="4" w15:restartNumberingAfterBreak="0">
    <w:nsid w:val="27897A0E"/>
    <w:multiLevelType w:val="hybridMultilevel"/>
    <w:tmpl w:val="925C80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FC1345C"/>
    <w:multiLevelType w:val="hybridMultilevel"/>
    <w:tmpl w:val="C43E22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0164529"/>
    <w:multiLevelType w:val="hybridMultilevel"/>
    <w:tmpl w:val="D57CA1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3206DCE"/>
    <w:multiLevelType w:val="multilevel"/>
    <w:tmpl w:val="80E43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F74B29"/>
    <w:multiLevelType w:val="hybridMultilevel"/>
    <w:tmpl w:val="75001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DEB4A5A"/>
    <w:multiLevelType w:val="hybridMultilevel"/>
    <w:tmpl w:val="615EE21C"/>
    <w:lvl w:ilvl="0" w:tplc="F2B6D858">
      <w:start w:val="1"/>
      <w:numFmt w:val="bullet"/>
      <w:lvlText w:val="•"/>
      <w:lvlJc w:val="left"/>
      <w:pPr>
        <w:ind w:left="720" w:hanging="360"/>
      </w:pPr>
    </w:lvl>
    <w:lvl w:ilvl="1" w:tplc="52C4B766">
      <w:numFmt w:val="decimal"/>
      <w:lvlText w:val=""/>
      <w:lvlJc w:val="left"/>
    </w:lvl>
    <w:lvl w:ilvl="2" w:tplc="68924350">
      <w:numFmt w:val="decimal"/>
      <w:lvlText w:val=""/>
      <w:lvlJc w:val="left"/>
    </w:lvl>
    <w:lvl w:ilvl="3" w:tplc="D64E12C2">
      <w:numFmt w:val="decimal"/>
      <w:lvlText w:val=""/>
      <w:lvlJc w:val="left"/>
    </w:lvl>
    <w:lvl w:ilvl="4" w:tplc="F58A358A">
      <w:numFmt w:val="decimal"/>
      <w:lvlText w:val=""/>
      <w:lvlJc w:val="left"/>
    </w:lvl>
    <w:lvl w:ilvl="5" w:tplc="49DA85A8">
      <w:numFmt w:val="decimal"/>
      <w:lvlText w:val=""/>
      <w:lvlJc w:val="left"/>
    </w:lvl>
    <w:lvl w:ilvl="6" w:tplc="0DB05506">
      <w:numFmt w:val="decimal"/>
      <w:lvlText w:val=""/>
      <w:lvlJc w:val="left"/>
    </w:lvl>
    <w:lvl w:ilvl="7" w:tplc="55088F28">
      <w:numFmt w:val="decimal"/>
      <w:lvlText w:val=""/>
      <w:lvlJc w:val="left"/>
    </w:lvl>
    <w:lvl w:ilvl="8" w:tplc="81FE69FE">
      <w:numFmt w:val="decimal"/>
      <w:lvlText w:val=""/>
      <w:lvlJc w:val="left"/>
    </w:lvl>
  </w:abstractNum>
  <w:abstractNum w:abstractNumId="10" w15:restartNumberingAfterBreak="0">
    <w:nsid w:val="692623BF"/>
    <w:multiLevelType w:val="hybridMultilevel"/>
    <w:tmpl w:val="29064D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87C74FD"/>
    <w:multiLevelType w:val="hybridMultilevel"/>
    <w:tmpl w:val="C9D8F1F0"/>
    <w:lvl w:ilvl="0" w:tplc="0E74F9EA">
      <w:start w:val="1"/>
      <w:numFmt w:val="decimal"/>
      <w:lvlText w:val="%1."/>
      <w:lvlJc w:val="left"/>
      <w:pPr>
        <w:ind w:left="720" w:hanging="360"/>
      </w:pPr>
    </w:lvl>
    <w:lvl w:ilvl="1" w:tplc="26A282A4">
      <w:numFmt w:val="decimal"/>
      <w:lvlText w:val=""/>
      <w:lvlJc w:val="left"/>
    </w:lvl>
    <w:lvl w:ilvl="2" w:tplc="2D127E06">
      <w:numFmt w:val="decimal"/>
      <w:lvlText w:val=""/>
      <w:lvlJc w:val="left"/>
    </w:lvl>
    <w:lvl w:ilvl="3" w:tplc="0CF67DA8">
      <w:numFmt w:val="decimal"/>
      <w:lvlText w:val=""/>
      <w:lvlJc w:val="left"/>
    </w:lvl>
    <w:lvl w:ilvl="4" w:tplc="F6CCAC1E">
      <w:numFmt w:val="decimal"/>
      <w:lvlText w:val=""/>
      <w:lvlJc w:val="left"/>
    </w:lvl>
    <w:lvl w:ilvl="5" w:tplc="82B4D9E8">
      <w:numFmt w:val="decimal"/>
      <w:lvlText w:val=""/>
      <w:lvlJc w:val="left"/>
    </w:lvl>
    <w:lvl w:ilvl="6" w:tplc="38DEE754">
      <w:numFmt w:val="decimal"/>
      <w:lvlText w:val=""/>
      <w:lvlJc w:val="left"/>
    </w:lvl>
    <w:lvl w:ilvl="7" w:tplc="1864F706">
      <w:numFmt w:val="decimal"/>
      <w:lvlText w:val=""/>
      <w:lvlJc w:val="left"/>
    </w:lvl>
    <w:lvl w:ilvl="8" w:tplc="27EABE66">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11"/>
    <w:lvlOverride w:ilvl="0">
      <w:startOverride w:val="1"/>
    </w:lvlOverride>
  </w:num>
  <w:num w:numId="4">
    <w:abstractNumId w:val="0"/>
    <w:lvlOverride w:ilvl="0">
      <w:startOverride w:val="1"/>
    </w:lvlOverride>
  </w:num>
  <w:num w:numId="5">
    <w:abstractNumId w:val="5"/>
  </w:num>
  <w:num w:numId="6">
    <w:abstractNumId w:val="8"/>
  </w:num>
  <w:num w:numId="7">
    <w:abstractNumId w:val="6"/>
  </w:num>
  <w:num w:numId="8">
    <w:abstractNumId w:val="10"/>
  </w:num>
  <w:num w:numId="9">
    <w:abstractNumId w:val="9"/>
    <w:lvlOverride w:ilvl="0">
      <w:startOverride w:val="1"/>
    </w:lvlOverride>
  </w:num>
  <w:num w:numId="10">
    <w:abstractNumId w:val="2"/>
    <w:lvlOverride w:ilvl="0">
      <w:startOverride w:val="1"/>
    </w:lvlOverride>
  </w:num>
  <w:num w:numId="11">
    <w:abstractNumId w:val="7"/>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AFC"/>
    <w:rsid w:val="00082228"/>
    <w:rsid w:val="000C5D02"/>
    <w:rsid w:val="000D165D"/>
    <w:rsid w:val="00121761"/>
    <w:rsid w:val="00127927"/>
    <w:rsid w:val="00127BC6"/>
    <w:rsid w:val="00155D4F"/>
    <w:rsid w:val="0016460A"/>
    <w:rsid w:val="00175EA2"/>
    <w:rsid w:val="001B6118"/>
    <w:rsid w:val="001C6A25"/>
    <w:rsid w:val="001D63BD"/>
    <w:rsid w:val="001E03F3"/>
    <w:rsid w:val="001E570C"/>
    <w:rsid w:val="002331C5"/>
    <w:rsid w:val="002417BC"/>
    <w:rsid w:val="0024728F"/>
    <w:rsid w:val="0026163A"/>
    <w:rsid w:val="00271C63"/>
    <w:rsid w:val="00296A72"/>
    <w:rsid w:val="002A3396"/>
    <w:rsid w:val="002A47FB"/>
    <w:rsid w:val="002A4F4C"/>
    <w:rsid w:val="002C448F"/>
    <w:rsid w:val="003466DE"/>
    <w:rsid w:val="003500D8"/>
    <w:rsid w:val="003516E0"/>
    <w:rsid w:val="00361CB4"/>
    <w:rsid w:val="0037670C"/>
    <w:rsid w:val="003B3426"/>
    <w:rsid w:val="003D1898"/>
    <w:rsid w:val="003D2339"/>
    <w:rsid w:val="003D505D"/>
    <w:rsid w:val="003D71B8"/>
    <w:rsid w:val="003E6033"/>
    <w:rsid w:val="003F5EBC"/>
    <w:rsid w:val="0041557F"/>
    <w:rsid w:val="0041755F"/>
    <w:rsid w:val="004331B9"/>
    <w:rsid w:val="00436AFB"/>
    <w:rsid w:val="00442E2D"/>
    <w:rsid w:val="004441B2"/>
    <w:rsid w:val="004502D1"/>
    <w:rsid w:val="004807D4"/>
    <w:rsid w:val="00497E18"/>
    <w:rsid w:val="0050057A"/>
    <w:rsid w:val="00503D6A"/>
    <w:rsid w:val="00525D5C"/>
    <w:rsid w:val="00537B87"/>
    <w:rsid w:val="00557A72"/>
    <w:rsid w:val="00575DCA"/>
    <w:rsid w:val="00587A4B"/>
    <w:rsid w:val="0059116D"/>
    <w:rsid w:val="0059582D"/>
    <w:rsid w:val="005D1424"/>
    <w:rsid w:val="005E40C2"/>
    <w:rsid w:val="006278CF"/>
    <w:rsid w:val="00662B09"/>
    <w:rsid w:val="00682F9D"/>
    <w:rsid w:val="006C3C75"/>
    <w:rsid w:val="00777912"/>
    <w:rsid w:val="00783C55"/>
    <w:rsid w:val="007D058C"/>
    <w:rsid w:val="007F7BA6"/>
    <w:rsid w:val="00800232"/>
    <w:rsid w:val="0080682B"/>
    <w:rsid w:val="00807837"/>
    <w:rsid w:val="00813852"/>
    <w:rsid w:val="0083013E"/>
    <w:rsid w:val="008311E3"/>
    <w:rsid w:val="00831EC0"/>
    <w:rsid w:val="008540C1"/>
    <w:rsid w:val="0087702C"/>
    <w:rsid w:val="008E3475"/>
    <w:rsid w:val="008F6EDA"/>
    <w:rsid w:val="00914368"/>
    <w:rsid w:val="009328E1"/>
    <w:rsid w:val="00944A95"/>
    <w:rsid w:val="009771D2"/>
    <w:rsid w:val="00980994"/>
    <w:rsid w:val="00985D19"/>
    <w:rsid w:val="00996FE3"/>
    <w:rsid w:val="00997A4F"/>
    <w:rsid w:val="009A4233"/>
    <w:rsid w:val="009A4C5D"/>
    <w:rsid w:val="009E0283"/>
    <w:rsid w:val="00A127CA"/>
    <w:rsid w:val="00A234CC"/>
    <w:rsid w:val="00A242C0"/>
    <w:rsid w:val="00A25FF7"/>
    <w:rsid w:val="00A34D30"/>
    <w:rsid w:val="00A802BB"/>
    <w:rsid w:val="00A8393C"/>
    <w:rsid w:val="00AB7473"/>
    <w:rsid w:val="00AD3D98"/>
    <w:rsid w:val="00AF0DC8"/>
    <w:rsid w:val="00AF39B8"/>
    <w:rsid w:val="00AF4BDD"/>
    <w:rsid w:val="00B140DD"/>
    <w:rsid w:val="00B2586F"/>
    <w:rsid w:val="00B356CE"/>
    <w:rsid w:val="00B42546"/>
    <w:rsid w:val="00B51F6D"/>
    <w:rsid w:val="00B607C2"/>
    <w:rsid w:val="00B93003"/>
    <w:rsid w:val="00BE2890"/>
    <w:rsid w:val="00BF5CC4"/>
    <w:rsid w:val="00BF6679"/>
    <w:rsid w:val="00C04440"/>
    <w:rsid w:val="00C06A75"/>
    <w:rsid w:val="00C310D5"/>
    <w:rsid w:val="00C33CA3"/>
    <w:rsid w:val="00C57447"/>
    <w:rsid w:val="00C6400E"/>
    <w:rsid w:val="00C8237F"/>
    <w:rsid w:val="00C92E3B"/>
    <w:rsid w:val="00C93911"/>
    <w:rsid w:val="00CA003D"/>
    <w:rsid w:val="00CB7D6B"/>
    <w:rsid w:val="00CC1AE6"/>
    <w:rsid w:val="00CD2B77"/>
    <w:rsid w:val="00CD3910"/>
    <w:rsid w:val="00D025FE"/>
    <w:rsid w:val="00D04B3A"/>
    <w:rsid w:val="00D16EBA"/>
    <w:rsid w:val="00D319E1"/>
    <w:rsid w:val="00D61758"/>
    <w:rsid w:val="00D66D2E"/>
    <w:rsid w:val="00D70FF8"/>
    <w:rsid w:val="00D741F8"/>
    <w:rsid w:val="00D90584"/>
    <w:rsid w:val="00DA5E1B"/>
    <w:rsid w:val="00DC5360"/>
    <w:rsid w:val="00DC636D"/>
    <w:rsid w:val="00DE20D5"/>
    <w:rsid w:val="00DF7D0B"/>
    <w:rsid w:val="00E00AFC"/>
    <w:rsid w:val="00E166E2"/>
    <w:rsid w:val="00E54780"/>
    <w:rsid w:val="00E840D2"/>
    <w:rsid w:val="00E85767"/>
    <w:rsid w:val="00E92645"/>
    <w:rsid w:val="00E92D60"/>
    <w:rsid w:val="00EC39DE"/>
    <w:rsid w:val="00EE4EB9"/>
    <w:rsid w:val="00F030F1"/>
    <w:rsid w:val="00F16B5A"/>
    <w:rsid w:val="00F3044D"/>
    <w:rsid w:val="00F40C0F"/>
    <w:rsid w:val="00F41A5B"/>
    <w:rsid w:val="00F439B4"/>
    <w:rsid w:val="00F45C9B"/>
    <w:rsid w:val="00F71FEA"/>
    <w:rsid w:val="00F925CB"/>
    <w:rsid w:val="00FA48AE"/>
    <w:rsid w:val="00FB135E"/>
    <w:rsid w:val="00FB5CA7"/>
    <w:rsid w:val="00FC59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EED146"/>
  <w15:docId w15:val="{981DA2ED-CB07-40CF-97CC-8F1FABAD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447"/>
    <w:pPr>
      <w:spacing w:before="120" w:after="120"/>
      <w:jc w:val="both"/>
    </w:pPr>
    <w:rPr>
      <w:rFonts w:asciiTheme="minorHAnsi" w:hAnsiTheme="minorHAnsi"/>
      <w:sz w:val="24"/>
    </w:rPr>
  </w:style>
  <w:style w:type="paragraph" w:styleId="Ttulo1">
    <w:name w:val="heading 1"/>
    <w:uiPriority w:val="9"/>
    <w:qFormat/>
    <w:rsid w:val="007D058C"/>
    <w:pPr>
      <w:spacing w:before="360" w:after="200"/>
      <w:outlineLvl w:val="0"/>
    </w:pPr>
    <w:rPr>
      <w:rFonts w:asciiTheme="majorHAnsi" w:hAnsiTheme="majorHAnsi"/>
      <w:b/>
      <w:bCs/>
      <w:color w:val="1F3864"/>
      <w:sz w:val="36"/>
      <w:szCs w:val="36"/>
    </w:rPr>
  </w:style>
  <w:style w:type="paragraph" w:styleId="Ttulo2">
    <w:name w:val="heading 2"/>
    <w:uiPriority w:val="9"/>
    <w:unhideWhenUsed/>
    <w:qFormat/>
    <w:rsid w:val="007D058C"/>
    <w:pPr>
      <w:spacing w:before="280" w:after="160"/>
      <w:outlineLvl w:val="1"/>
    </w:pPr>
    <w:rPr>
      <w:rFonts w:asciiTheme="majorHAnsi" w:hAnsiTheme="majorHAnsi"/>
      <w:b/>
      <w:bCs/>
      <w:color w:val="2E5496"/>
      <w:sz w:val="28"/>
      <w:szCs w:val="28"/>
    </w:rPr>
  </w:style>
  <w:style w:type="paragraph" w:styleId="Ttulo3">
    <w:name w:val="heading 3"/>
    <w:uiPriority w:val="9"/>
    <w:unhideWhenUsed/>
    <w:qFormat/>
    <w:pPr>
      <w:spacing w:before="220" w:after="120"/>
      <w:outlineLvl w:val="2"/>
    </w:pPr>
    <w:rPr>
      <w:b/>
      <w:bCs/>
      <w:color w:val="375623"/>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extoindependiente">
    <w:name w:val="Body Text"/>
    <w:basedOn w:val="Normal"/>
    <w:link w:val="TextoindependienteCar"/>
    <w:uiPriority w:val="1"/>
    <w:qFormat/>
    <w:rsid w:val="00D61758"/>
    <w:pPr>
      <w:widowControl w:val="0"/>
      <w:autoSpaceDE w:val="0"/>
      <w:autoSpaceDN w:val="0"/>
    </w:pPr>
    <w:rPr>
      <w:rFonts w:ascii="Calibri" w:eastAsia="Calibri" w:hAnsi="Calibri" w:cs="Calibri"/>
      <w:szCs w:val="24"/>
      <w:lang w:eastAsia="en-US"/>
    </w:rPr>
  </w:style>
  <w:style w:type="character" w:customStyle="1" w:styleId="TextoindependienteCar">
    <w:name w:val="Texto independiente Car"/>
    <w:basedOn w:val="Fuentedeprrafopredeter"/>
    <w:link w:val="Textoindependiente"/>
    <w:uiPriority w:val="1"/>
    <w:rsid w:val="00D61758"/>
    <w:rPr>
      <w:rFonts w:ascii="Calibri" w:eastAsia="Calibri" w:hAnsi="Calibri" w:cs="Calibri"/>
      <w:sz w:val="24"/>
      <w:szCs w:val="24"/>
      <w:lang w:eastAsia="en-US"/>
    </w:rPr>
  </w:style>
  <w:style w:type="character" w:styleId="Mencinsinresolver">
    <w:name w:val="Unresolved Mention"/>
    <w:basedOn w:val="Fuentedeprrafopredeter"/>
    <w:uiPriority w:val="99"/>
    <w:semiHidden/>
    <w:unhideWhenUsed/>
    <w:rsid w:val="00D61758"/>
    <w:rPr>
      <w:color w:val="605E5C"/>
      <w:shd w:val="clear" w:color="auto" w:fill="E1DFDD"/>
    </w:rPr>
  </w:style>
  <w:style w:type="table" w:customStyle="1" w:styleId="TableNormal">
    <w:name w:val="Table Normal"/>
    <w:uiPriority w:val="2"/>
    <w:semiHidden/>
    <w:unhideWhenUsed/>
    <w:qFormat/>
    <w:rsid w:val="00D61758"/>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DC1">
    <w:name w:val="toc 1"/>
    <w:basedOn w:val="Normal"/>
    <w:uiPriority w:val="39"/>
    <w:qFormat/>
    <w:rsid w:val="00D61758"/>
    <w:pPr>
      <w:widowControl w:val="0"/>
      <w:autoSpaceDE w:val="0"/>
      <w:autoSpaceDN w:val="0"/>
      <w:spacing w:before="230"/>
      <w:ind w:left="928" w:hanging="350"/>
    </w:pPr>
    <w:rPr>
      <w:rFonts w:ascii="Calibri" w:eastAsia="Calibri" w:hAnsi="Calibri" w:cs="Calibri"/>
      <w:b/>
      <w:bCs/>
      <w:szCs w:val="24"/>
      <w:lang w:eastAsia="en-US"/>
    </w:rPr>
  </w:style>
  <w:style w:type="paragraph" w:styleId="TDC2">
    <w:name w:val="toc 2"/>
    <w:basedOn w:val="Normal"/>
    <w:uiPriority w:val="39"/>
    <w:qFormat/>
    <w:rsid w:val="00D61758"/>
    <w:pPr>
      <w:widowControl w:val="0"/>
      <w:autoSpaceDE w:val="0"/>
      <w:autoSpaceDN w:val="0"/>
      <w:spacing w:line="289" w:lineRule="exact"/>
      <w:ind w:left="1466" w:hanging="537"/>
    </w:pPr>
    <w:rPr>
      <w:rFonts w:ascii="Calibri" w:eastAsia="Calibri" w:hAnsi="Calibri" w:cs="Calibri"/>
      <w:szCs w:val="24"/>
      <w:lang w:eastAsia="en-US"/>
    </w:rPr>
  </w:style>
  <w:style w:type="paragraph" w:customStyle="1" w:styleId="TableParagraph">
    <w:name w:val="Table Paragraph"/>
    <w:basedOn w:val="Normal"/>
    <w:uiPriority w:val="1"/>
    <w:qFormat/>
    <w:rsid w:val="00D61758"/>
    <w:pPr>
      <w:widowControl w:val="0"/>
      <w:autoSpaceDE w:val="0"/>
      <w:autoSpaceDN w:val="0"/>
      <w:spacing w:line="265" w:lineRule="exact"/>
      <w:ind w:left="146"/>
    </w:pPr>
    <w:rPr>
      <w:rFonts w:ascii="Calibri" w:eastAsia="Calibri" w:hAnsi="Calibri" w:cs="Calibri"/>
      <w:lang w:eastAsia="en-US"/>
    </w:rPr>
  </w:style>
  <w:style w:type="paragraph" w:styleId="NormalWeb">
    <w:name w:val="Normal (Web)"/>
    <w:basedOn w:val="Normal"/>
    <w:uiPriority w:val="99"/>
    <w:unhideWhenUsed/>
    <w:rsid w:val="00D61758"/>
    <w:pPr>
      <w:spacing w:before="100" w:beforeAutospacing="1" w:after="100" w:afterAutospacing="1"/>
    </w:pPr>
    <w:rPr>
      <w:rFonts w:ascii="Times New Roman" w:eastAsia="Times New Roman" w:hAnsi="Times New Roman" w:cs="Times New Roman"/>
      <w:szCs w:val="24"/>
    </w:rPr>
  </w:style>
  <w:style w:type="paragraph" w:styleId="TtuloTDC">
    <w:name w:val="TOC Heading"/>
    <w:basedOn w:val="Ttulo1"/>
    <w:next w:val="Normal"/>
    <w:uiPriority w:val="39"/>
    <w:unhideWhenUsed/>
    <w:qFormat/>
    <w:rsid w:val="00D61758"/>
    <w:pPr>
      <w:keepNext/>
      <w:keepLines/>
      <w:spacing w:before="240" w:after="0" w:line="259" w:lineRule="auto"/>
      <w:outlineLvl w:val="9"/>
    </w:pPr>
    <w:rPr>
      <w:rFonts w:eastAsiaTheme="majorEastAsia" w:cstheme="majorBidi"/>
      <w:b w:val="0"/>
      <w:bCs w:val="0"/>
      <w:color w:val="2F5496" w:themeColor="accent1" w:themeShade="BF"/>
      <w:sz w:val="32"/>
      <w:szCs w:val="32"/>
    </w:rPr>
  </w:style>
  <w:style w:type="paragraph" w:styleId="Encabezado">
    <w:name w:val="header"/>
    <w:basedOn w:val="Normal"/>
    <w:link w:val="EncabezadoCar"/>
    <w:uiPriority w:val="99"/>
    <w:unhideWhenUsed/>
    <w:rsid w:val="00D61758"/>
    <w:pPr>
      <w:tabs>
        <w:tab w:val="center" w:pos="4252"/>
        <w:tab w:val="right" w:pos="8504"/>
      </w:tabs>
    </w:pPr>
  </w:style>
  <w:style w:type="character" w:customStyle="1" w:styleId="EncabezadoCar">
    <w:name w:val="Encabezado Car"/>
    <w:basedOn w:val="Fuentedeprrafopredeter"/>
    <w:link w:val="Encabezado"/>
    <w:uiPriority w:val="99"/>
    <w:rsid w:val="00D61758"/>
  </w:style>
  <w:style w:type="paragraph" w:styleId="Piedepgina">
    <w:name w:val="footer"/>
    <w:basedOn w:val="Normal"/>
    <w:link w:val="PiedepginaCar"/>
    <w:uiPriority w:val="99"/>
    <w:unhideWhenUsed/>
    <w:rsid w:val="00D61758"/>
    <w:pPr>
      <w:tabs>
        <w:tab w:val="center" w:pos="4252"/>
        <w:tab w:val="right" w:pos="8504"/>
      </w:tabs>
    </w:pPr>
  </w:style>
  <w:style w:type="character" w:customStyle="1" w:styleId="PiedepginaCar">
    <w:name w:val="Pie de página Car"/>
    <w:basedOn w:val="Fuentedeprrafopredeter"/>
    <w:link w:val="Piedepgina"/>
    <w:uiPriority w:val="99"/>
    <w:rsid w:val="00D61758"/>
  </w:style>
  <w:style w:type="paragraph" w:styleId="TDC3">
    <w:name w:val="toc 3"/>
    <w:basedOn w:val="Normal"/>
    <w:next w:val="Normal"/>
    <w:autoRedefine/>
    <w:uiPriority w:val="39"/>
    <w:unhideWhenUsed/>
    <w:rsid w:val="004331B9"/>
    <w:pPr>
      <w:spacing w:after="100"/>
      <w:ind w:left="440"/>
    </w:pPr>
  </w:style>
  <w:style w:type="character" w:styleId="Textoennegrita">
    <w:name w:val="Strong"/>
    <w:basedOn w:val="Fuentedeprrafopredeter"/>
    <w:uiPriority w:val="22"/>
    <w:qFormat/>
    <w:rsid w:val="00497E18"/>
    <w:rPr>
      <w:b/>
      <w:bCs/>
    </w:rPr>
  </w:style>
  <w:style w:type="character" w:styleId="nfasis">
    <w:name w:val="Emphasis"/>
    <w:basedOn w:val="Fuentedeprrafopredeter"/>
    <w:uiPriority w:val="20"/>
    <w:qFormat/>
    <w:rsid w:val="00497E18"/>
    <w:rPr>
      <w:i/>
      <w:iCs/>
    </w:rPr>
  </w:style>
  <w:style w:type="paragraph" w:customStyle="1" w:styleId="font-claude-response-body">
    <w:name w:val="font-claude-response-body"/>
    <w:basedOn w:val="Normal"/>
    <w:rsid w:val="00A802BB"/>
    <w:pPr>
      <w:spacing w:before="100" w:beforeAutospacing="1" w:after="100" w:afterAutospacing="1"/>
      <w:jc w:val="left"/>
    </w:pPr>
    <w:rPr>
      <w:rFonts w:ascii="Times New Roman" w:eastAsia="Times New Roman" w:hAnsi="Times New Roman" w:cs="Times New Roman"/>
      <w:szCs w:val="24"/>
    </w:rPr>
  </w:style>
  <w:style w:type="paragraph" w:styleId="Descripcin">
    <w:name w:val="caption"/>
    <w:basedOn w:val="Normal"/>
    <w:next w:val="Normal"/>
    <w:uiPriority w:val="35"/>
    <w:unhideWhenUsed/>
    <w:qFormat/>
    <w:rsid w:val="003466DE"/>
    <w:pPr>
      <w:spacing w:before="0" w:after="200"/>
    </w:pPr>
    <w:rPr>
      <w:i/>
      <w:iCs/>
      <w:color w:val="44546A" w:themeColor="text2"/>
      <w:sz w:val="18"/>
      <w:szCs w:val="18"/>
    </w:rPr>
  </w:style>
  <w:style w:type="paragraph" w:styleId="Tabladeilustraciones">
    <w:name w:val="table of figures"/>
    <w:basedOn w:val="Normal"/>
    <w:next w:val="Normal"/>
    <w:uiPriority w:val="99"/>
    <w:unhideWhenUsed/>
    <w:rsid w:val="000C5D02"/>
    <w:pPr>
      <w:spacing w:before="0" w:after="0"/>
      <w:jc w:val="left"/>
    </w:pPr>
    <w:rPr>
      <w:rFonts w:cstheme="minorHAnsi"/>
      <w:i/>
      <w:iCs/>
      <w:sz w:val="20"/>
      <w:szCs w:val="20"/>
    </w:rPr>
  </w:style>
  <w:style w:type="character" w:customStyle="1" w:styleId="katex-error">
    <w:name w:val="katex-error"/>
    <w:basedOn w:val="Fuentedeprrafopredeter"/>
    <w:rsid w:val="00C06A75"/>
  </w:style>
  <w:style w:type="character" w:customStyle="1" w:styleId="whitespace-normal">
    <w:name w:val="whitespace-normal"/>
    <w:basedOn w:val="Fuentedeprrafopredeter"/>
    <w:rsid w:val="00587A4B"/>
  </w:style>
  <w:style w:type="character" w:customStyle="1" w:styleId="citation-2918">
    <w:name w:val="citation-2918"/>
    <w:basedOn w:val="Fuentedeprrafopredeter"/>
    <w:rsid w:val="00D90584"/>
  </w:style>
  <w:style w:type="character" w:customStyle="1" w:styleId="citation-2917">
    <w:name w:val="citation-2917"/>
    <w:basedOn w:val="Fuentedeprrafopredeter"/>
    <w:rsid w:val="00D90584"/>
  </w:style>
  <w:style w:type="character" w:customStyle="1" w:styleId="math-inline">
    <w:name w:val="math-inline"/>
    <w:basedOn w:val="Fuentedeprrafopredeter"/>
    <w:rsid w:val="00D90584"/>
  </w:style>
  <w:style w:type="character" w:customStyle="1" w:styleId="citation-2916">
    <w:name w:val="citation-2916"/>
    <w:basedOn w:val="Fuentedeprrafopredeter"/>
    <w:rsid w:val="00D90584"/>
  </w:style>
  <w:style w:type="character" w:customStyle="1" w:styleId="citation-2915">
    <w:name w:val="citation-2915"/>
    <w:basedOn w:val="Fuentedeprrafopredeter"/>
    <w:rsid w:val="00D90584"/>
  </w:style>
  <w:style w:type="character" w:customStyle="1" w:styleId="citation-2936">
    <w:name w:val="citation-2936"/>
    <w:basedOn w:val="Fuentedeprrafopredeter"/>
    <w:rsid w:val="002331C5"/>
  </w:style>
  <w:style w:type="character" w:customStyle="1" w:styleId="citation-2935">
    <w:name w:val="citation-2935"/>
    <w:basedOn w:val="Fuentedeprrafopredeter"/>
    <w:rsid w:val="002331C5"/>
  </w:style>
  <w:style w:type="character" w:customStyle="1" w:styleId="citation-2934">
    <w:name w:val="citation-2934"/>
    <w:basedOn w:val="Fuentedeprrafopredeter"/>
    <w:rsid w:val="002331C5"/>
  </w:style>
  <w:style w:type="character" w:customStyle="1" w:styleId="citation-2933">
    <w:name w:val="citation-2933"/>
    <w:basedOn w:val="Fuentedeprrafopredeter"/>
    <w:rsid w:val="002331C5"/>
  </w:style>
  <w:style w:type="character" w:customStyle="1" w:styleId="citation-2932">
    <w:name w:val="citation-2932"/>
    <w:basedOn w:val="Fuentedeprrafopredeter"/>
    <w:rsid w:val="002331C5"/>
  </w:style>
  <w:style w:type="paragraph" w:styleId="Bibliografa">
    <w:name w:val="Bibliography"/>
    <w:basedOn w:val="Normal"/>
    <w:next w:val="Normal"/>
    <w:uiPriority w:val="37"/>
    <w:unhideWhenUsed/>
    <w:rsid w:val="004441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8272">
      <w:bodyDiv w:val="1"/>
      <w:marLeft w:val="0"/>
      <w:marRight w:val="0"/>
      <w:marTop w:val="0"/>
      <w:marBottom w:val="0"/>
      <w:divBdr>
        <w:top w:val="none" w:sz="0" w:space="0" w:color="auto"/>
        <w:left w:val="none" w:sz="0" w:space="0" w:color="auto"/>
        <w:bottom w:val="none" w:sz="0" w:space="0" w:color="auto"/>
        <w:right w:val="none" w:sz="0" w:space="0" w:color="auto"/>
      </w:divBdr>
    </w:div>
    <w:div w:id="9726124">
      <w:bodyDiv w:val="1"/>
      <w:marLeft w:val="0"/>
      <w:marRight w:val="0"/>
      <w:marTop w:val="0"/>
      <w:marBottom w:val="0"/>
      <w:divBdr>
        <w:top w:val="none" w:sz="0" w:space="0" w:color="auto"/>
        <w:left w:val="none" w:sz="0" w:space="0" w:color="auto"/>
        <w:bottom w:val="none" w:sz="0" w:space="0" w:color="auto"/>
        <w:right w:val="none" w:sz="0" w:space="0" w:color="auto"/>
      </w:divBdr>
    </w:div>
    <w:div w:id="113134618">
      <w:bodyDiv w:val="1"/>
      <w:marLeft w:val="0"/>
      <w:marRight w:val="0"/>
      <w:marTop w:val="0"/>
      <w:marBottom w:val="0"/>
      <w:divBdr>
        <w:top w:val="none" w:sz="0" w:space="0" w:color="auto"/>
        <w:left w:val="none" w:sz="0" w:space="0" w:color="auto"/>
        <w:bottom w:val="none" w:sz="0" w:space="0" w:color="auto"/>
        <w:right w:val="none" w:sz="0" w:space="0" w:color="auto"/>
      </w:divBdr>
    </w:div>
    <w:div w:id="202526078">
      <w:bodyDiv w:val="1"/>
      <w:marLeft w:val="0"/>
      <w:marRight w:val="0"/>
      <w:marTop w:val="0"/>
      <w:marBottom w:val="0"/>
      <w:divBdr>
        <w:top w:val="none" w:sz="0" w:space="0" w:color="auto"/>
        <w:left w:val="none" w:sz="0" w:space="0" w:color="auto"/>
        <w:bottom w:val="none" w:sz="0" w:space="0" w:color="auto"/>
        <w:right w:val="none" w:sz="0" w:space="0" w:color="auto"/>
      </w:divBdr>
    </w:div>
    <w:div w:id="217672524">
      <w:bodyDiv w:val="1"/>
      <w:marLeft w:val="0"/>
      <w:marRight w:val="0"/>
      <w:marTop w:val="0"/>
      <w:marBottom w:val="0"/>
      <w:divBdr>
        <w:top w:val="none" w:sz="0" w:space="0" w:color="auto"/>
        <w:left w:val="none" w:sz="0" w:space="0" w:color="auto"/>
        <w:bottom w:val="none" w:sz="0" w:space="0" w:color="auto"/>
        <w:right w:val="none" w:sz="0" w:space="0" w:color="auto"/>
      </w:divBdr>
    </w:div>
    <w:div w:id="226379253">
      <w:bodyDiv w:val="1"/>
      <w:marLeft w:val="0"/>
      <w:marRight w:val="0"/>
      <w:marTop w:val="0"/>
      <w:marBottom w:val="0"/>
      <w:divBdr>
        <w:top w:val="none" w:sz="0" w:space="0" w:color="auto"/>
        <w:left w:val="none" w:sz="0" w:space="0" w:color="auto"/>
        <w:bottom w:val="none" w:sz="0" w:space="0" w:color="auto"/>
        <w:right w:val="none" w:sz="0" w:space="0" w:color="auto"/>
      </w:divBdr>
    </w:div>
    <w:div w:id="228344358">
      <w:bodyDiv w:val="1"/>
      <w:marLeft w:val="0"/>
      <w:marRight w:val="0"/>
      <w:marTop w:val="0"/>
      <w:marBottom w:val="0"/>
      <w:divBdr>
        <w:top w:val="none" w:sz="0" w:space="0" w:color="auto"/>
        <w:left w:val="none" w:sz="0" w:space="0" w:color="auto"/>
        <w:bottom w:val="none" w:sz="0" w:space="0" w:color="auto"/>
        <w:right w:val="none" w:sz="0" w:space="0" w:color="auto"/>
      </w:divBdr>
    </w:div>
    <w:div w:id="316761798">
      <w:bodyDiv w:val="1"/>
      <w:marLeft w:val="0"/>
      <w:marRight w:val="0"/>
      <w:marTop w:val="0"/>
      <w:marBottom w:val="0"/>
      <w:divBdr>
        <w:top w:val="none" w:sz="0" w:space="0" w:color="auto"/>
        <w:left w:val="none" w:sz="0" w:space="0" w:color="auto"/>
        <w:bottom w:val="none" w:sz="0" w:space="0" w:color="auto"/>
        <w:right w:val="none" w:sz="0" w:space="0" w:color="auto"/>
      </w:divBdr>
    </w:div>
    <w:div w:id="707753753">
      <w:bodyDiv w:val="1"/>
      <w:marLeft w:val="0"/>
      <w:marRight w:val="0"/>
      <w:marTop w:val="0"/>
      <w:marBottom w:val="0"/>
      <w:divBdr>
        <w:top w:val="none" w:sz="0" w:space="0" w:color="auto"/>
        <w:left w:val="none" w:sz="0" w:space="0" w:color="auto"/>
        <w:bottom w:val="none" w:sz="0" w:space="0" w:color="auto"/>
        <w:right w:val="none" w:sz="0" w:space="0" w:color="auto"/>
      </w:divBdr>
    </w:div>
    <w:div w:id="760638169">
      <w:bodyDiv w:val="1"/>
      <w:marLeft w:val="0"/>
      <w:marRight w:val="0"/>
      <w:marTop w:val="0"/>
      <w:marBottom w:val="0"/>
      <w:divBdr>
        <w:top w:val="none" w:sz="0" w:space="0" w:color="auto"/>
        <w:left w:val="none" w:sz="0" w:space="0" w:color="auto"/>
        <w:bottom w:val="none" w:sz="0" w:space="0" w:color="auto"/>
        <w:right w:val="none" w:sz="0" w:space="0" w:color="auto"/>
      </w:divBdr>
    </w:div>
    <w:div w:id="846557544">
      <w:bodyDiv w:val="1"/>
      <w:marLeft w:val="0"/>
      <w:marRight w:val="0"/>
      <w:marTop w:val="0"/>
      <w:marBottom w:val="0"/>
      <w:divBdr>
        <w:top w:val="none" w:sz="0" w:space="0" w:color="auto"/>
        <w:left w:val="none" w:sz="0" w:space="0" w:color="auto"/>
        <w:bottom w:val="none" w:sz="0" w:space="0" w:color="auto"/>
        <w:right w:val="none" w:sz="0" w:space="0" w:color="auto"/>
      </w:divBdr>
    </w:div>
    <w:div w:id="936056293">
      <w:bodyDiv w:val="1"/>
      <w:marLeft w:val="0"/>
      <w:marRight w:val="0"/>
      <w:marTop w:val="0"/>
      <w:marBottom w:val="0"/>
      <w:divBdr>
        <w:top w:val="none" w:sz="0" w:space="0" w:color="auto"/>
        <w:left w:val="none" w:sz="0" w:space="0" w:color="auto"/>
        <w:bottom w:val="none" w:sz="0" w:space="0" w:color="auto"/>
        <w:right w:val="none" w:sz="0" w:space="0" w:color="auto"/>
      </w:divBdr>
    </w:div>
    <w:div w:id="1020861963">
      <w:bodyDiv w:val="1"/>
      <w:marLeft w:val="0"/>
      <w:marRight w:val="0"/>
      <w:marTop w:val="0"/>
      <w:marBottom w:val="0"/>
      <w:divBdr>
        <w:top w:val="none" w:sz="0" w:space="0" w:color="auto"/>
        <w:left w:val="none" w:sz="0" w:space="0" w:color="auto"/>
        <w:bottom w:val="none" w:sz="0" w:space="0" w:color="auto"/>
        <w:right w:val="none" w:sz="0" w:space="0" w:color="auto"/>
      </w:divBdr>
    </w:div>
    <w:div w:id="1129394329">
      <w:bodyDiv w:val="1"/>
      <w:marLeft w:val="0"/>
      <w:marRight w:val="0"/>
      <w:marTop w:val="0"/>
      <w:marBottom w:val="0"/>
      <w:divBdr>
        <w:top w:val="none" w:sz="0" w:space="0" w:color="auto"/>
        <w:left w:val="none" w:sz="0" w:space="0" w:color="auto"/>
        <w:bottom w:val="none" w:sz="0" w:space="0" w:color="auto"/>
        <w:right w:val="none" w:sz="0" w:space="0" w:color="auto"/>
      </w:divBdr>
    </w:div>
    <w:div w:id="1198203542">
      <w:bodyDiv w:val="1"/>
      <w:marLeft w:val="0"/>
      <w:marRight w:val="0"/>
      <w:marTop w:val="0"/>
      <w:marBottom w:val="0"/>
      <w:divBdr>
        <w:top w:val="none" w:sz="0" w:space="0" w:color="auto"/>
        <w:left w:val="none" w:sz="0" w:space="0" w:color="auto"/>
        <w:bottom w:val="none" w:sz="0" w:space="0" w:color="auto"/>
        <w:right w:val="none" w:sz="0" w:space="0" w:color="auto"/>
      </w:divBdr>
    </w:div>
    <w:div w:id="1239903981">
      <w:bodyDiv w:val="1"/>
      <w:marLeft w:val="0"/>
      <w:marRight w:val="0"/>
      <w:marTop w:val="0"/>
      <w:marBottom w:val="0"/>
      <w:divBdr>
        <w:top w:val="none" w:sz="0" w:space="0" w:color="auto"/>
        <w:left w:val="none" w:sz="0" w:space="0" w:color="auto"/>
        <w:bottom w:val="none" w:sz="0" w:space="0" w:color="auto"/>
        <w:right w:val="none" w:sz="0" w:space="0" w:color="auto"/>
      </w:divBdr>
    </w:div>
    <w:div w:id="1298073378">
      <w:bodyDiv w:val="1"/>
      <w:marLeft w:val="0"/>
      <w:marRight w:val="0"/>
      <w:marTop w:val="0"/>
      <w:marBottom w:val="0"/>
      <w:divBdr>
        <w:top w:val="none" w:sz="0" w:space="0" w:color="auto"/>
        <w:left w:val="none" w:sz="0" w:space="0" w:color="auto"/>
        <w:bottom w:val="none" w:sz="0" w:space="0" w:color="auto"/>
        <w:right w:val="none" w:sz="0" w:space="0" w:color="auto"/>
      </w:divBdr>
    </w:div>
    <w:div w:id="1385174160">
      <w:bodyDiv w:val="1"/>
      <w:marLeft w:val="0"/>
      <w:marRight w:val="0"/>
      <w:marTop w:val="0"/>
      <w:marBottom w:val="0"/>
      <w:divBdr>
        <w:top w:val="none" w:sz="0" w:space="0" w:color="auto"/>
        <w:left w:val="none" w:sz="0" w:space="0" w:color="auto"/>
        <w:bottom w:val="none" w:sz="0" w:space="0" w:color="auto"/>
        <w:right w:val="none" w:sz="0" w:space="0" w:color="auto"/>
      </w:divBdr>
    </w:div>
    <w:div w:id="1609508452">
      <w:bodyDiv w:val="1"/>
      <w:marLeft w:val="0"/>
      <w:marRight w:val="0"/>
      <w:marTop w:val="0"/>
      <w:marBottom w:val="0"/>
      <w:divBdr>
        <w:top w:val="none" w:sz="0" w:space="0" w:color="auto"/>
        <w:left w:val="none" w:sz="0" w:space="0" w:color="auto"/>
        <w:bottom w:val="none" w:sz="0" w:space="0" w:color="auto"/>
        <w:right w:val="none" w:sz="0" w:space="0" w:color="auto"/>
      </w:divBdr>
    </w:div>
    <w:div w:id="1803108738">
      <w:bodyDiv w:val="1"/>
      <w:marLeft w:val="0"/>
      <w:marRight w:val="0"/>
      <w:marTop w:val="0"/>
      <w:marBottom w:val="0"/>
      <w:divBdr>
        <w:top w:val="none" w:sz="0" w:space="0" w:color="auto"/>
        <w:left w:val="none" w:sz="0" w:space="0" w:color="auto"/>
        <w:bottom w:val="none" w:sz="0" w:space="0" w:color="auto"/>
        <w:right w:val="none" w:sz="0" w:space="0" w:color="auto"/>
      </w:divBdr>
    </w:div>
    <w:div w:id="1917205093">
      <w:bodyDiv w:val="1"/>
      <w:marLeft w:val="0"/>
      <w:marRight w:val="0"/>
      <w:marTop w:val="0"/>
      <w:marBottom w:val="0"/>
      <w:divBdr>
        <w:top w:val="none" w:sz="0" w:space="0" w:color="auto"/>
        <w:left w:val="none" w:sz="0" w:space="0" w:color="auto"/>
        <w:bottom w:val="none" w:sz="0" w:space="0" w:color="auto"/>
        <w:right w:val="none" w:sz="0" w:space="0" w:color="auto"/>
      </w:divBdr>
    </w:div>
    <w:div w:id="1926066845">
      <w:bodyDiv w:val="1"/>
      <w:marLeft w:val="0"/>
      <w:marRight w:val="0"/>
      <w:marTop w:val="0"/>
      <w:marBottom w:val="0"/>
      <w:divBdr>
        <w:top w:val="none" w:sz="0" w:space="0" w:color="auto"/>
        <w:left w:val="none" w:sz="0" w:space="0" w:color="auto"/>
        <w:bottom w:val="none" w:sz="0" w:space="0" w:color="auto"/>
        <w:right w:val="none" w:sz="0" w:space="0" w:color="auto"/>
      </w:divBdr>
    </w:div>
    <w:div w:id="1970084183">
      <w:bodyDiv w:val="1"/>
      <w:marLeft w:val="0"/>
      <w:marRight w:val="0"/>
      <w:marTop w:val="0"/>
      <w:marBottom w:val="0"/>
      <w:divBdr>
        <w:top w:val="none" w:sz="0" w:space="0" w:color="auto"/>
        <w:left w:val="none" w:sz="0" w:space="0" w:color="auto"/>
        <w:bottom w:val="none" w:sz="0" w:space="0" w:color="auto"/>
        <w:right w:val="none" w:sz="0" w:space="0" w:color="auto"/>
      </w:divBdr>
    </w:div>
    <w:div w:id="2072196843">
      <w:bodyDiv w:val="1"/>
      <w:marLeft w:val="0"/>
      <w:marRight w:val="0"/>
      <w:marTop w:val="0"/>
      <w:marBottom w:val="0"/>
      <w:divBdr>
        <w:top w:val="none" w:sz="0" w:space="0" w:color="auto"/>
        <w:left w:val="none" w:sz="0" w:space="0" w:color="auto"/>
        <w:bottom w:val="none" w:sz="0" w:space="0" w:color="auto"/>
        <w:right w:val="none" w:sz="0" w:space="0" w:color="auto"/>
      </w:divBdr>
    </w:div>
    <w:div w:id="20947361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creativecommons.org/licenses/by-nc/3.0/e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E1152-38C5-4F2C-A8C8-0516388A8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3631</TotalTime>
  <Pages>43</Pages>
  <Words>51159</Words>
  <Characters>281375</Characters>
  <Application>Microsoft Office Word</Application>
  <DocSecurity>0</DocSecurity>
  <Lines>2344</Lines>
  <Paragraphs>663</Paragraphs>
  <ScaleCrop>false</ScaleCrop>
  <HeadingPairs>
    <vt:vector size="2" baseType="variant">
      <vt:variant>
        <vt:lpstr>Título</vt:lpstr>
      </vt:variant>
      <vt:variant>
        <vt:i4>1</vt:i4>
      </vt:variant>
    </vt:vector>
  </HeadingPairs>
  <TitlesOfParts>
    <vt:vector size="1" baseType="lpstr">
      <vt:lpstr/>
    </vt:vector>
  </TitlesOfParts>
  <Company>Grupo TRAGSA</Company>
  <LinksUpToDate>false</LinksUpToDate>
  <CharactersWithSpaces>331871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Ubeda Quesada, Julio</cp:lastModifiedBy>
  <cp:revision>30</cp:revision>
  <cp:lastPrinted>2026-03-01T20:13:00Z</cp:lastPrinted>
  <dcterms:created xsi:type="dcterms:W3CDTF">2026-03-11T12:06:00Z</dcterms:created>
  <dcterms:modified xsi:type="dcterms:W3CDTF">2026-03-19T16:09:00Z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id="yGPj89Eb"/&gt;&lt;style id="http://www.zotero.org/styles/american-sociological-association" locale="es-ES" hasBibliography="1" bibliographyStyleHasBeenSet="1"/&gt;&lt;prefs&gt;&lt;pref name="fieldType" value="Field</vt:lpwstr>
  </property>
  <property fmtid="{D5CDD505-2E9C-101B-9397-08002B2CF9AE}" pid="3" name="ZOTERO_PREF_2">
    <vt:lpwstr>"/&gt;&lt;pref name="automaticJournalAbbreviations" value="true"/&gt;&lt;/prefs&gt;&lt;/data&gt;</vt:lpwstr>
  </property>
</Properties>
</file>