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B607C2"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19CEA2D9" w14:textId="17DF1AD6" w:rsidR="00B51F6D" w:rsidRDefault="004331B9" w:rsidP="00E840D2">
          <w:pPr>
            <w:pStyle w:val="TDC2"/>
            <w:tabs>
              <w:tab w:val="right" w:leader="dot" w:pos="8656"/>
            </w:tabs>
            <w:ind w:left="0" w:firstLine="0"/>
            <w:rPr>
              <w:rFonts w:asciiTheme="minorHAnsi" w:eastAsiaTheme="minorEastAsia" w:hAnsiTheme="minorHAnsi" w:cstheme="minorBidi"/>
              <w:noProof/>
              <w:sz w:val="22"/>
              <w:szCs w:val="22"/>
              <w:lang w:eastAsia="es-ES"/>
            </w:rPr>
          </w:pPr>
          <w:r>
            <w:fldChar w:fldCharType="begin"/>
          </w:r>
          <w:r>
            <w:instrText xml:space="preserve"> TOC \o "1-3" \h \z \u </w:instrText>
          </w:r>
          <w:r>
            <w:fldChar w:fldCharType="separate"/>
          </w:r>
          <w:hyperlink w:anchor="_Toc223802764" w:history="1">
            <w:r w:rsidR="00B51F6D" w:rsidRPr="00605F36">
              <w:rPr>
                <w:rStyle w:val="Hipervnculo"/>
                <w:noProof/>
              </w:rPr>
              <w:t>2.1 Introducción al capítulo</w:t>
            </w:r>
            <w:r w:rsidR="00B51F6D">
              <w:rPr>
                <w:noProof/>
                <w:webHidden/>
              </w:rPr>
              <w:tab/>
            </w:r>
            <w:r w:rsidR="00B51F6D">
              <w:rPr>
                <w:noProof/>
                <w:webHidden/>
              </w:rPr>
              <w:fldChar w:fldCharType="begin"/>
            </w:r>
            <w:r w:rsidR="00B51F6D">
              <w:rPr>
                <w:noProof/>
                <w:webHidden/>
              </w:rPr>
              <w:instrText xml:space="preserve"> PAGEREF _Toc223802764 \h </w:instrText>
            </w:r>
            <w:r w:rsidR="00B51F6D">
              <w:rPr>
                <w:noProof/>
                <w:webHidden/>
              </w:rPr>
            </w:r>
            <w:r w:rsidR="00B51F6D">
              <w:rPr>
                <w:noProof/>
                <w:webHidden/>
              </w:rPr>
              <w:fldChar w:fldCharType="separate"/>
            </w:r>
            <w:r w:rsidR="00E840D2">
              <w:rPr>
                <w:noProof/>
                <w:webHidden/>
              </w:rPr>
              <w:t>1</w:t>
            </w:r>
            <w:r w:rsidR="00B51F6D">
              <w:rPr>
                <w:noProof/>
                <w:webHidden/>
              </w:rPr>
              <w:fldChar w:fldCharType="end"/>
            </w:r>
          </w:hyperlink>
        </w:p>
        <w:p w14:paraId="274A1395" w14:textId="74660A41"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65" w:history="1">
            <w:r w:rsidR="00B51F6D" w:rsidRPr="00605F36">
              <w:rPr>
                <w:rStyle w:val="Hipervnculo"/>
                <w:noProof/>
              </w:rPr>
              <w:t>2.2 Métodos clásicos de análisis de supervivencia</w:t>
            </w:r>
            <w:r w:rsidR="00B51F6D">
              <w:rPr>
                <w:noProof/>
                <w:webHidden/>
              </w:rPr>
              <w:tab/>
            </w:r>
            <w:r w:rsidR="00B51F6D">
              <w:rPr>
                <w:noProof/>
                <w:webHidden/>
              </w:rPr>
              <w:fldChar w:fldCharType="begin"/>
            </w:r>
            <w:r w:rsidR="00B51F6D">
              <w:rPr>
                <w:noProof/>
                <w:webHidden/>
              </w:rPr>
              <w:instrText xml:space="preserve"> PAGEREF _Toc223802765 \h </w:instrText>
            </w:r>
            <w:r w:rsidR="00B51F6D">
              <w:rPr>
                <w:noProof/>
                <w:webHidden/>
              </w:rPr>
            </w:r>
            <w:r w:rsidR="00B51F6D">
              <w:rPr>
                <w:noProof/>
                <w:webHidden/>
              </w:rPr>
              <w:fldChar w:fldCharType="separate"/>
            </w:r>
            <w:r w:rsidR="00E840D2">
              <w:rPr>
                <w:noProof/>
                <w:webHidden/>
              </w:rPr>
              <w:t>1</w:t>
            </w:r>
            <w:r w:rsidR="00B51F6D">
              <w:rPr>
                <w:noProof/>
                <w:webHidden/>
              </w:rPr>
              <w:fldChar w:fldCharType="end"/>
            </w:r>
          </w:hyperlink>
        </w:p>
        <w:p w14:paraId="5FDE102C" w14:textId="625FA5B7" w:rsidR="00B51F6D" w:rsidRDefault="00B607C2">
          <w:pPr>
            <w:pStyle w:val="TDC3"/>
            <w:tabs>
              <w:tab w:val="right" w:leader="dot" w:pos="8656"/>
            </w:tabs>
            <w:rPr>
              <w:rFonts w:eastAsiaTheme="minorEastAsia" w:cstheme="minorBidi"/>
              <w:noProof/>
              <w:sz w:val="22"/>
            </w:rPr>
          </w:pPr>
          <w:hyperlink w:anchor="_Toc223802766" w:history="1">
            <w:r w:rsidR="00B51F6D" w:rsidRPr="00605F36">
              <w:rPr>
                <w:rStyle w:val="Hipervnculo"/>
                <w:noProof/>
              </w:rPr>
              <w:t>2.2.1 El estimador de Kaplan-Meier</w:t>
            </w:r>
            <w:r w:rsidR="00B51F6D">
              <w:rPr>
                <w:noProof/>
                <w:webHidden/>
              </w:rPr>
              <w:tab/>
            </w:r>
            <w:r w:rsidR="00B51F6D">
              <w:rPr>
                <w:noProof/>
                <w:webHidden/>
              </w:rPr>
              <w:fldChar w:fldCharType="begin"/>
            </w:r>
            <w:r w:rsidR="00B51F6D">
              <w:rPr>
                <w:noProof/>
                <w:webHidden/>
              </w:rPr>
              <w:instrText xml:space="preserve"> PAGEREF _Toc223802766 \h </w:instrText>
            </w:r>
            <w:r w:rsidR="00B51F6D">
              <w:rPr>
                <w:noProof/>
                <w:webHidden/>
              </w:rPr>
            </w:r>
            <w:r w:rsidR="00B51F6D">
              <w:rPr>
                <w:noProof/>
                <w:webHidden/>
              </w:rPr>
              <w:fldChar w:fldCharType="separate"/>
            </w:r>
            <w:r w:rsidR="00E840D2">
              <w:rPr>
                <w:noProof/>
                <w:webHidden/>
              </w:rPr>
              <w:t>1</w:t>
            </w:r>
            <w:r w:rsidR="00B51F6D">
              <w:rPr>
                <w:noProof/>
                <w:webHidden/>
              </w:rPr>
              <w:fldChar w:fldCharType="end"/>
            </w:r>
          </w:hyperlink>
        </w:p>
        <w:p w14:paraId="651F480A" w14:textId="78D55DE7" w:rsidR="00B51F6D" w:rsidRDefault="00B607C2">
          <w:pPr>
            <w:pStyle w:val="TDC3"/>
            <w:tabs>
              <w:tab w:val="right" w:leader="dot" w:pos="8656"/>
            </w:tabs>
            <w:rPr>
              <w:rFonts w:eastAsiaTheme="minorEastAsia" w:cstheme="minorBidi"/>
              <w:noProof/>
              <w:sz w:val="22"/>
            </w:rPr>
          </w:pPr>
          <w:hyperlink w:anchor="_Toc223802767" w:history="1">
            <w:r w:rsidR="00B51F6D" w:rsidRPr="00605F36">
              <w:rPr>
                <w:rStyle w:val="Hipervnculo"/>
                <w:noProof/>
              </w:rPr>
              <w:t>2.2.2 El modelo de riesgos proporcionales de Cox</w:t>
            </w:r>
            <w:r w:rsidR="00B51F6D">
              <w:rPr>
                <w:noProof/>
                <w:webHidden/>
              </w:rPr>
              <w:tab/>
            </w:r>
            <w:r w:rsidR="00B51F6D">
              <w:rPr>
                <w:noProof/>
                <w:webHidden/>
              </w:rPr>
              <w:fldChar w:fldCharType="begin"/>
            </w:r>
            <w:r w:rsidR="00B51F6D">
              <w:rPr>
                <w:noProof/>
                <w:webHidden/>
              </w:rPr>
              <w:instrText xml:space="preserve"> PAGEREF _Toc223802767 \h </w:instrText>
            </w:r>
            <w:r w:rsidR="00B51F6D">
              <w:rPr>
                <w:noProof/>
                <w:webHidden/>
              </w:rPr>
            </w:r>
            <w:r w:rsidR="00B51F6D">
              <w:rPr>
                <w:noProof/>
                <w:webHidden/>
              </w:rPr>
              <w:fldChar w:fldCharType="separate"/>
            </w:r>
            <w:r w:rsidR="00E840D2">
              <w:rPr>
                <w:noProof/>
                <w:webHidden/>
              </w:rPr>
              <w:t>2</w:t>
            </w:r>
            <w:r w:rsidR="00B51F6D">
              <w:rPr>
                <w:noProof/>
                <w:webHidden/>
              </w:rPr>
              <w:fldChar w:fldCharType="end"/>
            </w:r>
          </w:hyperlink>
        </w:p>
        <w:p w14:paraId="7C1BA296" w14:textId="2586D757" w:rsidR="00B51F6D" w:rsidRDefault="00B607C2">
          <w:pPr>
            <w:pStyle w:val="TDC3"/>
            <w:tabs>
              <w:tab w:val="right" w:leader="dot" w:pos="8656"/>
            </w:tabs>
            <w:rPr>
              <w:rFonts w:eastAsiaTheme="minorEastAsia" w:cstheme="minorBidi"/>
              <w:noProof/>
              <w:sz w:val="22"/>
            </w:rPr>
          </w:pPr>
          <w:hyperlink w:anchor="_Toc223802768" w:history="1">
            <w:r w:rsidR="00B51F6D" w:rsidRPr="00605F36">
              <w:rPr>
                <w:rStyle w:val="Hipervnculo"/>
                <w:noProof/>
              </w:rPr>
              <w:t>2.2.3 Modelos paramétricos de supervivencia</w:t>
            </w:r>
            <w:r w:rsidR="00B51F6D">
              <w:rPr>
                <w:noProof/>
                <w:webHidden/>
              </w:rPr>
              <w:tab/>
            </w:r>
            <w:r w:rsidR="00B51F6D">
              <w:rPr>
                <w:noProof/>
                <w:webHidden/>
              </w:rPr>
              <w:fldChar w:fldCharType="begin"/>
            </w:r>
            <w:r w:rsidR="00B51F6D">
              <w:rPr>
                <w:noProof/>
                <w:webHidden/>
              </w:rPr>
              <w:instrText xml:space="preserve"> PAGEREF _Toc223802768 \h </w:instrText>
            </w:r>
            <w:r w:rsidR="00B51F6D">
              <w:rPr>
                <w:noProof/>
                <w:webHidden/>
              </w:rPr>
            </w:r>
            <w:r w:rsidR="00B51F6D">
              <w:rPr>
                <w:noProof/>
                <w:webHidden/>
              </w:rPr>
              <w:fldChar w:fldCharType="separate"/>
            </w:r>
            <w:r w:rsidR="00E840D2">
              <w:rPr>
                <w:noProof/>
                <w:webHidden/>
              </w:rPr>
              <w:t>2</w:t>
            </w:r>
            <w:r w:rsidR="00B51F6D">
              <w:rPr>
                <w:noProof/>
                <w:webHidden/>
              </w:rPr>
              <w:fldChar w:fldCharType="end"/>
            </w:r>
          </w:hyperlink>
        </w:p>
        <w:p w14:paraId="4B395777" w14:textId="122EAA9A"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69" w:history="1">
            <w:r w:rsidR="00B51F6D" w:rsidRPr="00605F36">
              <w:rPr>
                <w:rStyle w:val="Hipervnculo"/>
                <w:noProof/>
              </w:rPr>
              <w:t>2.3 Métodos de aprendizaje automático para análisis de supervivencia</w:t>
            </w:r>
            <w:r w:rsidR="00B51F6D">
              <w:rPr>
                <w:noProof/>
                <w:webHidden/>
              </w:rPr>
              <w:tab/>
            </w:r>
            <w:r w:rsidR="00B51F6D">
              <w:rPr>
                <w:noProof/>
                <w:webHidden/>
              </w:rPr>
              <w:fldChar w:fldCharType="begin"/>
            </w:r>
            <w:r w:rsidR="00B51F6D">
              <w:rPr>
                <w:noProof/>
                <w:webHidden/>
              </w:rPr>
              <w:instrText xml:space="preserve"> PAGEREF _Toc223802769 \h </w:instrText>
            </w:r>
            <w:r w:rsidR="00B51F6D">
              <w:rPr>
                <w:noProof/>
                <w:webHidden/>
              </w:rPr>
            </w:r>
            <w:r w:rsidR="00B51F6D">
              <w:rPr>
                <w:noProof/>
                <w:webHidden/>
              </w:rPr>
              <w:fldChar w:fldCharType="separate"/>
            </w:r>
            <w:r w:rsidR="00E840D2">
              <w:rPr>
                <w:noProof/>
                <w:webHidden/>
              </w:rPr>
              <w:t>2</w:t>
            </w:r>
            <w:r w:rsidR="00B51F6D">
              <w:rPr>
                <w:noProof/>
                <w:webHidden/>
              </w:rPr>
              <w:fldChar w:fldCharType="end"/>
            </w:r>
          </w:hyperlink>
        </w:p>
        <w:p w14:paraId="71DD5D8C" w14:textId="5BE5B6BB" w:rsidR="00B51F6D" w:rsidRDefault="00B607C2">
          <w:pPr>
            <w:pStyle w:val="TDC3"/>
            <w:tabs>
              <w:tab w:val="right" w:leader="dot" w:pos="8656"/>
            </w:tabs>
            <w:rPr>
              <w:rFonts w:eastAsiaTheme="minorEastAsia" w:cstheme="minorBidi"/>
              <w:noProof/>
              <w:sz w:val="22"/>
            </w:rPr>
          </w:pPr>
          <w:hyperlink w:anchor="_Toc223802770" w:history="1">
            <w:r w:rsidR="00B51F6D" w:rsidRPr="00605F36">
              <w:rPr>
                <w:rStyle w:val="Hipervnculo"/>
                <w:noProof/>
              </w:rPr>
              <w:t>2.3.1 Motivación del enfoque de aprendizaje automático</w:t>
            </w:r>
            <w:r w:rsidR="00B51F6D">
              <w:rPr>
                <w:noProof/>
                <w:webHidden/>
              </w:rPr>
              <w:tab/>
            </w:r>
            <w:r w:rsidR="00B51F6D">
              <w:rPr>
                <w:noProof/>
                <w:webHidden/>
              </w:rPr>
              <w:fldChar w:fldCharType="begin"/>
            </w:r>
            <w:r w:rsidR="00B51F6D">
              <w:rPr>
                <w:noProof/>
                <w:webHidden/>
              </w:rPr>
              <w:instrText xml:space="preserve"> PAGEREF _Toc223802770 \h </w:instrText>
            </w:r>
            <w:r w:rsidR="00B51F6D">
              <w:rPr>
                <w:noProof/>
                <w:webHidden/>
              </w:rPr>
            </w:r>
            <w:r w:rsidR="00B51F6D">
              <w:rPr>
                <w:noProof/>
                <w:webHidden/>
              </w:rPr>
              <w:fldChar w:fldCharType="separate"/>
            </w:r>
            <w:r w:rsidR="00E840D2">
              <w:rPr>
                <w:noProof/>
                <w:webHidden/>
              </w:rPr>
              <w:t>2</w:t>
            </w:r>
            <w:r w:rsidR="00B51F6D">
              <w:rPr>
                <w:noProof/>
                <w:webHidden/>
              </w:rPr>
              <w:fldChar w:fldCharType="end"/>
            </w:r>
          </w:hyperlink>
        </w:p>
        <w:p w14:paraId="545AC496" w14:textId="60A22E86" w:rsidR="00B51F6D" w:rsidRDefault="00B607C2">
          <w:pPr>
            <w:pStyle w:val="TDC3"/>
            <w:tabs>
              <w:tab w:val="right" w:leader="dot" w:pos="8656"/>
            </w:tabs>
            <w:rPr>
              <w:rFonts w:eastAsiaTheme="minorEastAsia" w:cstheme="minorBidi"/>
              <w:noProof/>
              <w:sz w:val="22"/>
            </w:rPr>
          </w:pPr>
          <w:hyperlink w:anchor="_Toc223802771" w:history="1">
            <w:r w:rsidR="00B51F6D" w:rsidRPr="00605F36">
              <w:rPr>
                <w:rStyle w:val="Hipervnculo"/>
                <w:noProof/>
              </w:rPr>
              <w:t>2.3.2 Random Survival Forest</w:t>
            </w:r>
            <w:r w:rsidR="00B51F6D">
              <w:rPr>
                <w:noProof/>
                <w:webHidden/>
              </w:rPr>
              <w:tab/>
            </w:r>
            <w:r w:rsidR="00B51F6D">
              <w:rPr>
                <w:noProof/>
                <w:webHidden/>
              </w:rPr>
              <w:fldChar w:fldCharType="begin"/>
            </w:r>
            <w:r w:rsidR="00B51F6D">
              <w:rPr>
                <w:noProof/>
                <w:webHidden/>
              </w:rPr>
              <w:instrText xml:space="preserve"> PAGEREF _Toc223802771 \h </w:instrText>
            </w:r>
            <w:r w:rsidR="00B51F6D">
              <w:rPr>
                <w:noProof/>
                <w:webHidden/>
              </w:rPr>
            </w:r>
            <w:r w:rsidR="00B51F6D">
              <w:rPr>
                <w:noProof/>
                <w:webHidden/>
              </w:rPr>
              <w:fldChar w:fldCharType="separate"/>
            </w:r>
            <w:r w:rsidR="00E840D2">
              <w:rPr>
                <w:noProof/>
                <w:webHidden/>
              </w:rPr>
              <w:t>3</w:t>
            </w:r>
            <w:r w:rsidR="00B51F6D">
              <w:rPr>
                <w:noProof/>
                <w:webHidden/>
              </w:rPr>
              <w:fldChar w:fldCharType="end"/>
            </w:r>
          </w:hyperlink>
        </w:p>
        <w:p w14:paraId="39348ABB" w14:textId="01FECD32" w:rsidR="00B51F6D" w:rsidRDefault="00B607C2">
          <w:pPr>
            <w:pStyle w:val="TDC3"/>
            <w:tabs>
              <w:tab w:val="right" w:leader="dot" w:pos="8656"/>
            </w:tabs>
            <w:rPr>
              <w:rFonts w:eastAsiaTheme="minorEastAsia" w:cstheme="minorBidi"/>
              <w:noProof/>
              <w:sz w:val="22"/>
            </w:rPr>
          </w:pPr>
          <w:hyperlink w:anchor="_Toc223802772" w:history="1">
            <w:r w:rsidR="00B51F6D" w:rsidRPr="00605F36">
              <w:rPr>
                <w:rStyle w:val="Hipervnculo"/>
                <w:noProof/>
              </w:rPr>
              <w:t>2.3.3 Gradient Boosting para supervivencia</w:t>
            </w:r>
            <w:r w:rsidR="00B51F6D">
              <w:rPr>
                <w:noProof/>
                <w:webHidden/>
              </w:rPr>
              <w:tab/>
            </w:r>
            <w:r w:rsidR="00B51F6D">
              <w:rPr>
                <w:noProof/>
                <w:webHidden/>
              </w:rPr>
              <w:fldChar w:fldCharType="begin"/>
            </w:r>
            <w:r w:rsidR="00B51F6D">
              <w:rPr>
                <w:noProof/>
                <w:webHidden/>
              </w:rPr>
              <w:instrText xml:space="preserve"> PAGEREF _Toc223802772 \h </w:instrText>
            </w:r>
            <w:r w:rsidR="00B51F6D">
              <w:rPr>
                <w:noProof/>
                <w:webHidden/>
              </w:rPr>
            </w:r>
            <w:r w:rsidR="00B51F6D">
              <w:rPr>
                <w:noProof/>
                <w:webHidden/>
              </w:rPr>
              <w:fldChar w:fldCharType="separate"/>
            </w:r>
            <w:r w:rsidR="00E840D2">
              <w:rPr>
                <w:noProof/>
                <w:webHidden/>
              </w:rPr>
              <w:t>3</w:t>
            </w:r>
            <w:r w:rsidR="00B51F6D">
              <w:rPr>
                <w:noProof/>
                <w:webHidden/>
              </w:rPr>
              <w:fldChar w:fldCharType="end"/>
            </w:r>
          </w:hyperlink>
        </w:p>
        <w:p w14:paraId="2FBAF26A" w14:textId="0A96040F" w:rsidR="00B51F6D" w:rsidRDefault="00B607C2">
          <w:pPr>
            <w:pStyle w:val="TDC3"/>
            <w:tabs>
              <w:tab w:val="right" w:leader="dot" w:pos="8656"/>
            </w:tabs>
            <w:rPr>
              <w:rFonts w:eastAsiaTheme="minorEastAsia" w:cstheme="minorBidi"/>
              <w:noProof/>
              <w:sz w:val="22"/>
            </w:rPr>
          </w:pPr>
          <w:hyperlink w:anchor="_Toc223802773" w:history="1">
            <w:r w:rsidR="00B51F6D" w:rsidRPr="00605F36">
              <w:rPr>
                <w:rStyle w:val="Hipervnculo"/>
                <w:noProof/>
              </w:rPr>
              <w:t>2.3.4 Máquinas de vectores de soporte para supervivencia (SVM)</w:t>
            </w:r>
            <w:r w:rsidR="00B51F6D">
              <w:rPr>
                <w:noProof/>
                <w:webHidden/>
              </w:rPr>
              <w:tab/>
            </w:r>
            <w:r w:rsidR="00B51F6D">
              <w:rPr>
                <w:noProof/>
                <w:webHidden/>
              </w:rPr>
              <w:fldChar w:fldCharType="begin"/>
            </w:r>
            <w:r w:rsidR="00B51F6D">
              <w:rPr>
                <w:noProof/>
                <w:webHidden/>
              </w:rPr>
              <w:instrText xml:space="preserve"> PAGEREF _Toc223802773 \h </w:instrText>
            </w:r>
            <w:r w:rsidR="00B51F6D">
              <w:rPr>
                <w:noProof/>
                <w:webHidden/>
              </w:rPr>
            </w:r>
            <w:r w:rsidR="00B51F6D">
              <w:rPr>
                <w:noProof/>
                <w:webHidden/>
              </w:rPr>
              <w:fldChar w:fldCharType="separate"/>
            </w:r>
            <w:r w:rsidR="00E840D2">
              <w:rPr>
                <w:noProof/>
                <w:webHidden/>
              </w:rPr>
              <w:t>3</w:t>
            </w:r>
            <w:r w:rsidR="00B51F6D">
              <w:rPr>
                <w:noProof/>
                <w:webHidden/>
              </w:rPr>
              <w:fldChar w:fldCharType="end"/>
            </w:r>
          </w:hyperlink>
        </w:p>
        <w:p w14:paraId="31F2951D" w14:textId="66D8FB2D"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74" w:history="1">
            <w:r w:rsidR="00B51F6D" w:rsidRPr="00605F36">
              <w:rPr>
                <w:rStyle w:val="Hipervnculo"/>
                <w:noProof/>
              </w:rPr>
              <w:t>2.4 Modelos de aprendizaje profundo para análisis de supervivencia</w:t>
            </w:r>
            <w:r w:rsidR="00B51F6D">
              <w:rPr>
                <w:noProof/>
                <w:webHidden/>
              </w:rPr>
              <w:tab/>
            </w:r>
            <w:r w:rsidR="00B51F6D">
              <w:rPr>
                <w:noProof/>
                <w:webHidden/>
              </w:rPr>
              <w:fldChar w:fldCharType="begin"/>
            </w:r>
            <w:r w:rsidR="00B51F6D">
              <w:rPr>
                <w:noProof/>
                <w:webHidden/>
              </w:rPr>
              <w:instrText xml:space="preserve"> PAGEREF _Toc223802774 \h </w:instrText>
            </w:r>
            <w:r w:rsidR="00B51F6D">
              <w:rPr>
                <w:noProof/>
                <w:webHidden/>
              </w:rPr>
            </w:r>
            <w:r w:rsidR="00B51F6D">
              <w:rPr>
                <w:noProof/>
                <w:webHidden/>
              </w:rPr>
              <w:fldChar w:fldCharType="separate"/>
            </w:r>
            <w:r w:rsidR="00E840D2">
              <w:rPr>
                <w:noProof/>
                <w:webHidden/>
              </w:rPr>
              <w:t>4</w:t>
            </w:r>
            <w:r w:rsidR="00B51F6D">
              <w:rPr>
                <w:noProof/>
                <w:webHidden/>
              </w:rPr>
              <w:fldChar w:fldCharType="end"/>
            </w:r>
          </w:hyperlink>
        </w:p>
        <w:p w14:paraId="424F53C0" w14:textId="37597E9D" w:rsidR="00B51F6D" w:rsidRDefault="00B607C2">
          <w:pPr>
            <w:pStyle w:val="TDC3"/>
            <w:tabs>
              <w:tab w:val="right" w:leader="dot" w:pos="8656"/>
            </w:tabs>
            <w:rPr>
              <w:rFonts w:eastAsiaTheme="minorEastAsia" w:cstheme="minorBidi"/>
              <w:noProof/>
              <w:sz w:val="22"/>
            </w:rPr>
          </w:pPr>
          <w:hyperlink w:anchor="_Toc223802775" w:history="1">
            <w:r w:rsidR="00B51F6D" w:rsidRPr="00605F36">
              <w:rPr>
                <w:rStyle w:val="Hipervnculo"/>
                <w:noProof/>
              </w:rPr>
              <w:t>2.4.1 DeepSurv</w:t>
            </w:r>
            <w:r w:rsidR="00B51F6D">
              <w:rPr>
                <w:noProof/>
                <w:webHidden/>
              </w:rPr>
              <w:tab/>
            </w:r>
            <w:r w:rsidR="00B51F6D">
              <w:rPr>
                <w:noProof/>
                <w:webHidden/>
              </w:rPr>
              <w:fldChar w:fldCharType="begin"/>
            </w:r>
            <w:r w:rsidR="00B51F6D">
              <w:rPr>
                <w:noProof/>
                <w:webHidden/>
              </w:rPr>
              <w:instrText xml:space="preserve"> PAGEREF _Toc223802775 \h </w:instrText>
            </w:r>
            <w:r w:rsidR="00B51F6D">
              <w:rPr>
                <w:noProof/>
                <w:webHidden/>
              </w:rPr>
            </w:r>
            <w:r w:rsidR="00B51F6D">
              <w:rPr>
                <w:noProof/>
                <w:webHidden/>
              </w:rPr>
              <w:fldChar w:fldCharType="separate"/>
            </w:r>
            <w:r w:rsidR="00E840D2">
              <w:rPr>
                <w:noProof/>
                <w:webHidden/>
              </w:rPr>
              <w:t>4</w:t>
            </w:r>
            <w:r w:rsidR="00B51F6D">
              <w:rPr>
                <w:noProof/>
                <w:webHidden/>
              </w:rPr>
              <w:fldChar w:fldCharType="end"/>
            </w:r>
          </w:hyperlink>
        </w:p>
        <w:p w14:paraId="784CBAE6" w14:textId="06EE1F18" w:rsidR="00B51F6D" w:rsidRDefault="00B607C2">
          <w:pPr>
            <w:pStyle w:val="TDC3"/>
            <w:tabs>
              <w:tab w:val="right" w:leader="dot" w:pos="8656"/>
            </w:tabs>
            <w:rPr>
              <w:rFonts w:eastAsiaTheme="minorEastAsia" w:cstheme="minorBidi"/>
              <w:noProof/>
              <w:sz w:val="22"/>
            </w:rPr>
          </w:pPr>
          <w:hyperlink w:anchor="_Toc223802776" w:history="1">
            <w:r w:rsidR="00B51F6D" w:rsidRPr="00605F36">
              <w:rPr>
                <w:rStyle w:val="Hipervnculo"/>
                <w:noProof/>
              </w:rPr>
              <w:t>2.4.2 SurvivalNet y arquitecturas neuronales alternativas</w:t>
            </w:r>
            <w:r w:rsidR="00B51F6D">
              <w:rPr>
                <w:noProof/>
                <w:webHidden/>
              </w:rPr>
              <w:tab/>
            </w:r>
            <w:r w:rsidR="00B51F6D">
              <w:rPr>
                <w:noProof/>
                <w:webHidden/>
              </w:rPr>
              <w:fldChar w:fldCharType="begin"/>
            </w:r>
            <w:r w:rsidR="00B51F6D">
              <w:rPr>
                <w:noProof/>
                <w:webHidden/>
              </w:rPr>
              <w:instrText xml:space="preserve"> PAGEREF _Toc223802776 \h </w:instrText>
            </w:r>
            <w:r w:rsidR="00B51F6D">
              <w:rPr>
                <w:noProof/>
                <w:webHidden/>
              </w:rPr>
            </w:r>
            <w:r w:rsidR="00B51F6D">
              <w:rPr>
                <w:noProof/>
                <w:webHidden/>
              </w:rPr>
              <w:fldChar w:fldCharType="separate"/>
            </w:r>
            <w:r w:rsidR="00E840D2">
              <w:rPr>
                <w:noProof/>
                <w:webHidden/>
              </w:rPr>
              <w:t>4</w:t>
            </w:r>
            <w:r w:rsidR="00B51F6D">
              <w:rPr>
                <w:noProof/>
                <w:webHidden/>
              </w:rPr>
              <w:fldChar w:fldCharType="end"/>
            </w:r>
          </w:hyperlink>
        </w:p>
        <w:p w14:paraId="32AAF4B4" w14:textId="13484CC2" w:rsidR="00B51F6D" w:rsidRDefault="00B607C2">
          <w:pPr>
            <w:pStyle w:val="TDC3"/>
            <w:tabs>
              <w:tab w:val="right" w:leader="dot" w:pos="8656"/>
            </w:tabs>
            <w:rPr>
              <w:rFonts w:eastAsiaTheme="minorEastAsia" w:cstheme="minorBidi"/>
              <w:noProof/>
              <w:sz w:val="22"/>
            </w:rPr>
          </w:pPr>
          <w:hyperlink w:anchor="_Toc223802777" w:history="1">
            <w:r w:rsidR="00B51F6D" w:rsidRPr="00605F36">
              <w:rPr>
                <w:rStyle w:val="Hipervnculo"/>
                <w:noProof/>
              </w:rPr>
              <w:t>2.4.3 Modelos de aprendizaje profundo multimodal</w:t>
            </w:r>
            <w:r w:rsidR="00B51F6D">
              <w:rPr>
                <w:noProof/>
                <w:webHidden/>
              </w:rPr>
              <w:tab/>
            </w:r>
            <w:r w:rsidR="00B51F6D">
              <w:rPr>
                <w:noProof/>
                <w:webHidden/>
              </w:rPr>
              <w:fldChar w:fldCharType="begin"/>
            </w:r>
            <w:r w:rsidR="00B51F6D">
              <w:rPr>
                <w:noProof/>
                <w:webHidden/>
              </w:rPr>
              <w:instrText xml:space="preserve"> PAGEREF _Toc223802777 \h </w:instrText>
            </w:r>
            <w:r w:rsidR="00B51F6D">
              <w:rPr>
                <w:noProof/>
                <w:webHidden/>
              </w:rPr>
            </w:r>
            <w:r w:rsidR="00B51F6D">
              <w:rPr>
                <w:noProof/>
                <w:webHidden/>
              </w:rPr>
              <w:fldChar w:fldCharType="separate"/>
            </w:r>
            <w:r w:rsidR="00E840D2">
              <w:rPr>
                <w:noProof/>
                <w:webHidden/>
              </w:rPr>
              <w:t>5</w:t>
            </w:r>
            <w:r w:rsidR="00B51F6D">
              <w:rPr>
                <w:noProof/>
                <w:webHidden/>
              </w:rPr>
              <w:fldChar w:fldCharType="end"/>
            </w:r>
          </w:hyperlink>
        </w:p>
        <w:p w14:paraId="637A6DA3" w14:textId="53B1F9FA"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78" w:history="1">
            <w:r w:rsidR="00B51F6D" w:rsidRPr="00605F36">
              <w:rPr>
                <w:rStyle w:val="Hipervnculo"/>
                <w:noProof/>
              </w:rPr>
              <w:t>2.5 Datos genómicos en la predicción del pronóstico oncológico</w:t>
            </w:r>
            <w:r w:rsidR="00B51F6D">
              <w:rPr>
                <w:noProof/>
                <w:webHidden/>
              </w:rPr>
              <w:tab/>
            </w:r>
            <w:r w:rsidR="00B51F6D">
              <w:rPr>
                <w:noProof/>
                <w:webHidden/>
              </w:rPr>
              <w:fldChar w:fldCharType="begin"/>
            </w:r>
            <w:r w:rsidR="00B51F6D">
              <w:rPr>
                <w:noProof/>
                <w:webHidden/>
              </w:rPr>
              <w:instrText xml:space="preserve"> PAGEREF _Toc223802778 \h </w:instrText>
            </w:r>
            <w:r w:rsidR="00B51F6D">
              <w:rPr>
                <w:noProof/>
                <w:webHidden/>
              </w:rPr>
            </w:r>
            <w:r w:rsidR="00B51F6D">
              <w:rPr>
                <w:noProof/>
                <w:webHidden/>
              </w:rPr>
              <w:fldChar w:fldCharType="separate"/>
            </w:r>
            <w:r w:rsidR="00E840D2">
              <w:rPr>
                <w:noProof/>
                <w:webHidden/>
              </w:rPr>
              <w:t>5</w:t>
            </w:r>
            <w:r w:rsidR="00B51F6D">
              <w:rPr>
                <w:noProof/>
                <w:webHidden/>
              </w:rPr>
              <w:fldChar w:fldCharType="end"/>
            </w:r>
          </w:hyperlink>
        </w:p>
        <w:p w14:paraId="6ACCF4A8" w14:textId="3121B919" w:rsidR="00B51F6D" w:rsidRDefault="00B607C2">
          <w:pPr>
            <w:pStyle w:val="TDC3"/>
            <w:tabs>
              <w:tab w:val="right" w:leader="dot" w:pos="8656"/>
            </w:tabs>
            <w:rPr>
              <w:rFonts w:eastAsiaTheme="minorEastAsia" w:cstheme="minorBidi"/>
              <w:noProof/>
              <w:sz w:val="22"/>
            </w:rPr>
          </w:pPr>
          <w:hyperlink w:anchor="_Toc223802779" w:history="1">
            <w:r w:rsidR="00B51F6D" w:rsidRPr="00605F36">
              <w:rPr>
                <w:rStyle w:val="Hipervnculo"/>
                <w:noProof/>
              </w:rPr>
              <w:t>2.5.1 El proyecto TCGA y su impacto en la investigación</w:t>
            </w:r>
            <w:r w:rsidR="00B51F6D">
              <w:rPr>
                <w:noProof/>
                <w:webHidden/>
              </w:rPr>
              <w:tab/>
            </w:r>
            <w:r w:rsidR="00B51F6D">
              <w:rPr>
                <w:noProof/>
                <w:webHidden/>
              </w:rPr>
              <w:fldChar w:fldCharType="begin"/>
            </w:r>
            <w:r w:rsidR="00B51F6D">
              <w:rPr>
                <w:noProof/>
                <w:webHidden/>
              </w:rPr>
              <w:instrText xml:space="preserve"> PAGEREF _Toc223802779 \h </w:instrText>
            </w:r>
            <w:r w:rsidR="00B51F6D">
              <w:rPr>
                <w:noProof/>
                <w:webHidden/>
              </w:rPr>
            </w:r>
            <w:r w:rsidR="00B51F6D">
              <w:rPr>
                <w:noProof/>
                <w:webHidden/>
              </w:rPr>
              <w:fldChar w:fldCharType="separate"/>
            </w:r>
            <w:r w:rsidR="00E840D2">
              <w:rPr>
                <w:noProof/>
                <w:webHidden/>
              </w:rPr>
              <w:t>5</w:t>
            </w:r>
            <w:r w:rsidR="00B51F6D">
              <w:rPr>
                <w:noProof/>
                <w:webHidden/>
              </w:rPr>
              <w:fldChar w:fldCharType="end"/>
            </w:r>
          </w:hyperlink>
        </w:p>
        <w:p w14:paraId="53D2C731" w14:textId="682465D8" w:rsidR="00B51F6D" w:rsidRDefault="00B607C2">
          <w:pPr>
            <w:pStyle w:val="TDC3"/>
            <w:tabs>
              <w:tab w:val="right" w:leader="dot" w:pos="8656"/>
            </w:tabs>
            <w:rPr>
              <w:rFonts w:eastAsiaTheme="minorEastAsia" w:cstheme="minorBidi"/>
              <w:noProof/>
              <w:sz w:val="22"/>
            </w:rPr>
          </w:pPr>
          <w:hyperlink w:anchor="_Toc223802780" w:history="1">
            <w:r w:rsidR="00B51F6D" w:rsidRPr="00605F36">
              <w:rPr>
                <w:rStyle w:val="Hipervnculo"/>
                <w:noProof/>
              </w:rPr>
              <w:t>2.5.2 El dataset METABRIC</w:t>
            </w:r>
            <w:r w:rsidR="00B51F6D">
              <w:rPr>
                <w:noProof/>
                <w:webHidden/>
              </w:rPr>
              <w:tab/>
            </w:r>
            <w:r w:rsidR="00B51F6D">
              <w:rPr>
                <w:noProof/>
                <w:webHidden/>
              </w:rPr>
              <w:fldChar w:fldCharType="begin"/>
            </w:r>
            <w:r w:rsidR="00B51F6D">
              <w:rPr>
                <w:noProof/>
                <w:webHidden/>
              </w:rPr>
              <w:instrText xml:space="preserve"> PAGEREF _Toc223802780 \h </w:instrText>
            </w:r>
            <w:r w:rsidR="00B51F6D">
              <w:rPr>
                <w:noProof/>
                <w:webHidden/>
              </w:rPr>
            </w:r>
            <w:r w:rsidR="00B51F6D">
              <w:rPr>
                <w:noProof/>
                <w:webHidden/>
              </w:rPr>
              <w:fldChar w:fldCharType="separate"/>
            </w:r>
            <w:r w:rsidR="00E840D2">
              <w:rPr>
                <w:noProof/>
                <w:webHidden/>
              </w:rPr>
              <w:t>5</w:t>
            </w:r>
            <w:r w:rsidR="00B51F6D">
              <w:rPr>
                <w:noProof/>
                <w:webHidden/>
              </w:rPr>
              <w:fldChar w:fldCharType="end"/>
            </w:r>
          </w:hyperlink>
        </w:p>
        <w:p w14:paraId="58308DDF" w14:textId="29756ABF" w:rsidR="00B51F6D" w:rsidRDefault="00B607C2">
          <w:pPr>
            <w:pStyle w:val="TDC3"/>
            <w:tabs>
              <w:tab w:val="right" w:leader="dot" w:pos="8656"/>
            </w:tabs>
            <w:rPr>
              <w:rFonts w:eastAsiaTheme="minorEastAsia" w:cstheme="minorBidi"/>
              <w:noProof/>
              <w:sz w:val="22"/>
            </w:rPr>
          </w:pPr>
          <w:hyperlink w:anchor="_Toc223802781" w:history="1">
            <w:r w:rsidR="00B51F6D" w:rsidRPr="00605F36">
              <w:rPr>
                <w:rStyle w:val="Hipervnculo"/>
                <w:noProof/>
              </w:rPr>
              <w:t>2.5.3 Tipos de datos genómicos y su contribución pronóstica</w:t>
            </w:r>
            <w:r w:rsidR="00B51F6D">
              <w:rPr>
                <w:noProof/>
                <w:webHidden/>
              </w:rPr>
              <w:tab/>
            </w:r>
            <w:r w:rsidR="00B51F6D">
              <w:rPr>
                <w:noProof/>
                <w:webHidden/>
              </w:rPr>
              <w:fldChar w:fldCharType="begin"/>
            </w:r>
            <w:r w:rsidR="00B51F6D">
              <w:rPr>
                <w:noProof/>
                <w:webHidden/>
              </w:rPr>
              <w:instrText xml:space="preserve"> PAGEREF _Toc223802781 \h </w:instrText>
            </w:r>
            <w:r w:rsidR="00B51F6D">
              <w:rPr>
                <w:noProof/>
                <w:webHidden/>
              </w:rPr>
            </w:r>
            <w:r w:rsidR="00B51F6D">
              <w:rPr>
                <w:noProof/>
                <w:webHidden/>
              </w:rPr>
              <w:fldChar w:fldCharType="separate"/>
            </w:r>
            <w:r w:rsidR="00E840D2">
              <w:rPr>
                <w:noProof/>
                <w:webHidden/>
              </w:rPr>
              <w:t>6</w:t>
            </w:r>
            <w:r w:rsidR="00B51F6D">
              <w:rPr>
                <w:noProof/>
                <w:webHidden/>
              </w:rPr>
              <w:fldChar w:fldCharType="end"/>
            </w:r>
          </w:hyperlink>
        </w:p>
        <w:p w14:paraId="59BF9381" w14:textId="7A4C2D7C"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82" w:history="1">
            <w:r w:rsidR="00B51F6D" w:rsidRPr="00605F36">
              <w:rPr>
                <w:rStyle w:val="Hipervnculo"/>
                <w:noProof/>
              </w:rPr>
              <w:t>2.6 Estado del arte en cáncer de mama</w:t>
            </w:r>
            <w:r w:rsidR="00B51F6D">
              <w:rPr>
                <w:noProof/>
                <w:webHidden/>
              </w:rPr>
              <w:tab/>
            </w:r>
            <w:r w:rsidR="00B51F6D">
              <w:rPr>
                <w:noProof/>
                <w:webHidden/>
              </w:rPr>
              <w:fldChar w:fldCharType="begin"/>
            </w:r>
            <w:r w:rsidR="00B51F6D">
              <w:rPr>
                <w:noProof/>
                <w:webHidden/>
              </w:rPr>
              <w:instrText xml:space="preserve"> PAGEREF _Toc223802782 \h </w:instrText>
            </w:r>
            <w:r w:rsidR="00B51F6D">
              <w:rPr>
                <w:noProof/>
                <w:webHidden/>
              </w:rPr>
            </w:r>
            <w:r w:rsidR="00B51F6D">
              <w:rPr>
                <w:noProof/>
                <w:webHidden/>
              </w:rPr>
              <w:fldChar w:fldCharType="separate"/>
            </w:r>
            <w:r w:rsidR="00E840D2">
              <w:rPr>
                <w:noProof/>
                <w:webHidden/>
              </w:rPr>
              <w:t>6</w:t>
            </w:r>
            <w:r w:rsidR="00B51F6D">
              <w:rPr>
                <w:noProof/>
                <w:webHidden/>
              </w:rPr>
              <w:fldChar w:fldCharType="end"/>
            </w:r>
          </w:hyperlink>
        </w:p>
        <w:p w14:paraId="258AA07E" w14:textId="0320B851" w:rsidR="00B51F6D" w:rsidRDefault="00B607C2">
          <w:pPr>
            <w:pStyle w:val="TDC3"/>
            <w:tabs>
              <w:tab w:val="right" w:leader="dot" w:pos="8656"/>
            </w:tabs>
            <w:rPr>
              <w:rFonts w:eastAsiaTheme="minorEastAsia" w:cstheme="minorBidi"/>
              <w:noProof/>
              <w:sz w:val="22"/>
            </w:rPr>
          </w:pPr>
          <w:hyperlink w:anchor="_Toc223802783" w:history="1">
            <w:r w:rsidR="00B51F6D" w:rsidRPr="00605F36">
              <w:rPr>
                <w:rStyle w:val="Hipervnculo"/>
                <w:noProof/>
              </w:rPr>
              <w:t>2.6.1 Clasificación molecular y pronóstico</w:t>
            </w:r>
            <w:r w:rsidR="00B51F6D">
              <w:rPr>
                <w:noProof/>
                <w:webHidden/>
              </w:rPr>
              <w:tab/>
            </w:r>
            <w:r w:rsidR="00B51F6D">
              <w:rPr>
                <w:noProof/>
                <w:webHidden/>
              </w:rPr>
              <w:fldChar w:fldCharType="begin"/>
            </w:r>
            <w:r w:rsidR="00B51F6D">
              <w:rPr>
                <w:noProof/>
                <w:webHidden/>
              </w:rPr>
              <w:instrText xml:space="preserve"> PAGEREF _Toc223802783 \h </w:instrText>
            </w:r>
            <w:r w:rsidR="00B51F6D">
              <w:rPr>
                <w:noProof/>
                <w:webHidden/>
              </w:rPr>
            </w:r>
            <w:r w:rsidR="00B51F6D">
              <w:rPr>
                <w:noProof/>
                <w:webHidden/>
              </w:rPr>
              <w:fldChar w:fldCharType="separate"/>
            </w:r>
            <w:r w:rsidR="00E840D2">
              <w:rPr>
                <w:noProof/>
                <w:webHidden/>
              </w:rPr>
              <w:t>6</w:t>
            </w:r>
            <w:r w:rsidR="00B51F6D">
              <w:rPr>
                <w:noProof/>
                <w:webHidden/>
              </w:rPr>
              <w:fldChar w:fldCharType="end"/>
            </w:r>
          </w:hyperlink>
        </w:p>
        <w:p w14:paraId="523BD970" w14:textId="4538998E" w:rsidR="00B51F6D" w:rsidRDefault="00B607C2">
          <w:pPr>
            <w:pStyle w:val="TDC3"/>
            <w:tabs>
              <w:tab w:val="right" w:leader="dot" w:pos="8656"/>
            </w:tabs>
            <w:rPr>
              <w:rFonts w:eastAsiaTheme="minorEastAsia" w:cstheme="minorBidi"/>
              <w:noProof/>
              <w:sz w:val="22"/>
            </w:rPr>
          </w:pPr>
          <w:hyperlink w:anchor="_Toc223802784" w:history="1">
            <w:r w:rsidR="00B51F6D" w:rsidRPr="00605F36">
              <w:rPr>
                <w:rStyle w:val="Hipervnculo"/>
                <w:noProof/>
              </w:rPr>
              <w:t>2.6.2 Modelos de supervivencia basados en TCGA-BRCA y METABRIC</w:t>
            </w:r>
            <w:r w:rsidR="00B51F6D">
              <w:rPr>
                <w:noProof/>
                <w:webHidden/>
              </w:rPr>
              <w:tab/>
            </w:r>
            <w:r w:rsidR="00B51F6D">
              <w:rPr>
                <w:noProof/>
                <w:webHidden/>
              </w:rPr>
              <w:fldChar w:fldCharType="begin"/>
            </w:r>
            <w:r w:rsidR="00B51F6D">
              <w:rPr>
                <w:noProof/>
                <w:webHidden/>
              </w:rPr>
              <w:instrText xml:space="preserve"> PAGEREF _Toc223802784 \h </w:instrText>
            </w:r>
            <w:r w:rsidR="00B51F6D">
              <w:rPr>
                <w:noProof/>
                <w:webHidden/>
              </w:rPr>
            </w:r>
            <w:r w:rsidR="00B51F6D">
              <w:rPr>
                <w:noProof/>
                <w:webHidden/>
              </w:rPr>
              <w:fldChar w:fldCharType="separate"/>
            </w:r>
            <w:r w:rsidR="00E840D2">
              <w:rPr>
                <w:noProof/>
                <w:webHidden/>
              </w:rPr>
              <w:t>7</w:t>
            </w:r>
            <w:r w:rsidR="00B51F6D">
              <w:rPr>
                <w:noProof/>
                <w:webHidden/>
              </w:rPr>
              <w:fldChar w:fldCharType="end"/>
            </w:r>
          </w:hyperlink>
        </w:p>
        <w:p w14:paraId="5D118B75" w14:textId="41781C35" w:rsidR="00B51F6D" w:rsidRDefault="00B607C2">
          <w:pPr>
            <w:pStyle w:val="TDC3"/>
            <w:tabs>
              <w:tab w:val="right" w:leader="dot" w:pos="8656"/>
            </w:tabs>
            <w:rPr>
              <w:rFonts w:eastAsiaTheme="minorEastAsia" w:cstheme="minorBidi"/>
              <w:noProof/>
              <w:sz w:val="22"/>
            </w:rPr>
          </w:pPr>
          <w:hyperlink w:anchor="_Toc223802785" w:history="1">
            <w:r w:rsidR="00B51F6D" w:rsidRPr="00605F36">
              <w:rPr>
                <w:rStyle w:val="Hipervnculo"/>
                <w:noProof/>
              </w:rPr>
              <w:t>2.6.3 Tabla resumen de estudios en cáncer de mama</w:t>
            </w:r>
            <w:r w:rsidR="00B51F6D">
              <w:rPr>
                <w:noProof/>
                <w:webHidden/>
              </w:rPr>
              <w:tab/>
            </w:r>
            <w:r w:rsidR="00B51F6D">
              <w:rPr>
                <w:noProof/>
                <w:webHidden/>
              </w:rPr>
              <w:fldChar w:fldCharType="begin"/>
            </w:r>
            <w:r w:rsidR="00B51F6D">
              <w:rPr>
                <w:noProof/>
                <w:webHidden/>
              </w:rPr>
              <w:instrText xml:space="preserve"> PAGEREF _Toc223802785 \h </w:instrText>
            </w:r>
            <w:r w:rsidR="00B51F6D">
              <w:rPr>
                <w:noProof/>
                <w:webHidden/>
              </w:rPr>
            </w:r>
            <w:r w:rsidR="00B51F6D">
              <w:rPr>
                <w:noProof/>
                <w:webHidden/>
              </w:rPr>
              <w:fldChar w:fldCharType="separate"/>
            </w:r>
            <w:r w:rsidR="00E840D2">
              <w:rPr>
                <w:noProof/>
                <w:webHidden/>
              </w:rPr>
              <w:t>7</w:t>
            </w:r>
            <w:r w:rsidR="00B51F6D">
              <w:rPr>
                <w:noProof/>
                <w:webHidden/>
              </w:rPr>
              <w:fldChar w:fldCharType="end"/>
            </w:r>
          </w:hyperlink>
        </w:p>
        <w:p w14:paraId="051FE551" w14:textId="409A6F6D"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86" w:history="1">
            <w:r w:rsidR="00B51F6D" w:rsidRPr="00605F36">
              <w:rPr>
                <w:rStyle w:val="Hipervnculo"/>
                <w:noProof/>
              </w:rPr>
              <w:t>2.7 Estado del arte en cáncer de pulmón no microcítico (NSCLC)</w:t>
            </w:r>
            <w:r w:rsidR="00B51F6D">
              <w:rPr>
                <w:noProof/>
                <w:webHidden/>
              </w:rPr>
              <w:tab/>
            </w:r>
            <w:r w:rsidR="00B51F6D">
              <w:rPr>
                <w:noProof/>
                <w:webHidden/>
              </w:rPr>
              <w:fldChar w:fldCharType="begin"/>
            </w:r>
            <w:r w:rsidR="00B51F6D">
              <w:rPr>
                <w:noProof/>
                <w:webHidden/>
              </w:rPr>
              <w:instrText xml:space="preserve"> PAGEREF _Toc223802786 \h </w:instrText>
            </w:r>
            <w:r w:rsidR="00B51F6D">
              <w:rPr>
                <w:noProof/>
                <w:webHidden/>
              </w:rPr>
            </w:r>
            <w:r w:rsidR="00B51F6D">
              <w:rPr>
                <w:noProof/>
                <w:webHidden/>
              </w:rPr>
              <w:fldChar w:fldCharType="separate"/>
            </w:r>
            <w:r w:rsidR="00E840D2">
              <w:rPr>
                <w:noProof/>
                <w:webHidden/>
              </w:rPr>
              <w:t>8</w:t>
            </w:r>
            <w:r w:rsidR="00B51F6D">
              <w:rPr>
                <w:noProof/>
                <w:webHidden/>
              </w:rPr>
              <w:fldChar w:fldCharType="end"/>
            </w:r>
          </w:hyperlink>
        </w:p>
        <w:p w14:paraId="33AD17CA" w14:textId="6A38598F" w:rsidR="00B51F6D" w:rsidRDefault="00B607C2">
          <w:pPr>
            <w:pStyle w:val="TDC3"/>
            <w:tabs>
              <w:tab w:val="right" w:leader="dot" w:pos="8656"/>
            </w:tabs>
            <w:rPr>
              <w:rFonts w:eastAsiaTheme="minorEastAsia" w:cstheme="minorBidi"/>
              <w:noProof/>
              <w:sz w:val="22"/>
            </w:rPr>
          </w:pPr>
          <w:hyperlink w:anchor="_Toc223802787" w:history="1">
            <w:r w:rsidR="00B51F6D" w:rsidRPr="00605F36">
              <w:rPr>
                <w:rStyle w:val="Hipervnculo"/>
                <w:noProof/>
              </w:rPr>
              <w:t>2.7.1 Heterogeneidad molecular y relevancia pronóstica</w:t>
            </w:r>
            <w:r w:rsidR="00B51F6D">
              <w:rPr>
                <w:noProof/>
                <w:webHidden/>
              </w:rPr>
              <w:tab/>
            </w:r>
            <w:r w:rsidR="00B51F6D">
              <w:rPr>
                <w:noProof/>
                <w:webHidden/>
              </w:rPr>
              <w:fldChar w:fldCharType="begin"/>
            </w:r>
            <w:r w:rsidR="00B51F6D">
              <w:rPr>
                <w:noProof/>
                <w:webHidden/>
              </w:rPr>
              <w:instrText xml:space="preserve"> PAGEREF _Toc223802787 \h </w:instrText>
            </w:r>
            <w:r w:rsidR="00B51F6D">
              <w:rPr>
                <w:noProof/>
                <w:webHidden/>
              </w:rPr>
            </w:r>
            <w:r w:rsidR="00B51F6D">
              <w:rPr>
                <w:noProof/>
                <w:webHidden/>
              </w:rPr>
              <w:fldChar w:fldCharType="separate"/>
            </w:r>
            <w:r w:rsidR="00E840D2">
              <w:rPr>
                <w:noProof/>
                <w:webHidden/>
              </w:rPr>
              <w:t>8</w:t>
            </w:r>
            <w:r w:rsidR="00B51F6D">
              <w:rPr>
                <w:noProof/>
                <w:webHidden/>
              </w:rPr>
              <w:fldChar w:fldCharType="end"/>
            </w:r>
          </w:hyperlink>
        </w:p>
        <w:p w14:paraId="12765F2D" w14:textId="115DBEFF" w:rsidR="00B51F6D" w:rsidRDefault="00B607C2">
          <w:pPr>
            <w:pStyle w:val="TDC3"/>
            <w:tabs>
              <w:tab w:val="right" w:leader="dot" w:pos="8656"/>
            </w:tabs>
            <w:rPr>
              <w:rFonts w:eastAsiaTheme="minorEastAsia" w:cstheme="minorBidi"/>
              <w:noProof/>
              <w:sz w:val="22"/>
            </w:rPr>
          </w:pPr>
          <w:hyperlink w:anchor="_Toc223802788" w:history="1">
            <w:r w:rsidR="00B51F6D" w:rsidRPr="00605F36">
              <w:rPr>
                <w:rStyle w:val="Hipervnculo"/>
                <w:noProof/>
              </w:rPr>
              <w:t>2.7.2 Modelos de supervivencia en NSCLC basados en datos genómicos</w:t>
            </w:r>
            <w:r w:rsidR="00B51F6D">
              <w:rPr>
                <w:noProof/>
                <w:webHidden/>
              </w:rPr>
              <w:tab/>
            </w:r>
            <w:r w:rsidR="00B51F6D">
              <w:rPr>
                <w:noProof/>
                <w:webHidden/>
              </w:rPr>
              <w:fldChar w:fldCharType="begin"/>
            </w:r>
            <w:r w:rsidR="00B51F6D">
              <w:rPr>
                <w:noProof/>
                <w:webHidden/>
              </w:rPr>
              <w:instrText xml:space="preserve"> PAGEREF _Toc223802788 \h </w:instrText>
            </w:r>
            <w:r w:rsidR="00B51F6D">
              <w:rPr>
                <w:noProof/>
                <w:webHidden/>
              </w:rPr>
            </w:r>
            <w:r w:rsidR="00B51F6D">
              <w:rPr>
                <w:noProof/>
                <w:webHidden/>
              </w:rPr>
              <w:fldChar w:fldCharType="separate"/>
            </w:r>
            <w:r w:rsidR="00E840D2">
              <w:rPr>
                <w:noProof/>
                <w:webHidden/>
              </w:rPr>
              <w:t>8</w:t>
            </w:r>
            <w:r w:rsidR="00B51F6D">
              <w:rPr>
                <w:noProof/>
                <w:webHidden/>
              </w:rPr>
              <w:fldChar w:fldCharType="end"/>
            </w:r>
          </w:hyperlink>
        </w:p>
        <w:p w14:paraId="622DFD10" w14:textId="17DAFEF6" w:rsidR="00B51F6D" w:rsidRDefault="00B607C2">
          <w:pPr>
            <w:pStyle w:val="TDC3"/>
            <w:tabs>
              <w:tab w:val="right" w:leader="dot" w:pos="8656"/>
            </w:tabs>
            <w:rPr>
              <w:rFonts w:eastAsiaTheme="minorEastAsia" w:cstheme="minorBidi"/>
              <w:noProof/>
              <w:sz w:val="22"/>
            </w:rPr>
          </w:pPr>
          <w:hyperlink w:anchor="_Toc223802789" w:history="1">
            <w:r w:rsidR="00B51F6D" w:rsidRPr="00605F36">
              <w:rPr>
                <w:rStyle w:val="Hipervnculo"/>
                <w:noProof/>
              </w:rPr>
              <w:t>2.7.3 Tabla resumen de estudios en cáncer de pulmón</w:t>
            </w:r>
            <w:r w:rsidR="00B51F6D">
              <w:rPr>
                <w:noProof/>
                <w:webHidden/>
              </w:rPr>
              <w:tab/>
            </w:r>
            <w:r w:rsidR="00B51F6D">
              <w:rPr>
                <w:noProof/>
                <w:webHidden/>
              </w:rPr>
              <w:fldChar w:fldCharType="begin"/>
            </w:r>
            <w:r w:rsidR="00B51F6D">
              <w:rPr>
                <w:noProof/>
                <w:webHidden/>
              </w:rPr>
              <w:instrText xml:space="preserve"> PAGEREF _Toc223802789 \h </w:instrText>
            </w:r>
            <w:r w:rsidR="00B51F6D">
              <w:rPr>
                <w:noProof/>
                <w:webHidden/>
              </w:rPr>
            </w:r>
            <w:r w:rsidR="00B51F6D">
              <w:rPr>
                <w:noProof/>
                <w:webHidden/>
              </w:rPr>
              <w:fldChar w:fldCharType="separate"/>
            </w:r>
            <w:r w:rsidR="00E840D2">
              <w:rPr>
                <w:noProof/>
                <w:webHidden/>
              </w:rPr>
              <w:t>9</w:t>
            </w:r>
            <w:r w:rsidR="00B51F6D">
              <w:rPr>
                <w:noProof/>
                <w:webHidden/>
              </w:rPr>
              <w:fldChar w:fldCharType="end"/>
            </w:r>
          </w:hyperlink>
        </w:p>
        <w:p w14:paraId="1952461A" w14:textId="336F22FD"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90" w:history="1">
            <w:r w:rsidR="00B51F6D" w:rsidRPr="00605F36">
              <w:rPr>
                <w:rStyle w:val="Hipervnculo"/>
                <w:noProof/>
              </w:rPr>
              <w:t>2.8 Validación cruzada entre datasets y generalización de modelos</w:t>
            </w:r>
            <w:r w:rsidR="00B51F6D">
              <w:rPr>
                <w:noProof/>
                <w:webHidden/>
              </w:rPr>
              <w:tab/>
            </w:r>
            <w:r w:rsidR="00B51F6D">
              <w:rPr>
                <w:noProof/>
                <w:webHidden/>
              </w:rPr>
              <w:fldChar w:fldCharType="begin"/>
            </w:r>
            <w:r w:rsidR="00B51F6D">
              <w:rPr>
                <w:noProof/>
                <w:webHidden/>
              </w:rPr>
              <w:instrText xml:space="preserve"> PAGEREF _Toc223802790 \h </w:instrText>
            </w:r>
            <w:r w:rsidR="00B51F6D">
              <w:rPr>
                <w:noProof/>
                <w:webHidden/>
              </w:rPr>
            </w:r>
            <w:r w:rsidR="00B51F6D">
              <w:rPr>
                <w:noProof/>
                <w:webHidden/>
              </w:rPr>
              <w:fldChar w:fldCharType="separate"/>
            </w:r>
            <w:r w:rsidR="00E840D2">
              <w:rPr>
                <w:noProof/>
                <w:webHidden/>
              </w:rPr>
              <w:t>9</w:t>
            </w:r>
            <w:r w:rsidR="00B51F6D">
              <w:rPr>
                <w:noProof/>
                <w:webHidden/>
              </w:rPr>
              <w:fldChar w:fldCharType="end"/>
            </w:r>
          </w:hyperlink>
        </w:p>
        <w:p w14:paraId="04580D85" w14:textId="2621EC27" w:rsidR="00B51F6D" w:rsidRDefault="00B607C2">
          <w:pPr>
            <w:pStyle w:val="TDC3"/>
            <w:tabs>
              <w:tab w:val="right" w:leader="dot" w:pos="8656"/>
            </w:tabs>
            <w:rPr>
              <w:rFonts w:eastAsiaTheme="minorEastAsia" w:cstheme="minorBidi"/>
              <w:noProof/>
              <w:sz w:val="22"/>
            </w:rPr>
          </w:pPr>
          <w:hyperlink w:anchor="_Toc223802791" w:history="1">
            <w:r w:rsidR="00B51F6D" w:rsidRPr="00605F36">
              <w:rPr>
                <w:rStyle w:val="Hipervnculo"/>
                <w:noProof/>
              </w:rPr>
              <w:t>2.8.1 Importancia y estado actual</w:t>
            </w:r>
            <w:r w:rsidR="00B51F6D">
              <w:rPr>
                <w:noProof/>
                <w:webHidden/>
              </w:rPr>
              <w:tab/>
            </w:r>
            <w:r w:rsidR="00B51F6D">
              <w:rPr>
                <w:noProof/>
                <w:webHidden/>
              </w:rPr>
              <w:fldChar w:fldCharType="begin"/>
            </w:r>
            <w:r w:rsidR="00B51F6D">
              <w:rPr>
                <w:noProof/>
                <w:webHidden/>
              </w:rPr>
              <w:instrText xml:space="preserve"> PAGEREF _Toc223802791 \h </w:instrText>
            </w:r>
            <w:r w:rsidR="00B51F6D">
              <w:rPr>
                <w:noProof/>
                <w:webHidden/>
              </w:rPr>
            </w:r>
            <w:r w:rsidR="00B51F6D">
              <w:rPr>
                <w:noProof/>
                <w:webHidden/>
              </w:rPr>
              <w:fldChar w:fldCharType="separate"/>
            </w:r>
            <w:r w:rsidR="00E840D2">
              <w:rPr>
                <w:noProof/>
                <w:webHidden/>
              </w:rPr>
              <w:t>9</w:t>
            </w:r>
            <w:r w:rsidR="00B51F6D">
              <w:rPr>
                <w:noProof/>
                <w:webHidden/>
              </w:rPr>
              <w:fldChar w:fldCharType="end"/>
            </w:r>
          </w:hyperlink>
        </w:p>
        <w:p w14:paraId="410B5207" w14:textId="725D631D" w:rsidR="00B51F6D" w:rsidRDefault="00B607C2">
          <w:pPr>
            <w:pStyle w:val="TDC3"/>
            <w:tabs>
              <w:tab w:val="right" w:leader="dot" w:pos="8656"/>
            </w:tabs>
            <w:rPr>
              <w:rFonts w:eastAsiaTheme="minorEastAsia" w:cstheme="minorBidi"/>
              <w:noProof/>
              <w:sz w:val="22"/>
            </w:rPr>
          </w:pPr>
          <w:hyperlink w:anchor="_Toc223802792" w:history="1">
            <w:r w:rsidR="00B51F6D" w:rsidRPr="00605F36">
              <w:rPr>
                <w:rStyle w:val="Hipervnculo"/>
                <w:noProof/>
              </w:rPr>
              <w:t>2.8.2 Estudios de validación TCGA – METABRIC</w:t>
            </w:r>
            <w:r w:rsidR="00B51F6D">
              <w:rPr>
                <w:noProof/>
                <w:webHidden/>
              </w:rPr>
              <w:tab/>
            </w:r>
            <w:r w:rsidR="00B51F6D">
              <w:rPr>
                <w:noProof/>
                <w:webHidden/>
              </w:rPr>
              <w:fldChar w:fldCharType="begin"/>
            </w:r>
            <w:r w:rsidR="00B51F6D">
              <w:rPr>
                <w:noProof/>
                <w:webHidden/>
              </w:rPr>
              <w:instrText xml:space="preserve"> PAGEREF _Toc223802792 \h </w:instrText>
            </w:r>
            <w:r w:rsidR="00B51F6D">
              <w:rPr>
                <w:noProof/>
                <w:webHidden/>
              </w:rPr>
            </w:r>
            <w:r w:rsidR="00B51F6D">
              <w:rPr>
                <w:noProof/>
                <w:webHidden/>
              </w:rPr>
              <w:fldChar w:fldCharType="separate"/>
            </w:r>
            <w:r w:rsidR="00E840D2">
              <w:rPr>
                <w:noProof/>
                <w:webHidden/>
              </w:rPr>
              <w:t>10</w:t>
            </w:r>
            <w:r w:rsidR="00B51F6D">
              <w:rPr>
                <w:noProof/>
                <w:webHidden/>
              </w:rPr>
              <w:fldChar w:fldCharType="end"/>
            </w:r>
          </w:hyperlink>
        </w:p>
        <w:p w14:paraId="6A569E8C" w14:textId="3B1A5316" w:rsidR="00B51F6D" w:rsidRDefault="00B607C2">
          <w:pPr>
            <w:pStyle w:val="TDC3"/>
            <w:tabs>
              <w:tab w:val="right" w:leader="dot" w:pos="8656"/>
            </w:tabs>
            <w:rPr>
              <w:rFonts w:eastAsiaTheme="minorEastAsia" w:cstheme="minorBidi"/>
              <w:noProof/>
              <w:sz w:val="22"/>
            </w:rPr>
          </w:pPr>
          <w:hyperlink w:anchor="_Toc223802793" w:history="1">
            <w:r w:rsidR="00B51F6D" w:rsidRPr="00605F36">
              <w:rPr>
                <w:rStyle w:val="Hipervnculo"/>
                <w:noProof/>
              </w:rPr>
              <w:t>2.8.3 Estrategias de armonización entre datasets</w:t>
            </w:r>
            <w:r w:rsidR="00B51F6D">
              <w:rPr>
                <w:noProof/>
                <w:webHidden/>
              </w:rPr>
              <w:tab/>
            </w:r>
            <w:r w:rsidR="00B51F6D">
              <w:rPr>
                <w:noProof/>
                <w:webHidden/>
              </w:rPr>
              <w:fldChar w:fldCharType="begin"/>
            </w:r>
            <w:r w:rsidR="00B51F6D">
              <w:rPr>
                <w:noProof/>
                <w:webHidden/>
              </w:rPr>
              <w:instrText xml:space="preserve"> PAGEREF _Toc223802793 \h </w:instrText>
            </w:r>
            <w:r w:rsidR="00B51F6D">
              <w:rPr>
                <w:noProof/>
                <w:webHidden/>
              </w:rPr>
            </w:r>
            <w:r w:rsidR="00B51F6D">
              <w:rPr>
                <w:noProof/>
                <w:webHidden/>
              </w:rPr>
              <w:fldChar w:fldCharType="separate"/>
            </w:r>
            <w:r w:rsidR="00E840D2">
              <w:rPr>
                <w:noProof/>
                <w:webHidden/>
              </w:rPr>
              <w:t>10</w:t>
            </w:r>
            <w:r w:rsidR="00B51F6D">
              <w:rPr>
                <w:noProof/>
                <w:webHidden/>
              </w:rPr>
              <w:fldChar w:fldCharType="end"/>
            </w:r>
          </w:hyperlink>
        </w:p>
        <w:p w14:paraId="180D500E" w14:textId="255C8534"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94" w:history="1">
            <w:r w:rsidR="00B51F6D" w:rsidRPr="00605F36">
              <w:rPr>
                <w:rStyle w:val="Hipervnculo"/>
                <w:noProof/>
              </w:rPr>
              <w:t>2.9 Métricas de evaluación en modelos de supervivencia</w:t>
            </w:r>
            <w:r w:rsidR="00B51F6D">
              <w:rPr>
                <w:noProof/>
                <w:webHidden/>
              </w:rPr>
              <w:tab/>
            </w:r>
            <w:r w:rsidR="00B51F6D">
              <w:rPr>
                <w:noProof/>
                <w:webHidden/>
              </w:rPr>
              <w:fldChar w:fldCharType="begin"/>
            </w:r>
            <w:r w:rsidR="00B51F6D">
              <w:rPr>
                <w:noProof/>
                <w:webHidden/>
              </w:rPr>
              <w:instrText xml:space="preserve"> PAGEREF _Toc223802794 \h </w:instrText>
            </w:r>
            <w:r w:rsidR="00B51F6D">
              <w:rPr>
                <w:noProof/>
                <w:webHidden/>
              </w:rPr>
            </w:r>
            <w:r w:rsidR="00B51F6D">
              <w:rPr>
                <w:noProof/>
                <w:webHidden/>
              </w:rPr>
              <w:fldChar w:fldCharType="separate"/>
            </w:r>
            <w:r w:rsidR="00E840D2">
              <w:rPr>
                <w:noProof/>
                <w:webHidden/>
              </w:rPr>
              <w:t>11</w:t>
            </w:r>
            <w:r w:rsidR="00B51F6D">
              <w:rPr>
                <w:noProof/>
                <w:webHidden/>
              </w:rPr>
              <w:fldChar w:fldCharType="end"/>
            </w:r>
          </w:hyperlink>
        </w:p>
        <w:p w14:paraId="51C4F1D7" w14:textId="6D502B1E" w:rsidR="00B51F6D" w:rsidRDefault="00B607C2">
          <w:pPr>
            <w:pStyle w:val="TDC3"/>
            <w:tabs>
              <w:tab w:val="right" w:leader="dot" w:pos="8656"/>
            </w:tabs>
            <w:rPr>
              <w:rFonts w:eastAsiaTheme="minorEastAsia" w:cstheme="minorBidi"/>
              <w:noProof/>
              <w:sz w:val="22"/>
            </w:rPr>
          </w:pPr>
          <w:hyperlink w:anchor="_Toc223802795" w:history="1">
            <w:r w:rsidR="00B51F6D" w:rsidRPr="00605F36">
              <w:rPr>
                <w:rStyle w:val="Hipervnculo"/>
                <w:noProof/>
              </w:rPr>
              <w:t>2.9.1 El índice de concordancia (C-index)</w:t>
            </w:r>
            <w:r w:rsidR="00B51F6D">
              <w:rPr>
                <w:noProof/>
                <w:webHidden/>
              </w:rPr>
              <w:tab/>
            </w:r>
            <w:r w:rsidR="00B51F6D">
              <w:rPr>
                <w:noProof/>
                <w:webHidden/>
              </w:rPr>
              <w:fldChar w:fldCharType="begin"/>
            </w:r>
            <w:r w:rsidR="00B51F6D">
              <w:rPr>
                <w:noProof/>
                <w:webHidden/>
              </w:rPr>
              <w:instrText xml:space="preserve"> PAGEREF _Toc223802795 \h </w:instrText>
            </w:r>
            <w:r w:rsidR="00B51F6D">
              <w:rPr>
                <w:noProof/>
                <w:webHidden/>
              </w:rPr>
            </w:r>
            <w:r w:rsidR="00B51F6D">
              <w:rPr>
                <w:noProof/>
                <w:webHidden/>
              </w:rPr>
              <w:fldChar w:fldCharType="separate"/>
            </w:r>
            <w:r w:rsidR="00E840D2">
              <w:rPr>
                <w:noProof/>
                <w:webHidden/>
              </w:rPr>
              <w:t>11</w:t>
            </w:r>
            <w:r w:rsidR="00B51F6D">
              <w:rPr>
                <w:noProof/>
                <w:webHidden/>
              </w:rPr>
              <w:fldChar w:fldCharType="end"/>
            </w:r>
          </w:hyperlink>
        </w:p>
        <w:p w14:paraId="0B7EAD42" w14:textId="48764136" w:rsidR="00B51F6D" w:rsidRDefault="00B607C2">
          <w:pPr>
            <w:pStyle w:val="TDC3"/>
            <w:tabs>
              <w:tab w:val="right" w:leader="dot" w:pos="8656"/>
            </w:tabs>
            <w:rPr>
              <w:rFonts w:eastAsiaTheme="minorEastAsia" w:cstheme="minorBidi"/>
              <w:noProof/>
              <w:sz w:val="22"/>
            </w:rPr>
          </w:pPr>
          <w:hyperlink w:anchor="_Toc223802796" w:history="1">
            <w:r w:rsidR="00B51F6D" w:rsidRPr="00605F36">
              <w:rPr>
                <w:rStyle w:val="Hipervnculo"/>
                <w:noProof/>
              </w:rPr>
              <w:t>2.9.2 El Brier Score integrado</w:t>
            </w:r>
            <w:r w:rsidR="00B51F6D">
              <w:rPr>
                <w:noProof/>
                <w:webHidden/>
              </w:rPr>
              <w:tab/>
            </w:r>
            <w:r w:rsidR="00B51F6D">
              <w:rPr>
                <w:noProof/>
                <w:webHidden/>
              </w:rPr>
              <w:fldChar w:fldCharType="begin"/>
            </w:r>
            <w:r w:rsidR="00B51F6D">
              <w:rPr>
                <w:noProof/>
                <w:webHidden/>
              </w:rPr>
              <w:instrText xml:space="preserve"> PAGEREF _Toc223802796 \h </w:instrText>
            </w:r>
            <w:r w:rsidR="00B51F6D">
              <w:rPr>
                <w:noProof/>
                <w:webHidden/>
              </w:rPr>
            </w:r>
            <w:r w:rsidR="00B51F6D">
              <w:rPr>
                <w:noProof/>
                <w:webHidden/>
              </w:rPr>
              <w:fldChar w:fldCharType="separate"/>
            </w:r>
            <w:r w:rsidR="00E840D2">
              <w:rPr>
                <w:noProof/>
                <w:webHidden/>
              </w:rPr>
              <w:t>11</w:t>
            </w:r>
            <w:r w:rsidR="00B51F6D">
              <w:rPr>
                <w:noProof/>
                <w:webHidden/>
              </w:rPr>
              <w:fldChar w:fldCharType="end"/>
            </w:r>
          </w:hyperlink>
        </w:p>
        <w:p w14:paraId="15C982E3" w14:textId="39154307" w:rsidR="00B51F6D" w:rsidRDefault="00B607C2">
          <w:pPr>
            <w:pStyle w:val="TDC3"/>
            <w:tabs>
              <w:tab w:val="right" w:leader="dot" w:pos="8656"/>
            </w:tabs>
            <w:rPr>
              <w:rFonts w:eastAsiaTheme="minorEastAsia" w:cstheme="minorBidi"/>
              <w:noProof/>
              <w:sz w:val="22"/>
            </w:rPr>
          </w:pPr>
          <w:hyperlink w:anchor="_Toc223802797" w:history="1">
            <w:r w:rsidR="00B51F6D" w:rsidRPr="00605F36">
              <w:rPr>
                <w:rStyle w:val="Hipervnculo"/>
                <w:noProof/>
              </w:rPr>
              <w:t>2.9.3 El test de log-rank y la estratificación de riesgo</w:t>
            </w:r>
            <w:r w:rsidR="00B51F6D">
              <w:rPr>
                <w:noProof/>
                <w:webHidden/>
              </w:rPr>
              <w:tab/>
            </w:r>
            <w:r w:rsidR="00B51F6D">
              <w:rPr>
                <w:noProof/>
                <w:webHidden/>
              </w:rPr>
              <w:fldChar w:fldCharType="begin"/>
            </w:r>
            <w:r w:rsidR="00B51F6D">
              <w:rPr>
                <w:noProof/>
                <w:webHidden/>
              </w:rPr>
              <w:instrText xml:space="preserve"> PAGEREF _Toc223802797 \h </w:instrText>
            </w:r>
            <w:r w:rsidR="00B51F6D">
              <w:rPr>
                <w:noProof/>
                <w:webHidden/>
              </w:rPr>
            </w:r>
            <w:r w:rsidR="00B51F6D">
              <w:rPr>
                <w:noProof/>
                <w:webHidden/>
              </w:rPr>
              <w:fldChar w:fldCharType="separate"/>
            </w:r>
            <w:r w:rsidR="00E840D2">
              <w:rPr>
                <w:noProof/>
                <w:webHidden/>
              </w:rPr>
              <w:t>11</w:t>
            </w:r>
            <w:r w:rsidR="00B51F6D">
              <w:rPr>
                <w:noProof/>
                <w:webHidden/>
              </w:rPr>
              <w:fldChar w:fldCharType="end"/>
            </w:r>
          </w:hyperlink>
        </w:p>
        <w:p w14:paraId="6EAF03FF" w14:textId="7B3AD440"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798" w:history="1">
            <w:r w:rsidR="00B51F6D" w:rsidRPr="00605F36">
              <w:rPr>
                <w:rStyle w:val="Hipervnculo"/>
                <w:noProof/>
              </w:rPr>
              <w:t>2.10 Síntesis comparativa y brechas de conocimiento</w:t>
            </w:r>
            <w:r w:rsidR="00B51F6D">
              <w:rPr>
                <w:noProof/>
                <w:webHidden/>
              </w:rPr>
              <w:tab/>
            </w:r>
            <w:r w:rsidR="00B51F6D">
              <w:rPr>
                <w:noProof/>
                <w:webHidden/>
              </w:rPr>
              <w:fldChar w:fldCharType="begin"/>
            </w:r>
            <w:r w:rsidR="00B51F6D">
              <w:rPr>
                <w:noProof/>
                <w:webHidden/>
              </w:rPr>
              <w:instrText xml:space="preserve"> PAGEREF _Toc223802798 \h </w:instrText>
            </w:r>
            <w:r w:rsidR="00B51F6D">
              <w:rPr>
                <w:noProof/>
                <w:webHidden/>
              </w:rPr>
            </w:r>
            <w:r w:rsidR="00B51F6D">
              <w:rPr>
                <w:noProof/>
                <w:webHidden/>
              </w:rPr>
              <w:fldChar w:fldCharType="separate"/>
            </w:r>
            <w:r w:rsidR="00E840D2">
              <w:rPr>
                <w:noProof/>
                <w:webHidden/>
              </w:rPr>
              <w:t>11</w:t>
            </w:r>
            <w:r w:rsidR="00B51F6D">
              <w:rPr>
                <w:noProof/>
                <w:webHidden/>
              </w:rPr>
              <w:fldChar w:fldCharType="end"/>
            </w:r>
          </w:hyperlink>
        </w:p>
        <w:p w14:paraId="4B393D0E" w14:textId="558C8C47" w:rsidR="00B51F6D" w:rsidRDefault="00B607C2">
          <w:pPr>
            <w:pStyle w:val="TDC3"/>
            <w:tabs>
              <w:tab w:val="right" w:leader="dot" w:pos="8656"/>
            </w:tabs>
            <w:rPr>
              <w:rFonts w:eastAsiaTheme="minorEastAsia" w:cstheme="minorBidi"/>
              <w:noProof/>
              <w:sz w:val="22"/>
            </w:rPr>
          </w:pPr>
          <w:hyperlink w:anchor="_Toc223802799" w:history="1">
            <w:r w:rsidR="00B51F6D" w:rsidRPr="00605F36">
              <w:rPr>
                <w:rStyle w:val="Hipervnculo"/>
                <w:noProof/>
              </w:rPr>
              <w:t>2.10.1 Tabla comparativa global de metodologías</w:t>
            </w:r>
            <w:r w:rsidR="00B51F6D">
              <w:rPr>
                <w:noProof/>
                <w:webHidden/>
              </w:rPr>
              <w:tab/>
            </w:r>
            <w:r w:rsidR="00B51F6D">
              <w:rPr>
                <w:noProof/>
                <w:webHidden/>
              </w:rPr>
              <w:fldChar w:fldCharType="begin"/>
            </w:r>
            <w:r w:rsidR="00B51F6D">
              <w:rPr>
                <w:noProof/>
                <w:webHidden/>
              </w:rPr>
              <w:instrText xml:space="preserve"> PAGEREF _Toc223802799 \h </w:instrText>
            </w:r>
            <w:r w:rsidR="00B51F6D">
              <w:rPr>
                <w:noProof/>
                <w:webHidden/>
              </w:rPr>
            </w:r>
            <w:r w:rsidR="00B51F6D">
              <w:rPr>
                <w:noProof/>
                <w:webHidden/>
              </w:rPr>
              <w:fldChar w:fldCharType="separate"/>
            </w:r>
            <w:r w:rsidR="00E840D2">
              <w:rPr>
                <w:noProof/>
                <w:webHidden/>
              </w:rPr>
              <w:t>11</w:t>
            </w:r>
            <w:r w:rsidR="00B51F6D">
              <w:rPr>
                <w:noProof/>
                <w:webHidden/>
              </w:rPr>
              <w:fldChar w:fldCharType="end"/>
            </w:r>
          </w:hyperlink>
        </w:p>
        <w:p w14:paraId="6DE81FD2" w14:textId="62BAED64" w:rsidR="00B51F6D" w:rsidRDefault="00B607C2">
          <w:pPr>
            <w:pStyle w:val="TDC3"/>
            <w:tabs>
              <w:tab w:val="right" w:leader="dot" w:pos="8656"/>
            </w:tabs>
            <w:rPr>
              <w:rFonts w:eastAsiaTheme="minorEastAsia" w:cstheme="minorBidi"/>
              <w:noProof/>
              <w:sz w:val="22"/>
            </w:rPr>
          </w:pPr>
          <w:hyperlink w:anchor="_Toc223802800" w:history="1">
            <w:r w:rsidR="00B51F6D" w:rsidRPr="00605F36">
              <w:rPr>
                <w:rStyle w:val="Hipervnculo"/>
                <w:noProof/>
              </w:rPr>
              <w:t>2.10.2 Brechas de conocimiento identificadas</w:t>
            </w:r>
            <w:r w:rsidR="00B51F6D">
              <w:rPr>
                <w:noProof/>
                <w:webHidden/>
              </w:rPr>
              <w:tab/>
            </w:r>
            <w:r w:rsidR="00B51F6D">
              <w:rPr>
                <w:noProof/>
                <w:webHidden/>
              </w:rPr>
              <w:fldChar w:fldCharType="begin"/>
            </w:r>
            <w:r w:rsidR="00B51F6D">
              <w:rPr>
                <w:noProof/>
                <w:webHidden/>
              </w:rPr>
              <w:instrText xml:space="preserve"> PAGEREF _Toc223802800 \h </w:instrText>
            </w:r>
            <w:r w:rsidR="00B51F6D">
              <w:rPr>
                <w:noProof/>
                <w:webHidden/>
              </w:rPr>
            </w:r>
            <w:r w:rsidR="00B51F6D">
              <w:rPr>
                <w:noProof/>
                <w:webHidden/>
              </w:rPr>
              <w:fldChar w:fldCharType="separate"/>
            </w:r>
            <w:r w:rsidR="00E840D2">
              <w:rPr>
                <w:noProof/>
                <w:webHidden/>
              </w:rPr>
              <w:t>12</w:t>
            </w:r>
            <w:r w:rsidR="00B51F6D">
              <w:rPr>
                <w:noProof/>
                <w:webHidden/>
              </w:rPr>
              <w:fldChar w:fldCharType="end"/>
            </w:r>
          </w:hyperlink>
        </w:p>
        <w:p w14:paraId="7D199E0B" w14:textId="1BFC672B" w:rsidR="00B51F6D" w:rsidRDefault="00B607C2" w:rsidP="00E840D2">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3802801" w:history="1">
            <w:r w:rsidR="00B51F6D" w:rsidRPr="00605F36">
              <w:rPr>
                <w:rStyle w:val="Hipervnculo"/>
                <w:noProof/>
              </w:rPr>
              <w:t>Referencias bibliográficas del Capítulo 2</w:t>
            </w:r>
            <w:r w:rsidR="00B51F6D">
              <w:rPr>
                <w:noProof/>
                <w:webHidden/>
              </w:rPr>
              <w:tab/>
            </w:r>
            <w:r w:rsidR="00B51F6D">
              <w:rPr>
                <w:noProof/>
                <w:webHidden/>
              </w:rPr>
              <w:fldChar w:fldCharType="begin"/>
            </w:r>
            <w:r w:rsidR="00B51F6D">
              <w:rPr>
                <w:noProof/>
                <w:webHidden/>
              </w:rPr>
              <w:instrText xml:space="preserve"> PAGEREF _Toc223802801 \h </w:instrText>
            </w:r>
            <w:r w:rsidR="00B51F6D">
              <w:rPr>
                <w:noProof/>
                <w:webHidden/>
              </w:rPr>
            </w:r>
            <w:r w:rsidR="00B51F6D">
              <w:rPr>
                <w:noProof/>
                <w:webHidden/>
              </w:rPr>
              <w:fldChar w:fldCharType="separate"/>
            </w:r>
            <w:r w:rsidR="00E840D2">
              <w:rPr>
                <w:noProof/>
                <w:webHidden/>
              </w:rPr>
              <w:t>14</w:t>
            </w:r>
            <w:r w:rsidR="00B51F6D">
              <w:rPr>
                <w:noProof/>
                <w:webHidden/>
              </w:rPr>
              <w:fldChar w:fldCharType="end"/>
            </w:r>
          </w:hyperlink>
        </w:p>
        <w:p w14:paraId="185784A7" w14:textId="5AD0F56B" w:rsidR="004331B9" w:rsidRDefault="004331B9">
          <w:r>
            <w:rPr>
              <w:b/>
              <w:bCs/>
            </w:rPr>
            <w:fldChar w:fldCharType="end"/>
          </w:r>
        </w:p>
      </w:sdtContent>
    </w:sdt>
    <w:p w14:paraId="4637FFB3" w14:textId="77777777" w:rsidR="00FA48AE" w:rsidRDefault="00FA48AE" w:rsidP="004331B9">
      <w:pPr>
        <w:spacing w:before="200" w:after="200"/>
        <w:rPr>
          <w:b/>
          <w:bCs/>
          <w:caps/>
          <w:color w:val="1F3864"/>
          <w:sz w:val="40"/>
          <w:szCs w:val="40"/>
        </w:rPr>
      </w:pPr>
    </w:p>
    <w:p w14:paraId="42386146" w14:textId="28B037E9" w:rsidR="00A802BB" w:rsidRDefault="00A802BB" w:rsidP="004331B9">
      <w:pPr>
        <w:spacing w:before="200" w:after="200"/>
        <w:rPr>
          <w:b/>
          <w:bCs/>
          <w:caps/>
          <w:color w:val="1F3864"/>
          <w:sz w:val="40"/>
          <w:szCs w:val="40"/>
        </w:rPr>
      </w:pPr>
      <w:r>
        <w:rPr>
          <w:b/>
          <w:bCs/>
          <w:caps/>
          <w:color w:val="1F3864"/>
          <w:sz w:val="40"/>
          <w:szCs w:val="40"/>
        </w:rPr>
        <w:t>lista de tablas</w:t>
      </w:r>
    </w:p>
    <w:p w14:paraId="478D68DD" w14:textId="26D4F62A" w:rsidR="00E840D2" w:rsidRDefault="00E840D2" w:rsidP="00E840D2">
      <w:pPr>
        <w:pStyle w:val="Tabladeilustraciones"/>
        <w:tabs>
          <w:tab w:val="right" w:leader="dot" w:pos="8656"/>
        </w:tabs>
        <w:jc w:val="both"/>
        <w:rPr>
          <w:rFonts w:eastAsiaTheme="minorEastAsia" w:cstheme="minorBidi"/>
          <w:i w:val="0"/>
          <w:iCs w:val="0"/>
          <w:noProof/>
          <w:sz w:val="22"/>
          <w:szCs w:val="22"/>
        </w:rPr>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TOC \h \z \c "Tabla" </w:instrText>
      </w:r>
      <w:r>
        <w:rPr>
          <w:rFonts w:ascii="Times New Roman" w:eastAsia="Times New Roman" w:hAnsi="Times New Roman" w:cs="Times New Roman"/>
          <w:szCs w:val="24"/>
        </w:rPr>
        <w:fldChar w:fldCharType="separate"/>
      </w:r>
      <w:hyperlink w:anchor="_Toc223803283" w:history="1">
        <w:r w:rsidRPr="00F57801">
          <w:rPr>
            <w:rStyle w:val="Hipervnculo"/>
            <w:noProof/>
          </w:rPr>
          <w:t>Tabla 1: Tabla 1. Resumen de datasets, tipos de datos de entrada, modelos predictivos y principales hallazgos en estudios recientes de predicción de supervivencia en cáncer de mama.</w:t>
        </w:r>
        <w:r>
          <w:rPr>
            <w:noProof/>
            <w:webHidden/>
          </w:rPr>
          <w:tab/>
        </w:r>
        <w:r>
          <w:rPr>
            <w:noProof/>
            <w:webHidden/>
          </w:rPr>
          <w:fldChar w:fldCharType="begin"/>
        </w:r>
        <w:r>
          <w:rPr>
            <w:noProof/>
            <w:webHidden/>
          </w:rPr>
          <w:instrText xml:space="preserve"> PAGEREF _Toc223803283 \h </w:instrText>
        </w:r>
        <w:r>
          <w:rPr>
            <w:noProof/>
            <w:webHidden/>
          </w:rPr>
        </w:r>
        <w:r>
          <w:rPr>
            <w:noProof/>
            <w:webHidden/>
          </w:rPr>
          <w:fldChar w:fldCharType="separate"/>
        </w:r>
        <w:r>
          <w:rPr>
            <w:noProof/>
            <w:webHidden/>
          </w:rPr>
          <w:t>7</w:t>
        </w:r>
        <w:r>
          <w:rPr>
            <w:noProof/>
            <w:webHidden/>
          </w:rPr>
          <w:fldChar w:fldCharType="end"/>
        </w:r>
      </w:hyperlink>
    </w:p>
    <w:p w14:paraId="16FCB1BE" w14:textId="3969240D" w:rsidR="00E840D2" w:rsidRDefault="00E840D2" w:rsidP="00E840D2">
      <w:pPr>
        <w:pStyle w:val="Tabladeilustraciones"/>
        <w:tabs>
          <w:tab w:val="right" w:leader="dot" w:pos="8656"/>
        </w:tabs>
        <w:jc w:val="both"/>
        <w:rPr>
          <w:rFonts w:eastAsiaTheme="minorEastAsia" w:cstheme="minorBidi"/>
          <w:i w:val="0"/>
          <w:iCs w:val="0"/>
          <w:noProof/>
          <w:sz w:val="22"/>
          <w:szCs w:val="22"/>
        </w:rPr>
      </w:pPr>
      <w:hyperlink w:anchor="_Toc223803284" w:history="1">
        <w:r w:rsidRPr="00F57801">
          <w:rPr>
            <w:rStyle w:val="Hipervnculo"/>
            <w:noProof/>
          </w:rPr>
          <w:t>Tabla 2. Resumen de datasets, tipos de datos de entrada, modelos predictivos y principales hallazgos en estudios recientes de predicción de supervivencia en cáncer de pulmón basados en datos genómicos y multi-ómicos.</w:t>
        </w:r>
        <w:r>
          <w:rPr>
            <w:noProof/>
            <w:webHidden/>
          </w:rPr>
          <w:tab/>
        </w:r>
        <w:r>
          <w:rPr>
            <w:noProof/>
            <w:webHidden/>
          </w:rPr>
          <w:fldChar w:fldCharType="begin"/>
        </w:r>
        <w:r>
          <w:rPr>
            <w:noProof/>
            <w:webHidden/>
          </w:rPr>
          <w:instrText xml:space="preserve"> PAGEREF _Toc223803284 \h </w:instrText>
        </w:r>
        <w:r>
          <w:rPr>
            <w:noProof/>
            <w:webHidden/>
          </w:rPr>
        </w:r>
        <w:r>
          <w:rPr>
            <w:noProof/>
            <w:webHidden/>
          </w:rPr>
          <w:fldChar w:fldCharType="separate"/>
        </w:r>
        <w:r>
          <w:rPr>
            <w:noProof/>
            <w:webHidden/>
          </w:rPr>
          <w:t>9</w:t>
        </w:r>
        <w:r>
          <w:rPr>
            <w:noProof/>
            <w:webHidden/>
          </w:rPr>
          <w:fldChar w:fldCharType="end"/>
        </w:r>
      </w:hyperlink>
    </w:p>
    <w:p w14:paraId="773B7620" w14:textId="58BA66A7" w:rsidR="00E840D2" w:rsidRDefault="00E840D2" w:rsidP="00E840D2">
      <w:pPr>
        <w:pStyle w:val="Tabladeilustraciones"/>
        <w:tabs>
          <w:tab w:val="right" w:leader="dot" w:pos="8656"/>
        </w:tabs>
        <w:jc w:val="both"/>
        <w:rPr>
          <w:rFonts w:eastAsiaTheme="minorEastAsia" w:cstheme="minorBidi"/>
          <w:i w:val="0"/>
          <w:iCs w:val="0"/>
          <w:noProof/>
          <w:sz w:val="22"/>
          <w:szCs w:val="22"/>
        </w:rPr>
      </w:pPr>
      <w:hyperlink w:anchor="_Toc223803285" w:history="1">
        <w:r w:rsidRPr="00F57801">
          <w:rPr>
            <w:rStyle w:val="Hipervnculo"/>
            <w:noProof/>
          </w:rPr>
          <w:t>Tabla 3. Resumen de métodos utilizados en análisis de supervivencia, incluyendo su tipo de modelo, capacidad para manejar datos de alta dimensionalidad, modelar relaciones no lineales y su nivel de interpretabilidad.</w:t>
        </w:r>
        <w:r>
          <w:rPr>
            <w:noProof/>
            <w:webHidden/>
          </w:rPr>
          <w:tab/>
        </w:r>
        <w:r>
          <w:rPr>
            <w:noProof/>
            <w:webHidden/>
          </w:rPr>
          <w:fldChar w:fldCharType="begin"/>
        </w:r>
        <w:r>
          <w:rPr>
            <w:noProof/>
            <w:webHidden/>
          </w:rPr>
          <w:instrText xml:space="preserve"> PAGEREF _Toc223803285 \h </w:instrText>
        </w:r>
        <w:r>
          <w:rPr>
            <w:noProof/>
            <w:webHidden/>
          </w:rPr>
        </w:r>
        <w:r>
          <w:rPr>
            <w:noProof/>
            <w:webHidden/>
          </w:rPr>
          <w:fldChar w:fldCharType="separate"/>
        </w:r>
        <w:r>
          <w:rPr>
            <w:noProof/>
            <w:webHidden/>
          </w:rPr>
          <w:t>11</w:t>
        </w:r>
        <w:r>
          <w:rPr>
            <w:noProof/>
            <w:webHidden/>
          </w:rPr>
          <w:fldChar w:fldCharType="end"/>
        </w:r>
      </w:hyperlink>
    </w:p>
    <w:p w14:paraId="43B8D5E0" w14:textId="3F2F9AFE" w:rsidR="00A127CA" w:rsidRDefault="00E840D2" w:rsidP="00E840D2">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szCs w:val="24"/>
        </w:rPr>
        <w:fldChar w:fldCharType="end"/>
      </w:r>
    </w:p>
    <w:p w14:paraId="69E9A5FD" w14:textId="5E36AF18" w:rsidR="00A127CA" w:rsidRDefault="000C5D02" w:rsidP="00E840D2">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szCs w:val="24"/>
        </w:rPr>
        <w:t xml:space="preserve">    </w:t>
      </w:r>
    </w:p>
    <w:p w14:paraId="489372A1" w14:textId="5BA1583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7C11123" w14:textId="24BB548B"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pgSz w:w="11906" w:h="16838"/>
          <w:pgMar w:top="1440" w:right="1440" w:bottom="1440" w:left="1800" w:header="708" w:footer="708" w:gutter="0"/>
          <w:pgNumType w:start="1"/>
          <w:cols w:space="720"/>
          <w:docGrid w:linePitch="360"/>
        </w:sectPr>
      </w:pPr>
    </w:p>
    <w:p w14:paraId="14ACD6DD" w14:textId="77777777" w:rsidR="00B51F6D" w:rsidRDefault="00B51F6D" w:rsidP="00B51F6D">
      <w:pPr>
        <w:spacing w:before="400" w:after="200"/>
      </w:pPr>
      <w:r>
        <w:rPr>
          <w:b/>
          <w:bCs/>
          <w:caps/>
          <w:color w:val="1F3864"/>
          <w:sz w:val="40"/>
          <w:szCs w:val="40"/>
        </w:rPr>
        <w:lastRenderedPageBreak/>
        <w:t>CAPÍTULO 2</w:t>
      </w:r>
    </w:p>
    <w:p w14:paraId="45BBA830" w14:textId="77777777" w:rsidR="00B51F6D" w:rsidRDefault="00B51F6D" w:rsidP="00B51F6D">
      <w:pPr>
        <w:spacing w:after="400"/>
      </w:pPr>
      <w:r>
        <w:rPr>
          <w:b/>
          <w:bCs/>
          <w:caps/>
          <w:color w:val="1F3864"/>
          <w:sz w:val="40"/>
          <w:szCs w:val="40"/>
        </w:rPr>
        <w:t>ESTADO DEL ARTE</w:t>
      </w:r>
    </w:p>
    <w:p w14:paraId="4B30135A" w14:textId="77777777" w:rsidR="00B51F6D" w:rsidRDefault="00B51F6D" w:rsidP="00B51F6D">
      <w:pPr>
        <w:pStyle w:val="Ttulo2"/>
      </w:pPr>
      <w:bookmarkStart w:id="0" w:name="_Toc223802764"/>
      <w:r>
        <w:t>2.1 Introducción al capítulo</w:t>
      </w:r>
      <w:bookmarkEnd w:id="0"/>
    </w:p>
    <w:p w14:paraId="0E633C57" w14:textId="77777777" w:rsidR="00B51F6D" w:rsidRDefault="00B51F6D" w:rsidP="00B51F6D">
      <w:pPr>
        <w:spacing w:after="160"/>
      </w:pPr>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proofErr w:type="spellStart"/>
      <w:r>
        <w:t>Oates</w:t>
      </w:r>
      <w:proofErr w:type="spellEnd"/>
      <w:r>
        <w:t xml:space="preserve"> (2006) en su marco de investigación en sistemas de información, se adopta un enfoque de </w:t>
      </w:r>
      <w:proofErr w:type="spellStart"/>
      <w:r>
        <w:t>survey</w:t>
      </w:r>
      <w:proofErr w:type="spellEnd"/>
      <w:r>
        <w:t xml:space="preserve"> que sistematiza los trabajos previos más relevantes, identifica las tendencias metodológicas dominantes y localiza las brechas de conocimiento que el presente TFM pretende contribuir a cubrir.</w:t>
      </w:r>
    </w:p>
    <w:p w14:paraId="100E8484" w14:textId="77777777" w:rsidR="00B51F6D" w:rsidRDefault="00B51F6D" w:rsidP="00B51F6D">
      <w:pPr>
        <w:spacing w:after="160"/>
      </w:pPr>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17FE6431" w14:textId="77777777" w:rsidR="00B51F6D" w:rsidRDefault="00B51F6D" w:rsidP="00B51F6D">
      <w:pPr>
        <w:spacing w:after="160"/>
      </w:pPr>
      <w:r>
        <w:t xml:space="preserve">La búsqueda bibliográfica se realizó principalmente en Google </w:t>
      </w:r>
      <w:proofErr w:type="spellStart"/>
      <w:r>
        <w:t>Scholar</w:t>
      </w:r>
      <w:proofErr w:type="spellEnd"/>
      <w:r>
        <w:t xml:space="preserve">, PubMed y Web </w:t>
      </w:r>
      <w:proofErr w:type="spellStart"/>
      <w:r>
        <w:t>of</w:t>
      </w:r>
      <w:proofErr w:type="spellEnd"/>
      <w:r>
        <w:t xml:space="preserve"> </w:t>
      </w:r>
      <w:proofErr w:type="spellStart"/>
      <w:r>
        <w:t>Science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learning, </w:t>
      </w:r>
      <w:proofErr w:type="spellStart"/>
      <w:r>
        <w:t>deep</w:t>
      </w:r>
      <w:proofErr w:type="spellEnd"/>
      <w:r>
        <w:t xml:space="preserve"> learning. El período de cobertura preferente abarca desde 2010 hasta 2025, con inclusión de referencias fundacionales anteriores.</w:t>
      </w:r>
    </w:p>
    <w:p w14:paraId="15567409" w14:textId="77777777" w:rsidR="00B51F6D" w:rsidRDefault="00B51F6D" w:rsidP="00B51F6D">
      <w:pPr>
        <w:spacing w:after="100"/>
      </w:pPr>
    </w:p>
    <w:p w14:paraId="30AE34A5" w14:textId="77777777" w:rsidR="00B51F6D" w:rsidRDefault="00B51F6D" w:rsidP="00B51F6D">
      <w:pPr>
        <w:pStyle w:val="Ttulo2"/>
      </w:pPr>
      <w:bookmarkStart w:id="1" w:name="_Toc223802765"/>
      <w:r>
        <w:t>2.2 Métodos clásicos de análisis de supervivencia</w:t>
      </w:r>
      <w:bookmarkEnd w:id="1"/>
    </w:p>
    <w:p w14:paraId="26265A56" w14:textId="77777777" w:rsidR="00B51F6D" w:rsidRDefault="00B51F6D" w:rsidP="00B51F6D">
      <w:pPr>
        <w:pStyle w:val="Ttulo3"/>
      </w:pPr>
      <w:bookmarkStart w:id="2" w:name="_Toc223802766"/>
      <w:r>
        <w:t>2.2.1 El estimador de Kaplan-Meier</w:t>
      </w:r>
      <w:bookmarkEnd w:id="2"/>
    </w:p>
    <w:p w14:paraId="28645828" w14:textId="77777777" w:rsidR="00B51F6D" w:rsidRDefault="00B51F6D" w:rsidP="00B51F6D">
      <w:pPr>
        <w:spacing w:after="160"/>
      </w:pPr>
      <w:r>
        <w:t>El punto de partida ineludible de cualquier revisión sobre análisis de supervivencia es el estimador no paramétrico propuesto por Kaplan y Meier en 1958 [1]. Este estimador permite calcular la función de supervivencia empírica S(t) a partir de datos con censura, sin necesidad de asumir ninguna forma paramétrica para la distribución del tiempo de supervivencia. Su formulación matemática es simple y su representación gráfica (la curva de Kaplan-Meier escalonada) se ha convertido en el estándar universal para comunicar resultados de supervivencia en estudios clínicos y epidemiológicos.</w:t>
      </w:r>
    </w:p>
    <w:p w14:paraId="2C96B1E0" w14:textId="77777777" w:rsidR="00B51F6D" w:rsidRDefault="00B51F6D" w:rsidP="00B51F6D">
      <w:pPr>
        <w:spacing w:after="160"/>
      </w:pPr>
      <w:r>
        <w:t>En el ámbito oncológico, el estimador de Kaplan-Meier sigue siendo omnipresente en la literatura, tanto como herramienta descriptiva primaria como componente de análisis comparativo entre grupos de pacientes. Su limitación fundamental es que no permite ajustar el efecto de covariables de forma multivariable, lo que lo convierte en un instrumento descriptivo y exploratorio antes que en un modelo predictivo. El test log-</w:t>
      </w:r>
      <w:proofErr w:type="spellStart"/>
      <w:r>
        <w:t>rank</w:t>
      </w:r>
      <w:proofErr w:type="spellEnd"/>
      <w:r>
        <w:t xml:space="preserve">, habitualmente asociado a las curvas de Kaplan-Meier, proporciona una prueba </w:t>
      </w:r>
      <w:r>
        <w:lastRenderedPageBreak/>
        <w:t>estadística no paramétrica para comparar curvas entre grupos, con amplia aplicación en estudios de estratificación por subtipos moleculares [2].</w:t>
      </w:r>
    </w:p>
    <w:p w14:paraId="2C32B2D2" w14:textId="77777777" w:rsidR="00B51F6D" w:rsidRDefault="00B51F6D" w:rsidP="00B51F6D">
      <w:pPr>
        <w:pStyle w:val="Ttulo3"/>
      </w:pPr>
      <w:bookmarkStart w:id="3" w:name="_Toc223802767"/>
      <w:r>
        <w:t>2.2.2 El modelo de riesgos proporcionales de Cox</w:t>
      </w:r>
      <w:bookmarkEnd w:id="3"/>
    </w:p>
    <w:p w14:paraId="3002F0F7" w14:textId="77777777" w:rsidR="00B51F6D" w:rsidRDefault="00B51F6D" w:rsidP="00B51F6D">
      <w:pPr>
        <w:spacing w:after="160"/>
      </w:pPr>
      <w:r>
        <w:t xml:space="preserve">El modelo de riesgos proporcionales de Cox [3], propuesto en 1972, supuso un avance fundamental al introducir un marco </w:t>
      </w:r>
      <w:proofErr w:type="spellStart"/>
      <w:r>
        <w:t>semiparamétrico</w:t>
      </w:r>
      <w:proofErr w:type="spellEnd"/>
      <w:r>
        <w:t xml:space="preserve"> capaz de modelar simultáneamente el efecto de múltiples covariables sobre la tasa de riesgo (</w:t>
      </w:r>
      <w:proofErr w:type="spellStart"/>
      <w:r w:rsidRPr="00CF2F4C">
        <w:rPr>
          <w:i/>
          <w:iCs/>
        </w:rPr>
        <w:t>hazard</w:t>
      </w:r>
      <w:proofErr w:type="spellEnd"/>
      <w:r>
        <w:t>). La formulación del modelo asume que el cociente de riesgos entre dos individuos con distintos valores de covariables es constante a lo largo del tiempo (supuesto de proporcionalidad), lo que simplifica la estimación al permitir separar la función de riesgo basal (no especificada) del componente paramétrico que recoge el efecto de las variables.</w:t>
      </w:r>
    </w:p>
    <w:p w14:paraId="7BE302ED" w14:textId="77777777" w:rsidR="00B51F6D" w:rsidRDefault="00B51F6D" w:rsidP="00B51F6D">
      <w:pPr>
        <w:spacing w:after="160"/>
      </w:pPr>
      <w:r>
        <w:t>Durante décadas, el modelo de Cox ha sido el estándar de referencia para el análisis de supervivencia multivariable en oncología clínica. Su extensión mediante regularización LASSO (</w:t>
      </w:r>
      <w:proofErr w:type="spellStart"/>
      <w:r>
        <w:t>Least</w:t>
      </w:r>
      <w:proofErr w:type="spellEnd"/>
      <w:r>
        <w:t xml:space="preserve"> Absolute </w:t>
      </w:r>
      <w:proofErr w:type="spellStart"/>
      <w:r>
        <w:t>Shrinkage</w:t>
      </w:r>
      <w:proofErr w:type="spellEnd"/>
      <w:r>
        <w:t xml:space="preserve"> and </w:t>
      </w:r>
      <w:proofErr w:type="spellStart"/>
      <w:r>
        <w:t>Selection</w:t>
      </w:r>
      <w:proofErr w:type="spellEnd"/>
      <w:r>
        <w:t xml:space="preserve"> </w:t>
      </w:r>
      <w:proofErr w:type="spellStart"/>
      <w:r>
        <w:t>Operator</w:t>
      </w:r>
      <w:proofErr w:type="spellEnd"/>
      <w:r>
        <w:t xml:space="preserve">) [4] ha permitido adaptar el modelo a escenarios de alta dimensionalidad, característicos de los datos genómicos, realizando simultáneamente selección de variables y estimación de coeficientes. </w:t>
      </w:r>
      <w:proofErr w:type="spellStart"/>
      <w:r>
        <w:t>Tibshirani</w:t>
      </w:r>
      <w:proofErr w:type="spellEnd"/>
      <w:r>
        <w:t xml:space="preserve"> (1997) [5] propuso explícitamente la versión penalizada del Cox para datos de expresión génica, demostrando mejoras significativas en la capacidad predictiva respecto al modelo convencional cuando el número de variables supera al tamaño muestral.</w:t>
      </w:r>
    </w:p>
    <w:p w14:paraId="4EF43E13" w14:textId="77777777" w:rsidR="00B51F6D" w:rsidRDefault="00B51F6D" w:rsidP="00B51F6D">
      <w:pPr>
        <w:spacing w:after="160"/>
      </w:pPr>
      <w:r>
        <w:t>A pesar de su amplia adopción, el modelo de Cox presenta limitaciones importantes frente a datos genómicos de alta dimensionalidad: el supuesto de proporcionalidad puede verse violado en presencia de efectos que cambian con el tiempo, y el modelo no captura interacciones entre variables ni relaciones no lineales entre marcadores genómicos y el riesgo de evento, lo que puede limitar su capacidad predictiva en contextos moleculares complejos [6].</w:t>
      </w:r>
    </w:p>
    <w:p w14:paraId="0AFE4209" w14:textId="77777777" w:rsidR="00B51F6D" w:rsidRDefault="00B51F6D" w:rsidP="00B51F6D">
      <w:pPr>
        <w:pStyle w:val="Ttulo3"/>
      </w:pPr>
      <w:bookmarkStart w:id="4" w:name="_Toc223802768"/>
      <w:r>
        <w:t>2.2.3 Modelos paramétricos de supervivencia</w:t>
      </w:r>
      <w:bookmarkEnd w:id="4"/>
    </w:p>
    <w:p w14:paraId="573812A8" w14:textId="77777777" w:rsidR="00B51F6D" w:rsidRDefault="00B51F6D" w:rsidP="00B51F6D">
      <w:pPr>
        <w:spacing w:after="160"/>
      </w:pPr>
      <w:r>
        <w:t>Paralelamente al modelo de Cox, los modelos paramétricos de supervivencia (exponencial, Weibull, log-normal, log-logístico) especifican una forma funcional para la distribución del tiempo de supervivencia, ofreciendo estimaciones más eficientes cuando el supuesto distribucional es correcto y permitiendo extrapolaciones fuera del rango de observación. Sin embargo, su adopción en el ámbito genómico ha sido más limitada debido a la dificultad de validar los supuestos distribucionales con datos de alta dimensionalidad. En el contexto de este TFM, los modelos paramétricos se consideran como referencia conceptual pero no serán implementados como modelos principales de comparación.</w:t>
      </w:r>
    </w:p>
    <w:p w14:paraId="1D30AA80" w14:textId="77777777" w:rsidR="00B51F6D" w:rsidRDefault="00B51F6D" w:rsidP="00B51F6D">
      <w:pPr>
        <w:spacing w:after="100"/>
      </w:pPr>
    </w:p>
    <w:p w14:paraId="6F09A074" w14:textId="77777777" w:rsidR="00B51F6D" w:rsidRDefault="00B51F6D" w:rsidP="00B51F6D">
      <w:pPr>
        <w:pStyle w:val="Ttulo2"/>
      </w:pPr>
      <w:bookmarkStart w:id="5" w:name="_Toc223802769"/>
      <w:r>
        <w:t>2.3 Métodos de aprendizaje automático para análisis de supervivencia</w:t>
      </w:r>
      <w:bookmarkEnd w:id="5"/>
    </w:p>
    <w:p w14:paraId="5F5D6592" w14:textId="77777777" w:rsidR="00B51F6D" w:rsidRDefault="00B51F6D" w:rsidP="00B51F6D">
      <w:pPr>
        <w:pStyle w:val="Ttulo3"/>
      </w:pPr>
      <w:bookmarkStart w:id="6" w:name="_Toc223802770"/>
      <w:r>
        <w:t>2.3.1 Motivación del enfoque de aprendizaje automático</w:t>
      </w:r>
      <w:bookmarkEnd w:id="6"/>
    </w:p>
    <w:p w14:paraId="1D0E6D61" w14:textId="77777777" w:rsidR="00B51F6D" w:rsidRDefault="00B51F6D" w:rsidP="00B51F6D">
      <w:pPr>
        <w:spacing w:after="160"/>
      </w:pPr>
      <w:r>
        <w:t xml:space="preserve">La irrupción de los datos genómicos de alta dimensionalidad en la investigación oncológica a partir de los años 2000, impulsada por el desarrollo de las tecnologías de </w:t>
      </w:r>
      <w:proofErr w:type="spellStart"/>
      <w:r>
        <w:t>microarrays</w:t>
      </w:r>
      <w:proofErr w:type="spellEnd"/>
      <w:r>
        <w:t xml:space="preserve"> y posteriormente de la secuenciación masiva (NGS), planteó desafíos metodológicos que los modelos clásicos no podían abordar eficientemente. Con decenas de miles de variables </w:t>
      </w:r>
      <w:r>
        <w:lastRenderedPageBreak/>
        <w:t>por paciente y cohortes de tamaño moderado (n = 200-2.000), el espacio D &gt;&gt; n hace que los modelos estadísticos convencionales sufran de sobreajuste y baja generalización [7]. Esta realidad impulsó el desarrollo y adaptación de métodos de aprendizaje automático al contexto del análisis de supervivencia.</w:t>
      </w:r>
    </w:p>
    <w:p w14:paraId="4D86E5D3" w14:textId="77777777" w:rsidR="00B51F6D" w:rsidRDefault="00B51F6D" w:rsidP="00B51F6D">
      <w:pPr>
        <w:spacing w:after="160"/>
      </w:pPr>
      <w:r>
        <w:t xml:space="preserve">La extensión de los algoritmos de machine learning al marco de la supervivencia no es trivial, ya que requiere incorporar el mecanismo de censura de forma nativa. En este sentido, se han desarrollado adaptaciones específicas de árboles de decisión, modelos de ensemble, máquinas de vectores de soporte y redes neuronales al contexto de datos censurados, de las cuales el </w:t>
      </w:r>
      <w:proofErr w:type="spellStart"/>
      <w:r>
        <w:t>Random</w:t>
      </w:r>
      <w:proofErr w:type="spellEnd"/>
      <w:r>
        <w:t xml:space="preserve"> </w:t>
      </w:r>
      <w:proofErr w:type="spellStart"/>
      <w:r>
        <w:t>Survival</w:t>
      </w:r>
      <w:proofErr w:type="spellEnd"/>
      <w:r>
        <w:t xml:space="preserve"> Forest es la que mayor adopción ha tenido en la literatura biomédica [8].</w:t>
      </w:r>
    </w:p>
    <w:p w14:paraId="4B2BA359" w14:textId="77777777" w:rsidR="00B51F6D" w:rsidRDefault="00B51F6D" w:rsidP="00B51F6D">
      <w:pPr>
        <w:pStyle w:val="Ttulo3"/>
      </w:pPr>
      <w:bookmarkStart w:id="7" w:name="_Toc223802771"/>
      <w:r>
        <w:t xml:space="preserve">2.3.2 </w:t>
      </w:r>
      <w:proofErr w:type="spellStart"/>
      <w:r>
        <w:t>Random</w:t>
      </w:r>
      <w:proofErr w:type="spellEnd"/>
      <w:r>
        <w:t xml:space="preserve"> </w:t>
      </w:r>
      <w:proofErr w:type="spellStart"/>
      <w:r>
        <w:t>Survival</w:t>
      </w:r>
      <w:proofErr w:type="spellEnd"/>
      <w:r>
        <w:t xml:space="preserve"> Forest</w:t>
      </w:r>
      <w:bookmarkEnd w:id="7"/>
    </w:p>
    <w:p w14:paraId="6426630C" w14:textId="77777777" w:rsidR="00B51F6D" w:rsidRDefault="00B51F6D" w:rsidP="00B51F6D">
      <w:pPr>
        <w:spacing w:after="160"/>
      </w:pPr>
      <w:r>
        <w:t xml:space="preserve">El algoritmo </w:t>
      </w:r>
      <w:proofErr w:type="spellStart"/>
      <w:r>
        <w:t>Random</w:t>
      </w:r>
      <w:proofErr w:type="spellEnd"/>
      <w:r>
        <w:t xml:space="preserve"> </w:t>
      </w:r>
      <w:proofErr w:type="spellStart"/>
      <w:r>
        <w:t>Survival</w:t>
      </w:r>
      <w:proofErr w:type="spellEnd"/>
      <w:r>
        <w:t xml:space="preserve"> Forest (RSF) fue propuesto por </w:t>
      </w:r>
      <w:proofErr w:type="spellStart"/>
      <w:r>
        <w:t>Ishwaran</w:t>
      </w:r>
      <w:proofErr w:type="spellEnd"/>
      <w:r>
        <w:t xml:space="preserve"> et al. en 2008 [9] como extensión directa del </w:t>
      </w:r>
      <w:proofErr w:type="spellStart"/>
      <w:r>
        <w:t>Random</w:t>
      </w:r>
      <w:proofErr w:type="spellEnd"/>
      <w:r>
        <w:t xml:space="preserve"> Forest de </w:t>
      </w:r>
      <w:proofErr w:type="spellStart"/>
      <w:r>
        <w:t>Breiman</w:t>
      </w:r>
      <w:proofErr w:type="spellEnd"/>
      <w:r>
        <w:t xml:space="preserve"> al contexto de la supervivencia. El RSF construye un ensemble de árboles de supervivencia aleatorios, donde cada árbol se entrena sobre un subconjunto de muestras (</w:t>
      </w:r>
      <w:proofErr w:type="spellStart"/>
      <w:r>
        <w:t>bootstrap</w:t>
      </w:r>
      <w:proofErr w:type="spellEnd"/>
      <w:r>
        <w:t>) y utiliza la función de log-</w:t>
      </w:r>
      <w:proofErr w:type="spellStart"/>
      <w:r>
        <w:t>rank</w:t>
      </w:r>
      <w:proofErr w:type="spellEnd"/>
      <w:r>
        <w:t xml:space="preserve"> como criterio de división de nodos, evaluada sobre subconjuntos aleatorios de variables en cada nodo.</w:t>
      </w:r>
    </w:p>
    <w:p w14:paraId="2FB2BBC5" w14:textId="77777777" w:rsidR="00B51F6D" w:rsidRDefault="00B51F6D" w:rsidP="00B51F6D">
      <w:pPr>
        <w:spacing w:after="160"/>
      </w:pPr>
      <w:r>
        <w:t>El RSF ofrece ventajas sustanciales respecto al modelo de Cox en el contexto genómico: (i) no asume proporcionalidad de riesgos ni linealidad en la relación entre variables y riesgo; (</w:t>
      </w:r>
      <w:proofErr w:type="spellStart"/>
      <w:r>
        <w:t>ii</w:t>
      </w:r>
      <w:proofErr w:type="spellEnd"/>
      <w:r>
        <w:t>) maneja de forma natural las interacciones entre variables; (</w:t>
      </w:r>
      <w:proofErr w:type="spellStart"/>
      <w:r>
        <w:t>iii</w:t>
      </w:r>
      <w:proofErr w:type="spellEnd"/>
      <w:r>
        <w:t>) es robusto frente a datos ausentes mediante imputación por la mediana de los valores de mortalidad acumulada;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que facilitan la interpretación biológica de los resultados [9].</w:t>
      </w:r>
    </w:p>
    <w:p w14:paraId="76DA4A6E" w14:textId="77777777" w:rsidR="00B51F6D" w:rsidRDefault="00B51F6D" w:rsidP="00B51F6D">
      <w:pPr>
        <w:spacing w:after="160"/>
      </w:pPr>
      <w:r>
        <w:t>Numerosos estudios han demostrado que el RSF supera al modelo de Cox en términos de C-</w:t>
      </w:r>
      <w:proofErr w:type="spellStart"/>
      <w:r>
        <w:t>index</w:t>
      </w:r>
      <w:proofErr w:type="spellEnd"/>
      <w:r>
        <w:t xml:space="preserve"> cuando se aplica a datos genómicos de alta dimensionalidad. En cáncer de mama, Zhu et al. (2020) [10] reportaron mejoras de entre 3 y 7 puntos porcentuales en C-</w:t>
      </w:r>
      <w:proofErr w:type="spellStart"/>
      <w:r>
        <w:t>index</w:t>
      </w:r>
      <w:proofErr w:type="spellEnd"/>
      <w:r>
        <w:t xml:space="preserve"> sobre TCGA-BRCA respecto al modelo de Cox LASSO. En cáncer de pulmón, Spooner et al. (2020) [11] encontraron que el RSF era el modelo con mejor rendimiento entre cinco algoritmos comparados sobre datos TCGA, con un C-</w:t>
      </w:r>
      <w:proofErr w:type="spellStart"/>
      <w:r>
        <w:t>index</w:t>
      </w:r>
      <w:proofErr w:type="spellEnd"/>
      <w:r>
        <w:t xml:space="preserve"> de 0,68 frente a 0,61 del modelo de Cox penalizado.</w:t>
      </w:r>
    </w:p>
    <w:p w14:paraId="2F66644F" w14:textId="77777777" w:rsidR="00B51F6D" w:rsidRDefault="00B51F6D" w:rsidP="00B51F6D">
      <w:pPr>
        <w:pStyle w:val="Ttulo3"/>
      </w:pPr>
      <w:bookmarkStart w:id="8" w:name="_Toc223802772"/>
      <w:r>
        <w:t xml:space="preserve">2.3.3 </w:t>
      </w:r>
      <w:proofErr w:type="spellStart"/>
      <w:r>
        <w:t>Gradient</w:t>
      </w:r>
      <w:proofErr w:type="spellEnd"/>
      <w:r>
        <w:t xml:space="preserve"> </w:t>
      </w:r>
      <w:proofErr w:type="spellStart"/>
      <w:r>
        <w:t>Boosting</w:t>
      </w:r>
      <w:proofErr w:type="spellEnd"/>
      <w:r>
        <w:t xml:space="preserve"> para supervivencia</w:t>
      </w:r>
      <w:bookmarkEnd w:id="8"/>
    </w:p>
    <w:p w14:paraId="0622F867" w14:textId="77777777" w:rsidR="00B51F6D" w:rsidRDefault="00B51F6D" w:rsidP="00B51F6D">
      <w:pPr>
        <w:spacing w:after="160"/>
      </w:pPr>
      <w:r>
        <w:t xml:space="preserve">El modelo de </w:t>
      </w:r>
      <w:proofErr w:type="spellStart"/>
      <w:r>
        <w:t>gradient</w:t>
      </w:r>
      <w:proofErr w:type="spellEnd"/>
      <w:r>
        <w:t xml:space="preserve"> </w:t>
      </w:r>
      <w:proofErr w:type="spellStart"/>
      <w:r>
        <w:t>boosting</w:t>
      </w:r>
      <w:proofErr w:type="spellEnd"/>
      <w:r>
        <w:t xml:space="preserve"> para supervivencia, implementado en la librería </w:t>
      </w:r>
      <w:proofErr w:type="spellStart"/>
      <w:r>
        <w:t>scikit-survival</w:t>
      </w:r>
      <w:proofErr w:type="spellEnd"/>
      <w:r>
        <w:t xml:space="preserve"> como </w:t>
      </w:r>
      <w:proofErr w:type="spellStart"/>
      <w:r w:rsidRPr="00DC5F47">
        <w:rPr>
          <w:rFonts w:ascii="Courier New" w:hAnsi="Courier New" w:cs="Courier New"/>
        </w:rPr>
        <w:t>ComponentwiseGradientBoostingSurvivalAnalysis</w:t>
      </w:r>
      <w:proofErr w:type="spellEnd"/>
      <w:r>
        <w:t xml:space="preserve">, minimiza la función de pérdida de Cox mediante </w:t>
      </w:r>
      <w:proofErr w:type="spellStart"/>
      <w:r>
        <w:t>boosting</w:t>
      </w:r>
      <w:proofErr w:type="spellEnd"/>
      <w:r>
        <w:t xml:space="preserve"> iterativo de modelos simples. Este enfoque combina la capacidad del </w:t>
      </w:r>
      <w:proofErr w:type="spellStart"/>
      <w:r>
        <w:t>boosting</w:t>
      </w:r>
      <w:proofErr w:type="spellEnd"/>
      <w:r>
        <w:t xml:space="preserve"> para manejar alta dimensionalidad y datos desequilibrados con la interpretabilidad relativa del marco de Cox, ya que los coeficientes finales pueden asimilarse a efectos de variables en un modelo aditivo. Su adopción en la literatura es menos extensa que el RSF, pero estudios comparativos recientes lo sitúan en rendimiento comparable o superior en ciertos contextos [8].</w:t>
      </w:r>
    </w:p>
    <w:p w14:paraId="06A048C2" w14:textId="77777777" w:rsidR="00B51F6D" w:rsidRDefault="00B51F6D" w:rsidP="00B51F6D">
      <w:pPr>
        <w:pStyle w:val="Ttulo3"/>
      </w:pPr>
      <w:bookmarkStart w:id="9" w:name="_Toc223802773"/>
      <w:r>
        <w:t>2.3.4 Máquinas de vectores de soporte para supervivencia (SVM)</w:t>
      </w:r>
      <w:bookmarkEnd w:id="9"/>
    </w:p>
    <w:p w14:paraId="4E13FCF0" w14:textId="77777777" w:rsidR="00B51F6D" w:rsidRDefault="00B51F6D" w:rsidP="00B51F6D">
      <w:pPr>
        <w:spacing w:after="160"/>
      </w:pPr>
      <w:r>
        <w:t>La extensión del SVM al análisis de supervivencia (</w:t>
      </w:r>
      <w:proofErr w:type="spellStart"/>
      <w:r>
        <w:t>Survival</w:t>
      </w:r>
      <w:proofErr w:type="spellEnd"/>
      <w:r>
        <w:t xml:space="preserve"> SVM) fue propuesta por Van Belle et al. (2011) [12] y plantea el problema como la optimización de la concordancia </w:t>
      </w:r>
      <w:r>
        <w:lastRenderedPageBreak/>
        <w:t xml:space="preserve">entre pares de pacientes bajo restricciones de margen. Aunque teóricamente sólida, su escalabilidad en </w:t>
      </w:r>
      <w:proofErr w:type="spellStart"/>
      <w:r>
        <w:t>datasets</w:t>
      </w:r>
      <w:proofErr w:type="spellEnd"/>
      <w:r>
        <w:t xml:space="preserve"> de alta dimensionalidad (&gt;10.000 variables) es limitada y su interpretabilidad reducida, lo que ha limitado su adopción en estudios genómicos oncológicos de gran escala. Se considera en este TFM como referencia conceptual pero no como modelo de implementación principal.</w:t>
      </w:r>
    </w:p>
    <w:p w14:paraId="6FDB6172" w14:textId="77777777" w:rsidR="00B51F6D" w:rsidRDefault="00B51F6D" w:rsidP="00B51F6D">
      <w:pPr>
        <w:spacing w:after="100"/>
      </w:pPr>
    </w:p>
    <w:p w14:paraId="4E363F96" w14:textId="77777777" w:rsidR="00B51F6D" w:rsidRDefault="00B51F6D" w:rsidP="00B51F6D">
      <w:pPr>
        <w:pStyle w:val="Ttulo2"/>
      </w:pPr>
      <w:bookmarkStart w:id="10" w:name="_Toc223802774"/>
      <w:r>
        <w:t>2.4 Modelos de aprendizaje profundo para análisis de supervivencia</w:t>
      </w:r>
      <w:bookmarkEnd w:id="10"/>
    </w:p>
    <w:p w14:paraId="123229FF" w14:textId="77777777" w:rsidR="00B51F6D" w:rsidRDefault="00B51F6D" w:rsidP="00B51F6D">
      <w:pPr>
        <w:pStyle w:val="Ttulo3"/>
      </w:pPr>
      <w:bookmarkStart w:id="11" w:name="_Toc223802775"/>
      <w:r>
        <w:t xml:space="preserve">2.4.1 </w:t>
      </w:r>
      <w:proofErr w:type="spellStart"/>
      <w:r>
        <w:t>DeepSurv</w:t>
      </w:r>
      <w:bookmarkEnd w:id="11"/>
      <w:proofErr w:type="spellEnd"/>
    </w:p>
    <w:p w14:paraId="2981E093" w14:textId="77777777" w:rsidR="00B51F6D" w:rsidRDefault="00B51F6D" w:rsidP="00B51F6D">
      <w:pPr>
        <w:spacing w:after="160"/>
      </w:pPr>
      <w:r>
        <w:t xml:space="preserve">El modelo </w:t>
      </w:r>
      <w:proofErr w:type="spellStart"/>
      <w:r>
        <w:t>DeepSurv</w:t>
      </w:r>
      <w:proofErr w:type="spellEnd"/>
      <w:r>
        <w:t xml:space="preserve">, propuesto por </w:t>
      </w:r>
      <w:proofErr w:type="spellStart"/>
      <w:r>
        <w:t>Katzman</w:t>
      </w:r>
      <w:proofErr w:type="spellEnd"/>
      <w:r>
        <w:t xml:space="preserve"> et al. (2018) [13], es actualmente el modelo de aprendizaje profundo más citado y adoptado en el campo del análisis de supervivencia oncológica. </w:t>
      </w:r>
      <w:proofErr w:type="spellStart"/>
      <w:r>
        <w:t>DeepSurv</w:t>
      </w:r>
      <w:proofErr w:type="spellEnd"/>
      <w:r>
        <w:t xml:space="preserve"> implementa una red neuronal profunda de tipo </w:t>
      </w:r>
      <w:proofErr w:type="spellStart"/>
      <w:r>
        <w:t>feedforward</w:t>
      </w:r>
      <w:proofErr w:type="spellEnd"/>
      <w:r>
        <w:t xml:space="preserve"> (con múltiples capas ocultas y activaciones no lineales) que optimiza la función de pérdida de log-verosimilitud parcial de Cox, extendiendo así el modelo de Cox clásico al régimen no lineal. La capa de salida es una neurona única sin función de activación que genera la puntuación de riesgo (log </w:t>
      </w:r>
      <w:proofErr w:type="spellStart"/>
      <w:r>
        <w:t>hazard</w:t>
      </w:r>
      <w:proofErr w:type="spellEnd"/>
      <w:r>
        <w:t xml:space="preserve"> ratio) para cada paciente.</w:t>
      </w:r>
    </w:p>
    <w:p w14:paraId="76911F12" w14:textId="77777777" w:rsidR="00B51F6D" w:rsidRDefault="00B51F6D" w:rsidP="00B51F6D">
      <w:pPr>
        <w:spacing w:after="160"/>
      </w:pPr>
      <w:r>
        <w:t xml:space="preserve">En el artículo original, </w:t>
      </w:r>
      <w:proofErr w:type="spellStart"/>
      <w:r>
        <w:t>Katzman</w:t>
      </w:r>
      <w:proofErr w:type="spellEnd"/>
      <w:r>
        <w:t xml:space="preserve"> et al. evaluaron </w:t>
      </w:r>
      <w:proofErr w:type="spellStart"/>
      <w:r>
        <w:t>DeepSurv</w:t>
      </w:r>
      <w:proofErr w:type="spellEnd"/>
      <w:r>
        <w:t xml:space="preserve"> sobre cinco </w:t>
      </w:r>
      <w:proofErr w:type="spellStart"/>
      <w:r>
        <w:t>datasets</w:t>
      </w:r>
      <w:proofErr w:type="spellEnd"/>
      <w:r>
        <w:t xml:space="preserve"> clínicos y genómicos, demostrando mejoras de entre 1 y 6 puntos porcentuales en C-</w:t>
      </w:r>
      <w:proofErr w:type="spellStart"/>
      <w:r>
        <w:t>index</w:t>
      </w:r>
      <w:proofErr w:type="spellEnd"/>
      <w:r>
        <w:t xml:space="preserve"> respecto al modelo de Cox estándar. Particularmente relevante para este TFM es su evaluación sobre datos de cáncer de mama del </w:t>
      </w:r>
      <w:proofErr w:type="spellStart"/>
      <w:r>
        <w:t>dataset</w:t>
      </w:r>
      <w:proofErr w:type="spellEnd"/>
      <w:r>
        <w:t xml:space="preserve"> WHAS (Worcester Heart </w:t>
      </w:r>
      <w:proofErr w:type="spellStart"/>
      <w:r>
        <w:t>Attack</w:t>
      </w:r>
      <w:proofErr w:type="spellEnd"/>
      <w:r>
        <w:t xml:space="preserve"> </w:t>
      </w:r>
      <w:proofErr w:type="spellStart"/>
      <w:r>
        <w:t>Study</w:t>
      </w:r>
      <w:proofErr w:type="spellEnd"/>
      <w:r>
        <w:t xml:space="preserve">), donde </w:t>
      </w:r>
      <w:proofErr w:type="spellStart"/>
      <w:r>
        <w:t>DeepSurv</w:t>
      </w:r>
      <w:proofErr w:type="spellEnd"/>
      <w:r>
        <w:t xml:space="preserve"> alcanzó un C-</w:t>
      </w:r>
      <w:proofErr w:type="spellStart"/>
      <w:r>
        <w:t>index</w:t>
      </w:r>
      <w:proofErr w:type="spellEnd"/>
      <w:r>
        <w:t xml:space="preserve"> de 0,683 frente a 0,641 del modelo de Cox. Los autores también demostraron la aplicación de </w:t>
      </w:r>
      <w:proofErr w:type="spellStart"/>
      <w:r>
        <w:t>DeepSurv</w:t>
      </w:r>
      <w:proofErr w:type="spellEnd"/>
      <w:r>
        <w:t xml:space="preserve"> como sistema de recomendación de tratamiento personalizado, identificando qué pacientes se beneficiarían de diferentes intervenciones terapéuticas.</w:t>
      </w:r>
    </w:p>
    <w:p w14:paraId="3861F42B" w14:textId="77777777" w:rsidR="00B51F6D" w:rsidRDefault="00B51F6D" w:rsidP="00B51F6D">
      <w:pPr>
        <w:spacing w:after="160"/>
      </w:pPr>
      <w:r>
        <w:t xml:space="preserve">Estudios posteriores han aplicado y extendido </w:t>
      </w:r>
      <w:proofErr w:type="spellStart"/>
      <w:r>
        <w:t>DeepSurv</w:t>
      </w:r>
      <w:proofErr w:type="spellEnd"/>
      <w:r>
        <w:t xml:space="preserve"> a datos genómicos del TCGA con resultados mixtos: en algunos tipos de cáncer supera claramente al RSF, mientras que en otros (especialmente con tamaños muestrales pequeños, n &lt; 500) el RSF resulta más robusto. Huang et al. (2020) [14] compararon </w:t>
      </w:r>
      <w:proofErr w:type="spellStart"/>
      <w:r>
        <w:t>DeepSurv</w:t>
      </w:r>
      <w:proofErr w:type="spellEnd"/>
      <w:r>
        <w:t xml:space="preserve">, RSF y Cox LASSO sobre 14 tipos de cáncer del TCGA, concluyendo que </w:t>
      </w:r>
      <w:proofErr w:type="spellStart"/>
      <w:r>
        <w:t>DeepSurv</w:t>
      </w:r>
      <w:proofErr w:type="spellEnd"/>
      <w:r>
        <w:t xml:space="preserve"> superaba a los otros modelos en 8 de los 14 tipos, con diferencias estadísticamente significativas en 5 de ellos.</w:t>
      </w:r>
    </w:p>
    <w:p w14:paraId="20E0EE90" w14:textId="77777777" w:rsidR="00B51F6D" w:rsidRDefault="00B51F6D" w:rsidP="00B51F6D">
      <w:pPr>
        <w:pStyle w:val="Ttulo3"/>
      </w:pPr>
      <w:bookmarkStart w:id="12" w:name="_Toc223802776"/>
      <w:r>
        <w:t xml:space="preserve">2.4.2 </w:t>
      </w:r>
      <w:proofErr w:type="spellStart"/>
      <w:r>
        <w:t>SurvivalNet</w:t>
      </w:r>
      <w:proofErr w:type="spellEnd"/>
      <w:r>
        <w:t xml:space="preserve"> y arquitecturas neuronales alternativas</w:t>
      </w:r>
      <w:bookmarkEnd w:id="12"/>
    </w:p>
    <w:p w14:paraId="702CD517" w14:textId="77777777" w:rsidR="00B51F6D" w:rsidRDefault="00B51F6D" w:rsidP="00B51F6D">
      <w:pPr>
        <w:spacing w:after="160"/>
      </w:pPr>
      <w:proofErr w:type="spellStart"/>
      <w:r>
        <w:t>SurvivalNet</w:t>
      </w:r>
      <w:proofErr w:type="spellEnd"/>
      <w:r>
        <w:t xml:space="preserve">, propuesto por </w:t>
      </w:r>
      <w:proofErr w:type="spellStart"/>
      <w:r>
        <w:t>Yousefi</w:t>
      </w:r>
      <w:proofErr w:type="spellEnd"/>
      <w:r>
        <w:t xml:space="preserve"> et al. (2017) [15], es otro modelo de red neuronal para supervivencia que incorpora regularización mediante </w:t>
      </w:r>
      <w:proofErr w:type="spellStart"/>
      <w:r>
        <w:t>dropout</w:t>
      </w:r>
      <w:proofErr w:type="spellEnd"/>
      <w:r>
        <w:t>, normalización por lotes (</w:t>
      </w:r>
      <w:proofErr w:type="spellStart"/>
      <w:r>
        <w:t>batch</w:t>
      </w:r>
      <w:proofErr w:type="spellEnd"/>
      <w:r>
        <w:t xml:space="preserve"> </w:t>
      </w:r>
      <w:proofErr w:type="spellStart"/>
      <w:r>
        <w:t>normalization</w:t>
      </w:r>
      <w:proofErr w:type="spellEnd"/>
      <w:r>
        <w:t xml:space="preserve">) y optimización bayesiana de </w:t>
      </w:r>
      <w:proofErr w:type="spellStart"/>
      <w:r>
        <w:t>hiperparámetros</w:t>
      </w:r>
      <w:proofErr w:type="spellEnd"/>
      <w:r>
        <w:t xml:space="preserve">. Su evaluación sobre cuatro </w:t>
      </w:r>
      <w:proofErr w:type="spellStart"/>
      <w:r>
        <w:t>datasets</w:t>
      </w:r>
      <w:proofErr w:type="spellEnd"/>
      <w:r>
        <w:t xml:space="preserve"> de TCGA (glioblastoma, cáncer de mama, cáncer de riñón y cáncer de hígado) demostró mejoras sobre el modelo de Cox en todos los casos, con un C-</w:t>
      </w:r>
      <w:proofErr w:type="spellStart"/>
      <w:r>
        <w:t>index</w:t>
      </w:r>
      <w:proofErr w:type="spellEnd"/>
      <w:r>
        <w:t xml:space="preserve"> medio de 0,65 frente a 0,58 del Cox penalizado.</w:t>
      </w:r>
    </w:p>
    <w:p w14:paraId="02F7B7D7" w14:textId="77777777" w:rsidR="00B51F6D" w:rsidRDefault="00B51F6D" w:rsidP="00B51F6D">
      <w:pPr>
        <w:spacing w:after="160"/>
      </w:pPr>
      <w:r>
        <w:t xml:space="preserve">Más recientemente, arquitecturas basadas en mecanismos de atención y </w:t>
      </w:r>
      <w:proofErr w:type="spellStart"/>
      <w:r>
        <w:t>transformers</w:t>
      </w:r>
      <w:proofErr w:type="spellEnd"/>
      <w:r>
        <w:t xml:space="preserve"> se han adaptado al análisis de supervivencia. Müller et al. (2021) [16] propusieron un modelo de </w:t>
      </w:r>
      <w:proofErr w:type="spellStart"/>
      <w:r>
        <w:t>transformer</w:t>
      </w:r>
      <w:proofErr w:type="spellEnd"/>
      <w:r>
        <w:t xml:space="preserve"> multimodal que integra datos de expresión génica, mutaciones y datos clínicos del TCGA, demostrando mejoras de hasta 8 puntos porcentuales en C-</w:t>
      </w:r>
      <w:proofErr w:type="spellStart"/>
      <w:r>
        <w:t>index</w:t>
      </w:r>
      <w:proofErr w:type="spellEnd"/>
      <w:r>
        <w:t xml:space="preserve"> sobre cáncer de mama y colorrectal. Sin embargo, estos modelos requieren tamaños muestrales considerablemente mayores que los disponibles en </w:t>
      </w:r>
      <w:proofErr w:type="spellStart"/>
      <w:r>
        <w:t>datasets</w:t>
      </w:r>
      <w:proofErr w:type="spellEnd"/>
      <w:r>
        <w:t xml:space="preserve"> individuales del TCGA </w:t>
      </w:r>
      <w:r>
        <w:lastRenderedPageBreak/>
        <w:t>(~1.000 pacientes por tipo), lo que limita su aplicabilidad práctica en el contexto de este TFM.</w:t>
      </w:r>
    </w:p>
    <w:p w14:paraId="7454568B" w14:textId="77777777" w:rsidR="00B51F6D" w:rsidRDefault="00B51F6D" w:rsidP="00B51F6D">
      <w:pPr>
        <w:pStyle w:val="Ttulo3"/>
      </w:pPr>
      <w:bookmarkStart w:id="13" w:name="_Toc223802777"/>
      <w:r>
        <w:t>2.4.3 Modelos de aprendizaje profundo multimodal</w:t>
      </w:r>
      <w:bookmarkEnd w:id="13"/>
    </w:p>
    <w:p w14:paraId="62890F7A" w14:textId="77777777" w:rsidR="00B51F6D" w:rsidRDefault="00B51F6D" w:rsidP="00B51F6D">
      <w:pPr>
        <w:spacing w:after="160"/>
      </w:pPr>
      <w:r>
        <w:t xml:space="preserve">La integración de múltiples modalidades de datos genómicos mediante arquitecturas de aprendizaje profundo constituye una de las líneas de investigación más activas en el campo. </w:t>
      </w:r>
      <w:proofErr w:type="spellStart"/>
      <w:r>
        <w:t>Tong</w:t>
      </w:r>
      <w:proofErr w:type="spellEnd"/>
      <w:r>
        <w:t xml:space="preserve"> et al. (2021) [17] propusieron el </w:t>
      </w:r>
      <w:proofErr w:type="spellStart"/>
      <w:r>
        <w:t>framework</w:t>
      </w:r>
      <w:proofErr w:type="spellEnd"/>
      <w:r>
        <w:t xml:space="preserve"> DCAP (Deep </w:t>
      </w:r>
      <w:proofErr w:type="spellStart"/>
      <w:r>
        <w:t>Cancer</w:t>
      </w:r>
      <w:proofErr w:type="spellEnd"/>
      <w:r>
        <w:t xml:space="preserve"> Prognosis), basado en un </w:t>
      </w:r>
      <w:proofErr w:type="spellStart"/>
      <w:r>
        <w:t>encoder</w:t>
      </w:r>
      <w:proofErr w:type="spellEnd"/>
      <w:r>
        <w:t xml:space="preserve"> por modalidad (expresión génica, </w:t>
      </w:r>
      <w:proofErr w:type="spellStart"/>
      <w:r>
        <w:t>miRNA</w:t>
      </w:r>
      <w:proofErr w:type="spellEnd"/>
      <w:r>
        <w:t>, metilación, CNV) seguido de una capa de fusión de características de nivel profundo. Evaluado sobre 15 tipos de cáncer del TCGA, DCAP demostró mejoras medias de 5,9 puntos porcentuales en C-</w:t>
      </w:r>
      <w:proofErr w:type="spellStart"/>
      <w:r>
        <w:t>index</w:t>
      </w:r>
      <w:proofErr w:type="spellEnd"/>
      <w:r>
        <w:t xml:space="preserve"> respecto al uso de expresión génica aislada, con la contribución de cada modalidad variando por tipo de cáncer.</w:t>
      </w:r>
    </w:p>
    <w:p w14:paraId="3F23AB57" w14:textId="77777777" w:rsidR="00B51F6D" w:rsidRDefault="00B51F6D" w:rsidP="00B51F6D">
      <w:pPr>
        <w:spacing w:after="160"/>
      </w:pPr>
      <w:r>
        <w:t>Chen et al. (2021) [18] propusieron PORPOISE, un modelo multimodal que combina datos de expresión génica y de histopatología (imágenes de cortes tisulares digitalizados) para la predicción de supervivencia en 14 tipos de cáncer del TCGA. PORPOISE demostró que la fusión de ambas modalidades superaba sistemáticamente a los modelos unimodales, con mejoras de hasta 12 puntos porcentuales en C-</w:t>
      </w:r>
      <w:proofErr w:type="spellStart"/>
      <w:r>
        <w:t>index</w:t>
      </w:r>
      <w:proofErr w:type="spellEnd"/>
      <w:r>
        <w:t xml:space="preserve"> para tipos de cáncer con alta heterogeneidad histológica. </w:t>
      </w:r>
    </w:p>
    <w:p w14:paraId="5670F149" w14:textId="77777777" w:rsidR="00B51F6D" w:rsidRDefault="00B51F6D" w:rsidP="00B51F6D">
      <w:pPr>
        <w:spacing w:after="100"/>
      </w:pPr>
    </w:p>
    <w:p w14:paraId="45E55EB4" w14:textId="77777777" w:rsidR="00B51F6D" w:rsidRDefault="00B51F6D" w:rsidP="00B51F6D">
      <w:pPr>
        <w:pStyle w:val="Ttulo2"/>
      </w:pPr>
      <w:bookmarkStart w:id="14" w:name="_Toc223802778"/>
      <w:r>
        <w:t>2.5 Datos genómicos en la predicción del pronóstico oncológico</w:t>
      </w:r>
      <w:bookmarkEnd w:id="14"/>
    </w:p>
    <w:p w14:paraId="0B6EE96C" w14:textId="77777777" w:rsidR="00B51F6D" w:rsidRDefault="00B51F6D" w:rsidP="00B51F6D">
      <w:pPr>
        <w:pStyle w:val="Ttulo3"/>
      </w:pPr>
      <w:bookmarkStart w:id="15" w:name="_Toc223802779"/>
      <w:r>
        <w:t>2.5.1 El proyecto TCGA y su impacto en la investigación</w:t>
      </w:r>
      <w:bookmarkEnd w:id="15"/>
    </w:p>
    <w:p w14:paraId="38FD9965" w14:textId="77777777" w:rsidR="00B51F6D" w:rsidRDefault="00B51F6D" w:rsidP="00B51F6D">
      <w:pPr>
        <w:spacing w:after="160"/>
      </w:pPr>
      <w:r>
        <w:t xml:space="preserve">El proyecto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(TCGA), lanzado en 2006 por el </w:t>
      </w:r>
      <w:proofErr w:type="spellStart"/>
      <w:r>
        <w:t>National</w:t>
      </w:r>
      <w:proofErr w:type="spellEnd"/>
      <w:r>
        <w:t xml:space="preserve"> </w:t>
      </w:r>
      <w:proofErr w:type="spellStart"/>
      <w:r>
        <w:t>Cancer</w:t>
      </w:r>
      <w:proofErr w:type="spellEnd"/>
      <w:r>
        <w:t xml:space="preserve"> </w:t>
      </w:r>
      <w:proofErr w:type="spellStart"/>
      <w:r>
        <w:t>Institute</w:t>
      </w:r>
      <w:proofErr w:type="spellEnd"/>
      <w:r>
        <w:t xml:space="preserve"> (NCI) y el </w:t>
      </w:r>
      <w:proofErr w:type="spellStart"/>
      <w:r>
        <w:t>National</w:t>
      </w:r>
      <w:proofErr w:type="spellEnd"/>
      <w:r>
        <w:t xml:space="preserve"> Human </w:t>
      </w:r>
      <w:proofErr w:type="spellStart"/>
      <w:r>
        <w:t>Genome</w:t>
      </w:r>
      <w:proofErr w:type="spellEnd"/>
      <w:r>
        <w:t xml:space="preserve"> </w:t>
      </w:r>
      <w:proofErr w:type="spellStart"/>
      <w:r>
        <w:t>Research</w:t>
      </w:r>
      <w:proofErr w:type="spellEnd"/>
      <w:r>
        <w:t xml:space="preserve"> </w:t>
      </w:r>
      <w:proofErr w:type="spellStart"/>
      <w:r>
        <w:t>Institute</w:t>
      </w:r>
      <w:proofErr w:type="spellEnd"/>
      <w:r>
        <w:t xml:space="preserve"> (NHGRI) de los Estados Unidos, ha tenido un impacto transformador en la investigación oncológica traslacional. TCGA ha generado perfiles moleculares completos (expresión génica por RNA-</w:t>
      </w:r>
      <w:proofErr w:type="spellStart"/>
      <w:r>
        <w:t>seq</w:t>
      </w:r>
      <w:proofErr w:type="spellEnd"/>
      <w:r>
        <w:t>, mutaciones somáticas, variaciones en número de copias, metilación del ADN, proteómica) de más de 11.000 tumores primarios en 33 tipos de cáncer, con datos clínicos y de seguimiento asociados [19].</w:t>
      </w:r>
    </w:p>
    <w:p w14:paraId="73F28444" w14:textId="77777777" w:rsidR="00B51F6D" w:rsidRDefault="00B51F6D" w:rsidP="00B51F6D">
      <w:pPr>
        <w:spacing w:after="160"/>
      </w:pPr>
      <w:r>
        <w:t>La estandarización de los pipelines de procesamiento a través del GDC Data Portal [20] ha resuelto parcialmente el problema de la heterogeneidad entre estudios, permitiendo el análisis comparativo entre tipos de cáncer con datos procesados mediante protocolos uniformes. Los datos de TCGA han sido utilizados como fuente primaria en la gran mayoría de los estudios de desarrollo y evaluación de modelos de supervivencia basados en genómica publicados desde 2012.</w:t>
      </w:r>
    </w:p>
    <w:p w14:paraId="39C916F8" w14:textId="77777777" w:rsidR="00B51F6D" w:rsidRDefault="00B51F6D" w:rsidP="00B51F6D">
      <w:pPr>
        <w:spacing w:after="160"/>
      </w:pPr>
      <w:r>
        <w:t xml:space="preserve">Una limitación reconocida de TCGA es la sobrerrepresentación de pacientes de </w:t>
      </w:r>
      <w:proofErr w:type="spellStart"/>
      <w:r>
        <w:t>ancestría</w:t>
      </w:r>
      <w:proofErr w:type="spellEnd"/>
      <w:r>
        <w:t xml:space="preserve"> europea (aproximadamente 70-80% según el tipo de cáncer), lo que puede afectar a la generalización de los modelos entrenados sobre estas cohortes a poblaciones más diversas. Asimismo, el tamaño muestral por tipo de cáncer es heterogéneo: mientras TCGA-BRCA cuenta con 1.098 muestras, otros tipos de cáncer presentan menos de 200 muestras, insuficientes para el entrenamiento de modelos de aprendizaje automático complejos.</w:t>
      </w:r>
    </w:p>
    <w:p w14:paraId="72830214" w14:textId="77777777" w:rsidR="00B51F6D" w:rsidRDefault="00B51F6D" w:rsidP="00B51F6D">
      <w:pPr>
        <w:pStyle w:val="Ttulo3"/>
      </w:pPr>
      <w:bookmarkStart w:id="16" w:name="_Toc223802780"/>
      <w:r>
        <w:t xml:space="preserve">2.5.2 El </w:t>
      </w:r>
      <w:proofErr w:type="spellStart"/>
      <w:r>
        <w:t>dataset</w:t>
      </w:r>
      <w:proofErr w:type="spellEnd"/>
      <w:r>
        <w:t xml:space="preserve"> METABRIC</w:t>
      </w:r>
      <w:bookmarkEnd w:id="16"/>
    </w:p>
    <w:p w14:paraId="26F3BF3D" w14:textId="77777777" w:rsidR="00B51F6D" w:rsidRDefault="00B51F6D" w:rsidP="00B51F6D">
      <w:pPr>
        <w:spacing w:after="160"/>
      </w:pPr>
      <w:r>
        <w:lastRenderedPageBreak/>
        <w:t xml:space="preserve">El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(METABRIC) fue descrito por Curtis et al. en 2012 [21] y constituye actualmente el </w:t>
      </w:r>
      <w:proofErr w:type="spellStart"/>
      <w:r>
        <w:t>dataset</w:t>
      </w:r>
      <w:proofErr w:type="spellEnd"/>
      <w:r>
        <w:t xml:space="preserve"> de referencia más amplio y bien caracterizado para cáncer de mama. METABRIC incluye perfiles de </w:t>
      </w:r>
      <w:proofErr w:type="spellStart"/>
      <w:r>
        <w:t>microarrays</w:t>
      </w:r>
      <w:proofErr w:type="spellEnd"/>
      <w:r>
        <w:t xml:space="preserve"> de expresión génica, datos de variaciones en número de copias (</w:t>
      </w:r>
      <w:proofErr w:type="spellStart"/>
      <w:r>
        <w:t>aCGH</w:t>
      </w:r>
      <w:proofErr w:type="spellEnd"/>
      <w:r>
        <w:t>), y datos clínicos exhaustivos (estadio, subtipo molecular, tratamiento recibido, seguimiento hasta 30 años) de 1.980 pacientes con cáncer de mama primario.</w:t>
      </w:r>
    </w:p>
    <w:p w14:paraId="6FFC584E" w14:textId="77777777" w:rsidR="00B51F6D" w:rsidRDefault="00B51F6D" w:rsidP="00B51F6D">
      <w:pPr>
        <w:spacing w:after="160"/>
      </w:pPr>
      <w:r>
        <w:t xml:space="preserve">El trabajo de Curtis et al. identificó, mediante análisis de agrupamiento integrador de expresión génica y CNV, 10 nuevos subgrupos moleculares (IntClust1-10) con perfiles de supervivencia diferenciados, algunos de los cuales no se correspondían con la clasificación TNM convencional ni con los subtipos intrínsecos de </w:t>
      </w:r>
      <w:proofErr w:type="spellStart"/>
      <w:r>
        <w:t>Perou</w:t>
      </w:r>
      <w:proofErr w:type="spellEnd"/>
      <w:r>
        <w:t xml:space="preserve"> et al. [22]. Esta nueva clasificación tiene implicaciones directas en el diseño de estudios de supervivencia basados en METABRIC: los subgrupos </w:t>
      </w:r>
      <w:proofErr w:type="spellStart"/>
      <w:r>
        <w:t>IntClust</w:t>
      </w:r>
      <w:proofErr w:type="spellEnd"/>
      <w:r>
        <w:t xml:space="preserve"> son variables de estratificación más informativas que los subtipos PAM50 convencionales para la predicción de supervivencia a largo plazo.</w:t>
      </w:r>
    </w:p>
    <w:p w14:paraId="3ED49DAD" w14:textId="77777777" w:rsidR="00B51F6D" w:rsidRDefault="00B51F6D" w:rsidP="00B51F6D">
      <w:pPr>
        <w:spacing w:after="160"/>
      </w:pPr>
      <w:r>
        <w:t xml:space="preserve">La disponibilidad de METABRIC a través de </w:t>
      </w:r>
      <w:proofErr w:type="spellStart"/>
      <w:r>
        <w:t>cBioPortal</w:t>
      </w:r>
      <w:proofErr w:type="spellEnd"/>
      <w:r>
        <w:t xml:space="preserve"> y del </w:t>
      </w:r>
      <w:proofErr w:type="spellStart"/>
      <w:r>
        <w:t>European</w:t>
      </w:r>
      <w:proofErr w:type="spellEnd"/>
      <w:r>
        <w:t xml:space="preserve"> </w:t>
      </w:r>
      <w:proofErr w:type="spellStart"/>
      <w:r>
        <w:t>Genome-phenome</w:t>
      </w:r>
      <w:proofErr w:type="spellEnd"/>
      <w:r>
        <w:t xml:space="preserve"> Archive (EGA) ha facilitado su uso extensivo en estudios de validación externa de modelos entrenados sobre TCGA-BRCA, convirtiéndolo en el </w:t>
      </w:r>
      <w:proofErr w:type="spellStart"/>
      <w:r>
        <w:t>dataset</w:t>
      </w:r>
      <w:proofErr w:type="spellEnd"/>
      <w:r>
        <w:t xml:space="preserve"> de referencia para la evaluación de transferibilidad en cáncer de mama. Sin embargo, la diferencia en la tecnología de perfilado (</w:t>
      </w:r>
      <w:proofErr w:type="spellStart"/>
      <w:r>
        <w:t>microarrays</w:t>
      </w:r>
      <w:proofErr w:type="spellEnd"/>
      <w:r>
        <w:t xml:space="preserve"> en METABRIC vs. RNA-</w:t>
      </w:r>
      <w:proofErr w:type="spellStart"/>
      <w:r>
        <w:t>seq</w:t>
      </w:r>
      <w:proofErr w:type="spellEnd"/>
      <w:r>
        <w:t xml:space="preserve"> en TCGA) introduce diferencias sistemáticas en los valores de expresión que requieren tratamiento específico mediante corrección de efectos de lote (</w:t>
      </w:r>
      <w:proofErr w:type="spellStart"/>
      <w:r>
        <w:t>batch</w:t>
      </w:r>
      <w:proofErr w:type="spellEnd"/>
      <w:r>
        <w:t xml:space="preserve"> </w:t>
      </w:r>
      <w:proofErr w:type="spellStart"/>
      <w:r>
        <w:t>effect</w:t>
      </w:r>
      <w:proofErr w:type="spellEnd"/>
      <w:r>
        <w:t>) o normalización cruzada [23].</w:t>
      </w:r>
    </w:p>
    <w:p w14:paraId="7DB1BAB4" w14:textId="77777777" w:rsidR="00B51F6D" w:rsidRDefault="00B51F6D" w:rsidP="00B51F6D">
      <w:pPr>
        <w:pStyle w:val="Ttulo3"/>
      </w:pPr>
      <w:bookmarkStart w:id="17" w:name="_Toc223802781"/>
      <w:r>
        <w:t>2.5.3 Tipos de datos genómicos y su contribución pronóstica</w:t>
      </w:r>
      <w:bookmarkEnd w:id="17"/>
    </w:p>
    <w:p w14:paraId="265488D3" w14:textId="77777777" w:rsidR="00B51F6D" w:rsidRDefault="00B51F6D" w:rsidP="00B51F6D">
      <w:pPr>
        <w:spacing w:after="160"/>
      </w:pPr>
      <w:r>
        <w:t xml:space="preserve">La contribución relativa de cada tipo de dato genómico a la capacidad predictiva de los modelos de supervivencia ha sido analizada en varios estudios comparativos. </w:t>
      </w:r>
      <w:proofErr w:type="spellStart"/>
      <w:r>
        <w:t>Tong</w:t>
      </w:r>
      <w:proofErr w:type="spellEnd"/>
      <w:r>
        <w:t xml:space="preserve"> et al. (2021) [17] encontraron que la expresión génica (mRNA) era consistentemente la modalidad más informativa, seguida de </w:t>
      </w:r>
      <w:proofErr w:type="spellStart"/>
      <w:r>
        <w:t>miRNA</w:t>
      </w:r>
      <w:proofErr w:type="spellEnd"/>
      <w:r>
        <w:t>, metilación del ADN y CNV. Sin embargo, la jerarquía varía según el tipo de cáncer: en glioblastoma y cáncer renal, la metilación tiene una contribución pronóstica comparable o superior a la expresión génica, mientras que en cáncer de mama y colorrectal, la expresión génica domina claramente.</w:t>
      </w:r>
    </w:p>
    <w:p w14:paraId="1411BCD4" w14:textId="77777777" w:rsidR="00B51F6D" w:rsidRDefault="00B51F6D" w:rsidP="00B51F6D">
      <w:pPr>
        <w:spacing w:after="160"/>
      </w:pPr>
      <w:r>
        <w:t>Las mutaciones somáticas presentan una contribución pronóstica más heterogénea: mientras que en cáncer de pulmón las mutaciones en EGFR, KRAS y ALK tienen un valor pronóstico y predictivo bien establecido [24], en cáncer de mama las mutaciones somáticas aportan información incremental modesta sobre la que ya proporciona la expresión génica.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0785D102" w14:textId="77777777" w:rsidR="00B51F6D" w:rsidRDefault="00B51F6D" w:rsidP="00B51F6D">
      <w:pPr>
        <w:spacing w:after="100"/>
      </w:pPr>
    </w:p>
    <w:p w14:paraId="33AFF1D9" w14:textId="77777777" w:rsidR="00B51F6D" w:rsidRDefault="00B51F6D" w:rsidP="00B51F6D">
      <w:pPr>
        <w:pStyle w:val="Ttulo2"/>
      </w:pPr>
      <w:bookmarkStart w:id="18" w:name="_Toc223802782"/>
      <w:r>
        <w:t>2.6 Estado del arte en cáncer de mama</w:t>
      </w:r>
      <w:bookmarkEnd w:id="18"/>
    </w:p>
    <w:p w14:paraId="7FDDED8A" w14:textId="77777777" w:rsidR="00B51F6D" w:rsidRDefault="00B51F6D" w:rsidP="00B51F6D">
      <w:pPr>
        <w:pStyle w:val="Ttulo3"/>
      </w:pPr>
      <w:bookmarkStart w:id="19" w:name="_Toc223802783"/>
      <w:r>
        <w:t>2.6.1 Clasificación molecular y pronóstico</w:t>
      </w:r>
      <w:bookmarkEnd w:id="19"/>
    </w:p>
    <w:p w14:paraId="7FEED3EB" w14:textId="77777777" w:rsidR="00B51F6D" w:rsidRDefault="00B51F6D" w:rsidP="00B51F6D">
      <w:pPr>
        <w:spacing w:after="160"/>
      </w:pPr>
      <w:r>
        <w:t xml:space="preserve">La clasificación molecular del cáncer de mama ha sido uno de los avances más importantes en oncología del siglo XXI. A partir del trabajo pionero de </w:t>
      </w:r>
      <w:proofErr w:type="spellStart"/>
      <w:r>
        <w:t>Perou</w:t>
      </w:r>
      <w:proofErr w:type="spellEnd"/>
      <w:r>
        <w:t xml:space="preserve"> et al. (2000) [22], que </w:t>
      </w:r>
      <w:r>
        <w:lastRenderedPageBreak/>
        <w:t>identificó cuatro subtipos intrínsecos mediante perfiles de expresión génica (Luminal A, Luminal B, HER2-enriched y Triple Negativo/Basal-</w:t>
      </w:r>
      <w:proofErr w:type="spellStart"/>
      <w:r>
        <w:t>like</w:t>
      </w:r>
      <w:proofErr w:type="spellEnd"/>
      <w:r>
        <w:t>), múltiples estudios han demostrado que estos subtipos tienen perfiles de supervivencia radicalmente distintos, con tasas de supervivencia relativa a 5 años que oscilan entre el 92% para Luminal A y el 77% para Triple Negativo en estadios tempranos [25].</w:t>
      </w:r>
    </w:p>
    <w:p w14:paraId="0844EA44" w14:textId="77777777" w:rsidR="00B51F6D" w:rsidRDefault="00B51F6D" w:rsidP="00B51F6D">
      <w:pPr>
        <w:spacing w:after="160"/>
      </w:pPr>
      <w:r>
        <w:t xml:space="preserve">La integración de marcadores genómicos en puntuaciones de riesgo clínicamente validadas ha transformado la práctica oncológica en cáncer de mama. El test </w:t>
      </w:r>
      <w:proofErr w:type="spellStart"/>
      <w:r>
        <w:t>Oncotype</w:t>
      </w:r>
      <w:proofErr w:type="spellEnd"/>
      <w:r>
        <w:t xml:space="preserve"> DX [26] analiza la expresión de 21 genes para estimar el riesgo de recurrencia a 10 años y guiar la decisión de tratar con quimioterapia a pacientes con cáncer de mama luminal en estadio precoz. </w:t>
      </w:r>
      <w:proofErr w:type="spellStart"/>
      <w:r>
        <w:t>MammaPrint</w:t>
      </w:r>
      <w:proofErr w:type="spellEnd"/>
      <w:r>
        <w:t xml:space="preserve"> [27] utiliza 70 genes para clasificar pacientes en riesgo alto o bajo de metástasis a distancia. Ambas herramientas han demostrado su utilidad clínica en ensayos aleatorios prospectivos (</w:t>
      </w:r>
      <w:proofErr w:type="spellStart"/>
      <w:r>
        <w:t>TAILORx</w:t>
      </w:r>
      <w:proofErr w:type="spellEnd"/>
      <w:r>
        <w:t xml:space="preserve"> [28] y MINDACT [29], respectivamente), validando el principio de que los datos genómicos mejoran la precisión pronóstica respecto a los factores clínico-patológicos convencionales.</w:t>
      </w:r>
    </w:p>
    <w:p w14:paraId="56DBEAF9" w14:textId="77777777" w:rsidR="00B51F6D" w:rsidRDefault="00B51F6D" w:rsidP="00B51F6D">
      <w:pPr>
        <w:pStyle w:val="Ttulo3"/>
      </w:pPr>
      <w:bookmarkStart w:id="20" w:name="_Toc223802784"/>
      <w:r>
        <w:t>2.6.2 Modelos de supervivencia basados en TCGA-BRCA y METABRIC</w:t>
      </w:r>
      <w:bookmarkEnd w:id="20"/>
    </w:p>
    <w:p w14:paraId="4DD23C1B" w14:textId="77777777" w:rsidR="00B51F6D" w:rsidRDefault="00B51F6D" w:rsidP="00B51F6D">
      <w:pPr>
        <w:spacing w:after="160"/>
      </w:pPr>
      <w:r>
        <w:t xml:space="preserve">En el ámbito del aprendizaje automático, numerosos estudios han aplicado modelos de supervivencia sobre TCGA-BRCA y/o METABRIC. La revisión sistemática de </w:t>
      </w:r>
      <w:proofErr w:type="spellStart"/>
      <w:r>
        <w:t>Meng</w:t>
      </w:r>
      <w:proofErr w:type="spellEnd"/>
      <w:r>
        <w:t xml:space="preserve"> et al. (2021) [30] analizó 36 estudios de predicción de supervivencia a 5 años en cáncer de mama mediante machine learning, constatando que: (i) los modelos de ensamble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superaban consistentemente a la regresión logística y al modelo de Cox estándar; (</w:t>
      </w:r>
      <w:proofErr w:type="spellStart"/>
      <w:r>
        <w:t>ii</w:t>
      </w:r>
      <w:proofErr w:type="spellEnd"/>
      <w:r>
        <w:t>) el C-</w:t>
      </w:r>
      <w:proofErr w:type="spellStart"/>
      <w:r>
        <w:t>index</w:t>
      </w:r>
      <w:proofErr w:type="spellEnd"/>
      <w:r>
        <w:t xml:space="preserve"> reportado variaba ampliamente entre estudios (0,59-0,83) en función del tipo de datos, el horizonte temporal y el pipeline de preprocesamiento; y (</w:t>
      </w:r>
      <w:proofErr w:type="spellStart"/>
      <w:r>
        <w:t>iii</w:t>
      </w:r>
      <w:proofErr w:type="spellEnd"/>
      <w:r>
        <w:t>) únicamente uno de los 36 estudios realizó validación externa, lo que limita severamente las conclusiones sobre generalización.</w:t>
      </w:r>
    </w:p>
    <w:p w14:paraId="1558B5FF" w14:textId="77777777" w:rsidR="00B51F6D" w:rsidRDefault="00B51F6D" w:rsidP="00B51F6D">
      <w:pPr>
        <w:spacing w:after="160"/>
      </w:pPr>
      <w:r>
        <w:t>Gao et al. (2019) [31] construyeron un modelo de supervivencia basado en RSF sobre TCGA-BRCA utilizando datos integrados de expresión génica y variables clínicas (n = 893), obteniendo un C-</w:t>
      </w:r>
      <w:proofErr w:type="spellStart"/>
      <w:r>
        <w:t>index</w:t>
      </w:r>
      <w:proofErr w:type="spellEnd"/>
      <w:r>
        <w:t xml:space="preserve"> de 0,76 en validación cruzada 10-fold. El modelo identificó 15 genes con alta importancia pronóstica, entre los que destacaban CENPF, MELK y AURKA, genes previamente asociados a la proliferación tumoral y la resistencia a la quimioterapia. La validación del modelo en METABRIC (n = 1.897) resultó en un C-</w:t>
      </w:r>
      <w:proofErr w:type="spellStart"/>
      <w:r>
        <w:t>index</w:t>
      </w:r>
      <w:proofErr w:type="spellEnd"/>
      <w:r>
        <w:t xml:space="preserve"> de 0,71, con una reducción de 5 puntos porcentuales respecto a la cohorte de entrenamiento, ilustrando el efecto de la heterogeneidad entre </w:t>
      </w:r>
      <w:proofErr w:type="spellStart"/>
      <w:r>
        <w:t>datasets</w:t>
      </w:r>
      <w:proofErr w:type="spellEnd"/>
      <w:r>
        <w:t xml:space="preserve"> y de las diferencias de plataforma.</w:t>
      </w:r>
    </w:p>
    <w:p w14:paraId="074AB77B" w14:textId="77777777" w:rsidR="00B51F6D" w:rsidRDefault="00B51F6D" w:rsidP="00B51F6D">
      <w:pPr>
        <w:spacing w:after="160"/>
      </w:pPr>
      <w:r>
        <w:t xml:space="preserve">En el contexto específico de </w:t>
      </w:r>
      <w:proofErr w:type="spellStart"/>
      <w:r>
        <w:t>DeepSurv</w:t>
      </w:r>
      <w:proofErr w:type="spellEnd"/>
      <w:r>
        <w:t xml:space="preserve"> aplicado a cáncer de mama, </w:t>
      </w:r>
      <w:proofErr w:type="spellStart"/>
      <w:r>
        <w:t>Tapak</w:t>
      </w:r>
      <w:proofErr w:type="spellEnd"/>
      <w:r>
        <w:t xml:space="preserve"> et al. (2019) [32] compararon </w:t>
      </w:r>
      <w:proofErr w:type="spellStart"/>
      <w:r>
        <w:t>DeepSurv</w:t>
      </w:r>
      <w:proofErr w:type="spellEnd"/>
      <w:r>
        <w:t xml:space="preserve"> con RSF, Cox LASSO y regresión de Cox estándar sobre una cohorte de 573 pacientes con datos clínicos y biomarcadores proteicos, reportando que </w:t>
      </w:r>
      <w:proofErr w:type="spellStart"/>
      <w:r>
        <w:t>DeepSurv</w:t>
      </w:r>
      <w:proofErr w:type="spellEnd"/>
      <w:r>
        <w:t xml:space="preserve"> alcanzaba el mayor C-</w:t>
      </w:r>
      <w:proofErr w:type="spellStart"/>
      <w:r>
        <w:t>index</w:t>
      </w:r>
      <w:proofErr w:type="spellEnd"/>
      <w:r>
        <w:t xml:space="preserve"> (0,74) pero requería una cuidadosa optimización de </w:t>
      </w:r>
      <w:proofErr w:type="spellStart"/>
      <w:r>
        <w:t>hiperparámetros</w:t>
      </w:r>
      <w:proofErr w:type="spellEnd"/>
      <w:r>
        <w:t xml:space="preserve"> para evitar el sobreajuste en este tamaño muestral moderado.</w:t>
      </w:r>
    </w:p>
    <w:p w14:paraId="586D93DE" w14:textId="77777777" w:rsidR="00B51F6D" w:rsidRDefault="00B51F6D" w:rsidP="00B51F6D">
      <w:pPr>
        <w:pStyle w:val="Ttulo3"/>
      </w:pPr>
      <w:bookmarkStart w:id="21" w:name="_Toc223802785"/>
      <w:r>
        <w:t>2.6.3 Tabla resumen de estudios en cáncer de mama</w:t>
      </w:r>
      <w:bookmarkEnd w:id="21"/>
    </w:p>
    <w:p w14:paraId="7ECE8F99" w14:textId="5A46C05F" w:rsidR="00B51F6D" w:rsidRDefault="00E840D2" w:rsidP="00E840D2">
      <w:pPr>
        <w:pStyle w:val="Descripcin"/>
      </w:pPr>
      <w:bookmarkStart w:id="22" w:name="_Toc223803123"/>
      <w:bookmarkStart w:id="23" w:name="_Toc223803283"/>
      <w:r>
        <w:t xml:space="preserve">Tabla </w:t>
      </w:r>
      <w:fldSimple w:instr=" SEQ Tabla \* ARABIC ">
        <w:r>
          <w:rPr>
            <w:noProof/>
          </w:rPr>
          <w:t>1</w:t>
        </w:r>
      </w:fldSimple>
      <w:r>
        <w:t xml:space="preserve">: </w:t>
      </w:r>
      <w:r w:rsidRPr="007F48CD">
        <w:t xml:space="preserve">Tabla 1. Resumen de </w:t>
      </w:r>
      <w:proofErr w:type="spellStart"/>
      <w:r w:rsidRPr="007F48CD">
        <w:t>datasets</w:t>
      </w:r>
      <w:proofErr w:type="spellEnd"/>
      <w:r w:rsidRPr="007F48CD">
        <w:t>, tipos de datos de entrada, modelos predictivos y principales hallazgos en estudios recientes de predicción de supervivencia en cáncer de mama.</w:t>
      </w:r>
      <w:bookmarkEnd w:id="22"/>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352"/>
        <w:gridCol w:w="1716"/>
        <w:gridCol w:w="1221"/>
        <w:gridCol w:w="1178"/>
        <w:gridCol w:w="1939"/>
      </w:tblGrid>
      <w:tr w:rsidR="00B51F6D" w14:paraId="1D3D2730"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567EC9F" w14:textId="77777777" w:rsidR="00B51F6D" w:rsidRDefault="00B51F6D" w:rsidP="008E4439">
            <w:pPr>
              <w:jc w:val="center"/>
            </w:pPr>
            <w:r>
              <w:rPr>
                <w:b/>
                <w:bCs/>
                <w:color w:val="FFFFFF"/>
                <w:sz w:val="20"/>
                <w:szCs w:val="20"/>
              </w:rPr>
              <w:t>Estudio (año)</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EED7C56" w14:textId="77777777" w:rsidR="00B51F6D" w:rsidRDefault="00B51F6D" w:rsidP="008E4439">
            <w:pPr>
              <w:jc w:val="center"/>
            </w:pPr>
            <w:proofErr w:type="spellStart"/>
            <w:r>
              <w:rPr>
                <w:b/>
                <w:bCs/>
                <w:color w:val="FFFFFF"/>
                <w:sz w:val="20"/>
                <w:szCs w:val="20"/>
              </w:rPr>
              <w:t>Dataset</w:t>
            </w:r>
            <w:proofErr w:type="spellEnd"/>
            <w:r>
              <w:rPr>
                <w:b/>
                <w:bCs/>
                <w:color w:val="FFFFFF"/>
                <w:sz w:val="20"/>
                <w:szCs w:val="20"/>
              </w:rPr>
              <w:t>(s)</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7C7AA49" w14:textId="77777777" w:rsidR="00B51F6D" w:rsidRDefault="00B51F6D" w:rsidP="008E4439">
            <w:pPr>
              <w:jc w:val="center"/>
            </w:pPr>
            <w:r>
              <w:rPr>
                <w:b/>
                <w:bCs/>
                <w:color w:val="FFFFFF"/>
                <w:sz w:val="20"/>
                <w:szCs w:val="20"/>
              </w:rPr>
              <w:t>Datos de entrada</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1DC9174" w14:textId="77777777" w:rsidR="00B51F6D" w:rsidRDefault="00B51F6D" w:rsidP="008E4439">
            <w:pPr>
              <w:jc w:val="center"/>
            </w:pPr>
            <w:r>
              <w:rPr>
                <w:b/>
                <w:bCs/>
                <w:color w:val="FFFFFF"/>
                <w:sz w:val="20"/>
                <w:szCs w:val="20"/>
              </w:rPr>
              <w:t>Mejor modelo</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5C4EE4D" w14:textId="77777777" w:rsidR="00B51F6D" w:rsidRDefault="00B51F6D" w:rsidP="008E4439">
            <w:pPr>
              <w:jc w:val="center"/>
            </w:pPr>
            <w:r>
              <w:rPr>
                <w:b/>
                <w:bCs/>
                <w:color w:val="FFFFFF"/>
                <w:sz w:val="20"/>
                <w:szCs w:val="20"/>
              </w:rPr>
              <w:t>C-</w:t>
            </w:r>
            <w:proofErr w:type="spellStart"/>
            <w:r>
              <w:rPr>
                <w:b/>
                <w:bCs/>
                <w:color w:val="FFFFFF"/>
                <w:sz w:val="20"/>
                <w:szCs w:val="20"/>
              </w:rPr>
              <w:t>index</w:t>
            </w:r>
            <w:proofErr w:type="spellEnd"/>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EF6CDAC" w14:textId="77777777" w:rsidR="00B51F6D" w:rsidRDefault="00B51F6D" w:rsidP="008E4439">
            <w:pPr>
              <w:jc w:val="center"/>
            </w:pPr>
            <w:r>
              <w:rPr>
                <w:b/>
                <w:bCs/>
                <w:color w:val="FFFFFF"/>
                <w:sz w:val="20"/>
                <w:szCs w:val="20"/>
              </w:rPr>
              <w:t>Hallazgo principal</w:t>
            </w:r>
          </w:p>
        </w:tc>
      </w:tr>
      <w:tr w:rsidR="00B51F6D" w14:paraId="4D9AB4DC"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E151EE6" w14:textId="77777777" w:rsidR="00B51F6D" w:rsidRDefault="00B51F6D" w:rsidP="008E4439">
            <w:r>
              <w:rPr>
                <w:b/>
                <w:bCs/>
                <w:sz w:val="20"/>
                <w:szCs w:val="20"/>
              </w:rPr>
              <w:lastRenderedPageBreak/>
              <w:t>Curtis et al. (2012) [21]</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B4F3BD1" w14:textId="77777777" w:rsidR="00B51F6D" w:rsidRDefault="00B51F6D" w:rsidP="008E4439">
            <w:r>
              <w:rPr>
                <w:sz w:val="20"/>
                <w:szCs w:val="20"/>
              </w:rPr>
              <w:t>METABRIC</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9B687BC" w14:textId="77777777" w:rsidR="00B51F6D" w:rsidRDefault="00B51F6D" w:rsidP="008E4439">
            <w:r>
              <w:rPr>
                <w:sz w:val="20"/>
                <w:szCs w:val="20"/>
              </w:rPr>
              <w:t>Expresión génica + CNV</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A8203B8" w14:textId="77777777" w:rsidR="00B51F6D" w:rsidRDefault="00B51F6D" w:rsidP="008E4439">
            <w:proofErr w:type="spellStart"/>
            <w:r>
              <w:rPr>
                <w:sz w:val="20"/>
                <w:szCs w:val="20"/>
              </w:rPr>
              <w:t>Clustering</w:t>
            </w:r>
            <w:proofErr w:type="spellEnd"/>
            <w:r>
              <w:rPr>
                <w:sz w:val="20"/>
                <w:szCs w:val="20"/>
              </w:rPr>
              <w:t xml:space="preserve"> integrador</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D5B489" w14:textId="77777777" w:rsidR="00B51F6D" w:rsidRDefault="00B51F6D" w:rsidP="008E4439">
            <w:r>
              <w:rPr>
                <w:sz w:val="20"/>
                <w:szCs w:val="20"/>
              </w:rPr>
              <w:t>N/A</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97BCE00" w14:textId="77777777" w:rsidR="00B51F6D" w:rsidRDefault="00B51F6D" w:rsidP="008E4439">
            <w:r>
              <w:rPr>
                <w:sz w:val="20"/>
                <w:szCs w:val="20"/>
              </w:rPr>
              <w:t xml:space="preserve">10 subgrupos </w:t>
            </w:r>
            <w:proofErr w:type="spellStart"/>
            <w:r>
              <w:rPr>
                <w:sz w:val="20"/>
                <w:szCs w:val="20"/>
              </w:rPr>
              <w:t>IntClust</w:t>
            </w:r>
            <w:proofErr w:type="spellEnd"/>
            <w:r>
              <w:rPr>
                <w:sz w:val="20"/>
                <w:szCs w:val="20"/>
              </w:rPr>
              <w:t xml:space="preserve"> con pronóstico diferencial</w:t>
            </w:r>
          </w:p>
        </w:tc>
      </w:tr>
      <w:tr w:rsidR="00B51F6D" w14:paraId="737E4BE4"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319341D" w14:textId="77777777" w:rsidR="00B51F6D" w:rsidRDefault="00B51F6D" w:rsidP="008E4439">
            <w:r>
              <w:rPr>
                <w:b/>
                <w:bCs/>
                <w:sz w:val="20"/>
                <w:szCs w:val="20"/>
              </w:rPr>
              <w:t>Gao et al. (2019) [31]</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F10E5C" w14:textId="77777777" w:rsidR="00B51F6D" w:rsidRDefault="00B51F6D" w:rsidP="008E4439">
            <w:r>
              <w:rPr>
                <w:sz w:val="20"/>
                <w:szCs w:val="20"/>
              </w:rPr>
              <w:t>TCGA-BRCA + METABRIC</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2C0A063" w14:textId="77777777" w:rsidR="00B51F6D" w:rsidRDefault="00B51F6D" w:rsidP="008E4439">
            <w:r>
              <w:rPr>
                <w:sz w:val="20"/>
                <w:szCs w:val="20"/>
              </w:rPr>
              <w:t>Expresión génica + clínico</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2D5BBF4" w14:textId="77777777" w:rsidR="00B51F6D" w:rsidRDefault="00B51F6D" w:rsidP="008E4439">
            <w:r>
              <w:rPr>
                <w:sz w:val="20"/>
                <w:szCs w:val="20"/>
              </w:rPr>
              <w:t>RSF</w:t>
            </w:r>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9825C7" w14:textId="77777777" w:rsidR="00B51F6D" w:rsidRDefault="00B51F6D" w:rsidP="008E4439">
            <w:r>
              <w:rPr>
                <w:sz w:val="20"/>
                <w:szCs w:val="20"/>
              </w:rPr>
              <w:t>0,76 (TCGA) / 0,71 (METABRIC)</w:t>
            </w:r>
          </w:p>
        </w:tc>
        <w:tc>
          <w:tcPr>
            <w:tcW w:w="2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3EE2E97" w14:textId="77777777" w:rsidR="00B51F6D" w:rsidRDefault="00B51F6D" w:rsidP="008E4439">
            <w:r>
              <w:rPr>
                <w:sz w:val="20"/>
                <w:szCs w:val="20"/>
              </w:rPr>
              <w:t>15 genes clave; reducción de 5 puntos en validación externa</w:t>
            </w:r>
          </w:p>
        </w:tc>
      </w:tr>
      <w:tr w:rsidR="00B51F6D" w14:paraId="56F19013"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F325F64" w14:textId="77777777" w:rsidR="00B51F6D" w:rsidRDefault="00B51F6D" w:rsidP="008E4439">
            <w:proofErr w:type="spellStart"/>
            <w:r>
              <w:rPr>
                <w:b/>
                <w:bCs/>
                <w:sz w:val="20"/>
                <w:szCs w:val="20"/>
              </w:rPr>
              <w:t>Tapak</w:t>
            </w:r>
            <w:proofErr w:type="spellEnd"/>
            <w:r>
              <w:rPr>
                <w:b/>
                <w:bCs/>
                <w:sz w:val="20"/>
                <w:szCs w:val="20"/>
              </w:rPr>
              <w:t xml:space="preserve"> et al. (2019) [32]</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A825904" w14:textId="77777777" w:rsidR="00B51F6D" w:rsidRDefault="00B51F6D" w:rsidP="008E4439">
            <w:r>
              <w:rPr>
                <w:sz w:val="20"/>
                <w:szCs w:val="20"/>
              </w:rPr>
              <w:t>Clínico + proteómica</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9DD88D" w14:textId="77777777" w:rsidR="00B51F6D" w:rsidRDefault="00B51F6D" w:rsidP="008E4439">
            <w:r>
              <w:rPr>
                <w:sz w:val="20"/>
                <w:szCs w:val="20"/>
              </w:rPr>
              <w:t>Biomarcadores clínicos</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897ADB" w14:textId="77777777" w:rsidR="00B51F6D" w:rsidRDefault="00B51F6D" w:rsidP="008E4439">
            <w:proofErr w:type="spellStart"/>
            <w:r>
              <w:rPr>
                <w:sz w:val="20"/>
                <w:szCs w:val="20"/>
              </w:rPr>
              <w:t>DeepSurv</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C3AF108" w14:textId="77777777" w:rsidR="00B51F6D" w:rsidRDefault="00B51F6D" w:rsidP="008E4439">
            <w:r>
              <w:rPr>
                <w:sz w:val="20"/>
                <w:szCs w:val="20"/>
              </w:rPr>
              <w:t>0,74</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C3DB911" w14:textId="77777777" w:rsidR="00B51F6D" w:rsidRDefault="00B51F6D" w:rsidP="008E4439">
            <w:proofErr w:type="spellStart"/>
            <w:r>
              <w:rPr>
                <w:sz w:val="20"/>
                <w:szCs w:val="20"/>
              </w:rPr>
              <w:t>DeepSurv</w:t>
            </w:r>
            <w:proofErr w:type="spellEnd"/>
            <w:r>
              <w:rPr>
                <w:sz w:val="20"/>
                <w:szCs w:val="20"/>
              </w:rPr>
              <w:t xml:space="preserve"> supera a RSF y Cox con optimización cuidadosa de </w:t>
            </w:r>
            <w:proofErr w:type="spellStart"/>
            <w:r>
              <w:rPr>
                <w:sz w:val="20"/>
                <w:szCs w:val="20"/>
              </w:rPr>
              <w:t>HPs</w:t>
            </w:r>
            <w:proofErr w:type="spellEnd"/>
          </w:p>
        </w:tc>
      </w:tr>
      <w:tr w:rsidR="00B51F6D" w14:paraId="61A781F6"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C310D03" w14:textId="77777777" w:rsidR="00B51F6D" w:rsidRDefault="00B51F6D" w:rsidP="008E4439">
            <w:proofErr w:type="spellStart"/>
            <w:r>
              <w:rPr>
                <w:b/>
                <w:bCs/>
                <w:sz w:val="20"/>
                <w:szCs w:val="20"/>
              </w:rPr>
              <w:t>Meng</w:t>
            </w:r>
            <w:proofErr w:type="spellEnd"/>
            <w:r>
              <w:rPr>
                <w:b/>
                <w:bCs/>
                <w:sz w:val="20"/>
                <w:szCs w:val="20"/>
              </w:rPr>
              <w:t xml:space="preserve"> et al. (2021) [30]</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0CCD2FA" w14:textId="77777777" w:rsidR="00B51F6D" w:rsidRDefault="00B51F6D" w:rsidP="008E4439">
            <w:r>
              <w:rPr>
                <w:sz w:val="20"/>
                <w:szCs w:val="20"/>
              </w:rPr>
              <w:t>Revisión sistemática (36 estudios)</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C6A513" w14:textId="77777777" w:rsidR="00B51F6D" w:rsidRDefault="00B51F6D" w:rsidP="008E4439">
            <w:r>
              <w:rPr>
                <w:sz w:val="20"/>
                <w:szCs w:val="20"/>
              </w:rPr>
              <w:t>Variable (clínico/genómico)</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BB7A517" w14:textId="77777777" w:rsidR="00B51F6D" w:rsidRDefault="00B51F6D" w:rsidP="008E4439">
            <w:r>
              <w:rPr>
                <w:sz w:val="20"/>
                <w:szCs w:val="20"/>
              </w:rPr>
              <w:t xml:space="preserve">Ensemble </w:t>
            </w:r>
            <w:proofErr w:type="spellStart"/>
            <w:r>
              <w:rPr>
                <w:sz w:val="20"/>
                <w:szCs w:val="20"/>
              </w:rPr>
              <w:t>methods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F453F5E" w14:textId="77777777" w:rsidR="00B51F6D" w:rsidRDefault="00B51F6D" w:rsidP="008E4439">
            <w:r>
              <w:rPr>
                <w:sz w:val="20"/>
                <w:szCs w:val="20"/>
              </w:rPr>
              <w:t>0,59–0,83</w:t>
            </w:r>
          </w:p>
        </w:tc>
        <w:tc>
          <w:tcPr>
            <w:tcW w:w="2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E9CD515" w14:textId="77777777" w:rsidR="00B51F6D" w:rsidRDefault="00B51F6D" w:rsidP="008E4439">
            <w:r>
              <w:rPr>
                <w:sz w:val="20"/>
                <w:szCs w:val="20"/>
              </w:rPr>
              <w:t>Solo 1/36 estudios realizó validación externa</w:t>
            </w:r>
          </w:p>
        </w:tc>
      </w:tr>
      <w:tr w:rsidR="00B51F6D" w14:paraId="0E868F21"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31939B" w14:textId="77777777" w:rsidR="00B51F6D" w:rsidRDefault="00B51F6D" w:rsidP="008E4439">
            <w:proofErr w:type="spellStart"/>
            <w:r>
              <w:rPr>
                <w:b/>
                <w:bCs/>
                <w:sz w:val="20"/>
                <w:szCs w:val="20"/>
              </w:rPr>
              <w:t>Tong</w:t>
            </w:r>
            <w:proofErr w:type="spellEnd"/>
            <w:r>
              <w:rPr>
                <w:b/>
                <w:bCs/>
                <w:sz w:val="20"/>
                <w:szCs w:val="20"/>
              </w:rPr>
              <w:t xml:space="preserve"> et al. (2021) [17]</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F887F5" w14:textId="77777777" w:rsidR="00B51F6D" w:rsidRDefault="00B51F6D" w:rsidP="008E4439">
            <w:r>
              <w:rPr>
                <w:sz w:val="20"/>
                <w:szCs w:val="20"/>
              </w:rPr>
              <w:t>TCGA (15 tipos)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384BC83" w14:textId="77777777" w:rsidR="00B51F6D" w:rsidRDefault="00B51F6D" w:rsidP="008E4439">
            <w:r>
              <w:rPr>
                <w:sz w:val="20"/>
                <w:szCs w:val="20"/>
              </w:rPr>
              <w:t xml:space="preserve">mRNA + </w:t>
            </w:r>
            <w:proofErr w:type="spellStart"/>
            <w:r>
              <w:rPr>
                <w:sz w:val="20"/>
                <w:szCs w:val="20"/>
              </w:rPr>
              <w:t>miRNA</w:t>
            </w:r>
            <w:proofErr w:type="spellEnd"/>
            <w:r>
              <w:rPr>
                <w:sz w:val="20"/>
                <w:szCs w:val="20"/>
              </w:rPr>
              <w:t xml:space="preserve"> + metilación + CNV</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640C6D4" w14:textId="77777777" w:rsidR="00B51F6D" w:rsidRDefault="00B51F6D" w:rsidP="008E4439">
            <w:r>
              <w:rPr>
                <w:sz w:val="20"/>
                <w:szCs w:val="20"/>
              </w:rPr>
              <w:t>DCAP (Deep, multimodal)</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E1899AC" w14:textId="77777777" w:rsidR="00B51F6D" w:rsidRDefault="00B51F6D" w:rsidP="008E4439">
            <w:r>
              <w:rPr>
                <w:sz w:val="20"/>
                <w:szCs w:val="20"/>
              </w:rPr>
              <w:t>+5,9% vs unimodal</w:t>
            </w:r>
          </w:p>
        </w:tc>
        <w:tc>
          <w:tcPr>
            <w:tcW w:w="2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0CC091D" w14:textId="77777777" w:rsidR="00B51F6D" w:rsidRDefault="00B51F6D" w:rsidP="008E4439">
            <w:r>
              <w:rPr>
                <w:sz w:val="20"/>
                <w:szCs w:val="20"/>
              </w:rPr>
              <w:t>La integración multimodal mejora consistentemente al unimodal</w:t>
            </w:r>
          </w:p>
        </w:tc>
      </w:tr>
    </w:tbl>
    <w:p w14:paraId="5B2DA68D" w14:textId="77777777" w:rsidR="00B51F6D" w:rsidRDefault="00B51F6D" w:rsidP="00B51F6D">
      <w:pPr>
        <w:spacing w:after="100"/>
      </w:pPr>
    </w:p>
    <w:p w14:paraId="015B4698" w14:textId="77777777" w:rsidR="00B51F6D" w:rsidRDefault="00B51F6D" w:rsidP="00B51F6D">
      <w:pPr>
        <w:pStyle w:val="Ttulo2"/>
      </w:pPr>
      <w:bookmarkStart w:id="24" w:name="_Toc223802786"/>
      <w:r>
        <w:t>2.7 Estado del arte en cáncer de pulmón no microcítico (NSCLC)</w:t>
      </w:r>
      <w:bookmarkEnd w:id="24"/>
    </w:p>
    <w:p w14:paraId="25AFE0C1" w14:textId="77777777" w:rsidR="00B51F6D" w:rsidRDefault="00B51F6D" w:rsidP="00B51F6D">
      <w:pPr>
        <w:pStyle w:val="Ttulo3"/>
      </w:pPr>
      <w:bookmarkStart w:id="25" w:name="_Toc223802787"/>
      <w:r>
        <w:t>2.7.1 Heterogeneidad molecular y relevancia pronóstica</w:t>
      </w:r>
      <w:bookmarkEnd w:id="25"/>
    </w:p>
    <w:p w14:paraId="674E140B" w14:textId="77777777" w:rsidR="00B51F6D" w:rsidRDefault="00B51F6D" w:rsidP="00B51F6D">
      <w:pPr>
        <w:spacing w:after="160"/>
      </w:pPr>
      <w:r>
        <w:t>El cáncer de pulmón no microcítico (NSCLC) abarca aproximadamente el 85% de todos los cánceres de pulmón y se subdivide histológicamente en adenocarcinoma (LUAD, ~40%), carcinoma de células escamosas (LUSC, ~25%) y carcinoma de células grandes (~10%). Esta heterogeneidad histológica se corresponde con perfiles moleculares y pronósticos marcadamente distintos, lo que hace del NSCLC un objeto de estudio especialmente complejo y relevante para el análisis de supervivencia basado en genómica.</w:t>
      </w:r>
    </w:p>
    <w:p w14:paraId="3963DDB9" w14:textId="77777777" w:rsidR="00B51F6D" w:rsidRDefault="00B51F6D" w:rsidP="00B51F6D">
      <w:pPr>
        <w:spacing w:after="160"/>
      </w:pPr>
      <w:r>
        <w:t>El proyecto TCGA ha generado caracterizaciones moleculares exhaustivas tanto de LUAD [33] como de LUSC [34], identificando alteraciones moleculares recurrentes con implicaciones pronósticas y terapéuticas directas. En LUAD, las mutaciones en EGFR (presentes en ~15% de los casos en poblaciones occidentales y hasta 50% en poblaciones asiáticas), los reordenamientos de ALK y ROS1, y las mutaciones en KRAS son marcadores de tratamiento dirigido validados. En LUSC, las alteraciones en FGFR1, DDR2 y PIK3CA son los targets terapéuticos más prometedores, aunque con menor grado de validación clínica [24].</w:t>
      </w:r>
    </w:p>
    <w:p w14:paraId="473DDDC5" w14:textId="77777777" w:rsidR="00B51F6D" w:rsidRDefault="00B51F6D" w:rsidP="00B51F6D">
      <w:pPr>
        <w:pStyle w:val="Ttulo3"/>
      </w:pPr>
      <w:bookmarkStart w:id="26" w:name="_Toc223802788"/>
      <w:r>
        <w:t>2.7.2 Modelos de supervivencia en NSCLC basados en datos genómicos</w:t>
      </w:r>
      <w:bookmarkEnd w:id="26"/>
    </w:p>
    <w:p w14:paraId="2B71A70F" w14:textId="77777777" w:rsidR="00B51F6D" w:rsidRDefault="00B51F6D" w:rsidP="00B51F6D">
      <w:pPr>
        <w:spacing w:after="160"/>
      </w:pPr>
      <w:r>
        <w:t xml:space="preserve">La aplicación de modelos de machine learning al análisis de supervivencia en NSCLC ha recibido considerable atención en la literatura. Spooner et al. (2020) [11] realizaron uno </w:t>
      </w:r>
      <w:r>
        <w:lastRenderedPageBreak/>
        <w:t xml:space="preserve">de los estudios comparativos más completos hasta la fecha, evaluando cinco algoritmos (Cox LASSO, RSF, SVM, </w:t>
      </w:r>
      <w:proofErr w:type="spellStart"/>
      <w:r>
        <w:t>Gradient</w:t>
      </w:r>
      <w:proofErr w:type="spellEnd"/>
      <w:r>
        <w:t xml:space="preserve"> </w:t>
      </w:r>
      <w:proofErr w:type="spellStart"/>
      <w:r>
        <w:t>Boosting</w:t>
      </w:r>
      <w:proofErr w:type="spellEnd"/>
      <w:r>
        <w:t xml:space="preserve"> y </w:t>
      </w:r>
      <w:proofErr w:type="spellStart"/>
      <w:r>
        <w:t>DeepSurv</w:t>
      </w:r>
      <w:proofErr w:type="spellEnd"/>
      <w:r>
        <w:t>) sobre datos integrados de expresión génica del TCGA (LUAD y LUSC combinados, n = 959). Sus resultados indicaron que el RSF alcanzó el mayor C-</w:t>
      </w:r>
      <w:proofErr w:type="spellStart"/>
      <w:r>
        <w:t>index</w:t>
      </w:r>
      <w:proofErr w:type="spellEnd"/>
      <w:r>
        <w:t xml:space="preserve"> global (0,68), seguido de </w:t>
      </w:r>
      <w:proofErr w:type="spellStart"/>
      <w:r>
        <w:t>DeepSurv</w:t>
      </w:r>
      <w:proofErr w:type="spellEnd"/>
      <w:r>
        <w:t xml:space="preserve"> (0,66) y Cox LASSO (0,61). Los autores concluyeron que la ganancia de los modelos más complejos respecto al Cox penalizado era estadísticamente significativa pero modesta en términos absolutos, y que el beneficio del aprendizaje automático era más pronunciado en el subtipo LUSC que en LUAD.</w:t>
      </w:r>
    </w:p>
    <w:p w14:paraId="4222B1C8" w14:textId="77777777" w:rsidR="00B51F6D" w:rsidRDefault="00B51F6D" w:rsidP="00B51F6D">
      <w:pPr>
        <w:spacing w:after="160"/>
      </w:pPr>
      <w:r>
        <w:t>La separación del análisis por subtipo histológico (LUAD vs. LUSC) es una recomendación metodológica importante que emerge de varios estudios: dado que LUAD y LUSC presentan perfiles moleculares y de supervivencia distintos, el entrenamiento de un modelo conjunto puede resultar en un rendimiento inferior al de modelos específicos para cada subtipo. Lu et al. (2020) [35] demostraron empíricamente esta diferencia sobre TCGA, con C-</w:t>
      </w:r>
      <w:proofErr w:type="spellStart"/>
      <w:r>
        <w:t>index</w:t>
      </w:r>
      <w:proofErr w:type="spellEnd"/>
      <w:r>
        <w:t xml:space="preserve"> de 0,72 y 0,68 para modelos específicos de LUAD y LUSC respectivamente, frente a 0,65 para un modelo NSCLC combinado.</w:t>
      </w:r>
    </w:p>
    <w:p w14:paraId="480B1C7F" w14:textId="77777777" w:rsidR="00B51F6D" w:rsidRDefault="00B51F6D" w:rsidP="00B51F6D">
      <w:pPr>
        <w:pStyle w:val="Ttulo3"/>
      </w:pPr>
      <w:bookmarkStart w:id="27" w:name="_Toc223802789"/>
      <w:r>
        <w:t>2.7.3 Tabla resumen de estudios en cáncer de pulmón</w:t>
      </w:r>
      <w:bookmarkEnd w:id="27"/>
    </w:p>
    <w:p w14:paraId="6D5121FB" w14:textId="7B182CD4" w:rsidR="00B51F6D" w:rsidRDefault="00E840D2" w:rsidP="00E840D2">
      <w:pPr>
        <w:pStyle w:val="Descripcin"/>
      </w:pPr>
      <w:bookmarkStart w:id="28" w:name="_Toc223803124"/>
      <w:bookmarkStart w:id="29" w:name="_Toc223803284"/>
      <w:r>
        <w:t xml:space="preserve">Tabla </w:t>
      </w:r>
      <w:fldSimple w:instr=" SEQ Tabla \* ARABIC ">
        <w:r>
          <w:rPr>
            <w:noProof/>
          </w:rPr>
          <w:t>2</w:t>
        </w:r>
      </w:fldSimple>
      <w:r>
        <w:t xml:space="preserve">. </w:t>
      </w:r>
      <w:r w:rsidRPr="00934C5A">
        <w:t xml:space="preserve">Resumen de </w:t>
      </w:r>
      <w:proofErr w:type="spellStart"/>
      <w:r w:rsidRPr="00934C5A">
        <w:t>datasets</w:t>
      </w:r>
      <w:proofErr w:type="spellEnd"/>
      <w:r w:rsidRPr="00934C5A">
        <w:t>, tipos de datos de entrada, modelos predictivos y principales hallazgos en estudios recientes de predicción de supervivencia en cáncer de pulmón basados en datos genómicos y multi-</w:t>
      </w:r>
      <w:proofErr w:type="spellStart"/>
      <w:r w:rsidRPr="00934C5A">
        <w:t>ómicos</w:t>
      </w:r>
      <w:proofErr w:type="spellEnd"/>
      <w:r w:rsidRPr="00934C5A">
        <w:t>.</w:t>
      </w:r>
      <w:bookmarkEnd w:id="28"/>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500"/>
        <w:gridCol w:w="1226"/>
        <w:gridCol w:w="1000"/>
        <w:gridCol w:w="2200"/>
      </w:tblGrid>
      <w:tr w:rsidR="00B51F6D" w14:paraId="5BEC8E8C"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C917EF6" w14:textId="77777777" w:rsidR="00B51F6D" w:rsidRDefault="00B51F6D" w:rsidP="008E4439">
            <w:pPr>
              <w:jc w:val="center"/>
            </w:pPr>
            <w:r>
              <w:rPr>
                <w:b/>
                <w:bCs/>
                <w:color w:val="FFFFFF"/>
                <w:sz w:val="20"/>
                <w:szCs w:val="20"/>
              </w:rPr>
              <w:t>Estudio (año)</w:t>
            </w:r>
          </w:p>
        </w:tc>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4C0890B" w14:textId="77777777" w:rsidR="00B51F6D" w:rsidRDefault="00B51F6D" w:rsidP="008E4439">
            <w:pPr>
              <w:jc w:val="center"/>
            </w:pPr>
            <w:proofErr w:type="spellStart"/>
            <w:r>
              <w:rPr>
                <w:b/>
                <w:bCs/>
                <w:color w:val="FFFFFF"/>
                <w:sz w:val="20"/>
                <w:szCs w:val="20"/>
              </w:rPr>
              <w:t>Dataset</w:t>
            </w:r>
            <w:proofErr w:type="spellEnd"/>
            <w:r>
              <w:rPr>
                <w:b/>
                <w:bCs/>
                <w:color w:val="FFFFFF"/>
                <w:sz w:val="20"/>
                <w:szCs w:val="20"/>
              </w:rPr>
              <w:t>(s)</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956577D" w14:textId="77777777" w:rsidR="00B51F6D" w:rsidRDefault="00B51F6D" w:rsidP="008E4439">
            <w:pPr>
              <w:jc w:val="center"/>
            </w:pPr>
            <w:r>
              <w:rPr>
                <w:b/>
                <w:bCs/>
                <w:color w:val="FFFFFF"/>
                <w:sz w:val="20"/>
                <w:szCs w:val="20"/>
              </w:rPr>
              <w:t>Datos de entrada</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0675737" w14:textId="77777777" w:rsidR="00B51F6D" w:rsidRDefault="00B51F6D" w:rsidP="008E4439">
            <w:pPr>
              <w:jc w:val="center"/>
            </w:pPr>
            <w:r>
              <w:rPr>
                <w:b/>
                <w:bCs/>
                <w:color w:val="FFFFFF"/>
                <w:sz w:val="20"/>
                <w:szCs w:val="20"/>
              </w:rPr>
              <w:t>Mejor modelo</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78995C0" w14:textId="77777777" w:rsidR="00B51F6D" w:rsidRDefault="00B51F6D" w:rsidP="008E4439">
            <w:pPr>
              <w:jc w:val="center"/>
            </w:pPr>
            <w:r>
              <w:rPr>
                <w:b/>
                <w:bCs/>
                <w:color w:val="FFFFFF"/>
                <w:sz w:val="20"/>
                <w:szCs w:val="20"/>
              </w:rPr>
              <w:t>C-</w:t>
            </w:r>
            <w:proofErr w:type="spellStart"/>
            <w:r>
              <w:rPr>
                <w:b/>
                <w:bCs/>
                <w:color w:val="FFFFFF"/>
                <w:sz w:val="20"/>
                <w:szCs w:val="20"/>
              </w:rPr>
              <w:t>index</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442A625" w14:textId="77777777" w:rsidR="00B51F6D" w:rsidRDefault="00B51F6D" w:rsidP="008E4439">
            <w:pPr>
              <w:jc w:val="center"/>
            </w:pPr>
            <w:r>
              <w:rPr>
                <w:b/>
                <w:bCs/>
                <w:color w:val="FFFFFF"/>
                <w:sz w:val="20"/>
                <w:szCs w:val="20"/>
              </w:rPr>
              <w:t>Hallazgo principal</w:t>
            </w:r>
          </w:p>
        </w:tc>
      </w:tr>
      <w:tr w:rsidR="00B51F6D" w14:paraId="4F02C37D"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D256A3C" w14:textId="77777777" w:rsidR="00B51F6D" w:rsidRDefault="00B51F6D" w:rsidP="008E4439">
            <w:r>
              <w:rPr>
                <w:b/>
                <w:bCs/>
                <w:sz w:val="20"/>
                <w:szCs w:val="20"/>
              </w:rPr>
              <w:t>TCGA LUAD Network (2014) [33]</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F692F87" w14:textId="77777777" w:rsidR="00B51F6D" w:rsidRDefault="00B51F6D" w:rsidP="008E4439">
            <w:r>
              <w:rPr>
                <w:sz w:val="20"/>
                <w:szCs w:val="20"/>
              </w:rPr>
              <w:t>TCGA-LUAD</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1511C91" w14:textId="77777777" w:rsidR="00B51F6D" w:rsidRDefault="00B51F6D" w:rsidP="008E4439">
            <w:proofErr w:type="spellStart"/>
            <w:r>
              <w:rPr>
                <w:sz w:val="20"/>
                <w:szCs w:val="20"/>
              </w:rPr>
              <w:t>Multiómico</w:t>
            </w:r>
            <w:proofErr w:type="spellEnd"/>
            <w:r>
              <w:rPr>
                <w:sz w:val="20"/>
                <w:szCs w:val="20"/>
              </w:rPr>
              <w:t xml:space="preserve"> completo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FC1CE4D" w14:textId="77777777" w:rsidR="00B51F6D" w:rsidRDefault="00B51F6D" w:rsidP="008E4439">
            <w:r>
              <w:rPr>
                <w:sz w:val="20"/>
                <w:szCs w:val="20"/>
              </w:rPr>
              <w:t>Análisis de subtipos</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91441D5" w14:textId="77777777" w:rsidR="00B51F6D" w:rsidRDefault="00B51F6D" w:rsidP="008E4439">
            <w:r>
              <w:rPr>
                <w:sz w:val="20"/>
                <w:szCs w:val="20"/>
              </w:rPr>
              <w:t>N/A</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92E4466" w14:textId="77777777" w:rsidR="00B51F6D" w:rsidRDefault="00B51F6D" w:rsidP="008E4439">
            <w:r>
              <w:rPr>
                <w:sz w:val="20"/>
                <w:szCs w:val="20"/>
              </w:rPr>
              <w:t>3 subtipos moleculares con perfiles de supervivencia diferenciados</w:t>
            </w:r>
          </w:p>
        </w:tc>
      </w:tr>
      <w:tr w:rsidR="00B51F6D" w14:paraId="6420861B"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12625C" w14:textId="77777777" w:rsidR="00B51F6D" w:rsidRDefault="00B51F6D" w:rsidP="008E4439">
            <w:r>
              <w:rPr>
                <w:b/>
                <w:bCs/>
                <w:sz w:val="20"/>
                <w:szCs w:val="20"/>
              </w:rPr>
              <w:t>Spooner et al. (2020) [11]</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5435FE" w14:textId="77777777" w:rsidR="00B51F6D" w:rsidRDefault="00B51F6D" w:rsidP="008E4439">
            <w:r>
              <w:rPr>
                <w:sz w:val="20"/>
                <w:szCs w:val="20"/>
              </w:rPr>
              <w:t>TCGA-LUAD+LUSC</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DA8318F" w14:textId="77777777" w:rsidR="00B51F6D" w:rsidRDefault="00B51F6D" w:rsidP="008E4439">
            <w:r>
              <w:rPr>
                <w:sz w:val="20"/>
                <w:szCs w:val="20"/>
              </w:rPr>
              <w:t>Expresión génica</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881FE15" w14:textId="77777777" w:rsidR="00B51F6D" w:rsidRDefault="00B51F6D" w:rsidP="008E4439">
            <w:r>
              <w:rPr>
                <w:sz w:val="20"/>
                <w:szCs w:val="20"/>
              </w:rPr>
              <w:t>RSF</w:t>
            </w:r>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DFD623E" w14:textId="77777777" w:rsidR="00B51F6D" w:rsidRDefault="00B51F6D" w:rsidP="008E4439">
            <w:r>
              <w:rPr>
                <w:sz w:val="20"/>
                <w:szCs w:val="20"/>
              </w:rPr>
              <w:t>0,68</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CAEAC9B" w14:textId="77777777" w:rsidR="00B51F6D" w:rsidRDefault="00B51F6D" w:rsidP="008E4439">
            <w:r>
              <w:rPr>
                <w:sz w:val="20"/>
                <w:szCs w:val="20"/>
              </w:rPr>
              <w:t xml:space="preserve">RSF supera a </w:t>
            </w:r>
            <w:proofErr w:type="spellStart"/>
            <w:r>
              <w:rPr>
                <w:sz w:val="20"/>
                <w:szCs w:val="20"/>
              </w:rPr>
              <w:t>DeepSurv</w:t>
            </w:r>
            <w:proofErr w:type="spellEnd"/>
            <w:r>
              <w:rPr>
                <w:sz w:val="20"/>
                <w:szCs w:val="20"/>
              </w:rPr>
              <w:t xml:space="preserve"> y Cox; ventaja más pronunciada en LUSC</w:t>
            </w:r>
          </w:p>
        </w:tc>
      </w:tr>
      <w:tr w:rsidR="00B51F6D" w14:paraId="7BE336D3"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EC5A4CE" w14:textId="77777777" w:rsidR="00B51F6D" w:rsidRDefault="00B51F6D" w:rsidP="008E4439">
            <w:r>
              <w:rPr>
                <w:b/>
                <w:bCs/>
                <w:sz w:val="20"/>
                <w:szCs w:val="20"/>
              </w:rPr>
              <w:t>Lu et al. (2020) [35]</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F505B5D" w14:textId="77777777" w:rsidR="00B51F6D" w:rsidRDefault="00B51F6D" w:rsidP="008E4439">
            <w:r>
              <w:rPr>
                <w:sz w:val="20"/>
                <w:szCs w:val="20"/>
              </w:rPr>
              <w:t>TCGA-LUAD+LUSC</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8CDC12D" w14:textId="77777777" w:rsidR="00B51F6D" w:rsidRDefault="00B51F6D" w:rsidP="008E4439">
            <w:r>
              <w:rPr>
                <w:sz w:val="20"/>
                <w:szCs w:val="20"/>
              </w:rPr>
              <w:t>Expresión génica + mutaciones</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8788C47" w14:textId="77777777" w:rsidR="00B51F6D" w:rsidRDefault="00B51F6D" w:rsidP="008E4439">
            <w:r>
              <w:rPr>
                <w:sz w:val="20"/>
                <w:szCs w:val="20"/>
              </w:rPr>
              <w:t>RSF específico por subtipo</w:t>
            </w:r>
          </w:p>
        </w:tc>
        <w:tc>
          <w:tcPr>
            <w:tcW w:w="10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3AA4AB9" w14:textId="77777777" w:rsidR="00B51F6D" w:rsidRDefault="00B51F6D" w:rsidP="008E4439">
            <w:r>
              <w:rPr>
                <w:sz w:val="20"/>
                <w:szCs w:val="20"/>
              </w:rPr>
              <w:t>0,72 (LUAD)</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7016743" w14:textId="77777777" w:rsidR="00B51F6D" w:rsidRDefault="00B51F6D" w:rsidP="008E4439">
            <w:r>
              <w:rPr>
                <w:sz w:val="20"/>
                <w:szCs w:val="20"/>
              </w:rPr>
              <w:t>Modelos específicos por subtipo superan modelos NSCLC combinados</w:t>
            </w:r>
          </w:p>
        </w:tc>
      </w:tr>
      <w:tr w:rsidR="00B51F6D" w14:paraId="1B849914" w14:textId="77777777" w:rsidTr="008E4439">
        <w:tc>
          <w:tcPr>
            <w:tcW w:w="18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6BB336A" w14:textId="77777777" w:rsidR="00B51F6D" w:rsidRDefault="00B51F6D" w:rsidP="008E4439">
            <w:r>
              <w:rPr>
                <w:b/>
                <w:bCs/>
                <w:sz w:val="20"/>
                <w:szCs w:val="20"/>
              </w:rPr>
              <w:t>Huang et al. (2020) [14]</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6B03F99" w14:textId="77777777" w:rsidR="00B51F6D" w:rsidRDefault="00B51F6D" w:rsidP="008E4439">
            <w:r>
              <w:rPr>
                <w:sz w:val="20"/>
                <w:szCs w:val="20"/>
              </w:rPr>
              <w:t>TCGA (14 tipos)</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284C579" w14:textId="77777777" w:rsidR="00B51F6D" w:rsidRDefault="00B51F6D" w:rsidP="008E4439">
            <w:r>
              <w:rPr>
                <w:sz w:val="20"/>
                <w:szCs w:val="20"/>
              </w:rPr>
              <w:t>Expresión génica</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A987439" w14:textId="77777777" w:rsidR="00B51F6D" w:rsidRDefault="00B51F6D" w:rsidP="008E4439">
            <w:proofErr w:type="spellStart"/>
            <w:r>
              <w:rPr>
                <w:sz w:val="20"/>
                <w:szCs w:val="20"/>
              </w:rPr>
              <w:t>DeepSurv</w:t>
            </w:r>
            <w:proofErr w:type="spellEnd"/>
            <w:r>
              <w:rPr>
                <w:sz w:val="20"/>
                <w:szCs w:val="20"/>
              </w:rPr>
              <w:t xml:space="preserve"> (8/14 tipos)</w:t>
            </w:r>
          </w:p>
        </w:tc>
        <w:tc>
          <w:tcPr>
            <w:tcW w:w="10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5AF6A34" w14:textId="77777777" w:rsidR="00B51F6D" w:rsidRDefault="00B51F6D" w:rsidP="008E4439">
            <w:r>
              <w:rPr>
                <w:sz w:val="20"/>
                <w:szCs w:val="20"/>
              </w:rPr>
              <w:t>Variable</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58A08E9" w14:textId="77777777" w:rsidR="00B51F6D" w:rsidRDefault="00B51F6D" w:rsidP="008E4439">
            <w:proofErr w:type="spellStart"/>
            <w:r>
              <w:rPr>
                <w:sz w:val="20"/>
                <w:szCs w:val="20"/>
              </w:rPr>
              <w:t>DeepSurv</w:t>
            </w:r>
            <w:proofErr w:type="spellEnd"/>
            <w:r>
              <w:rPr>
                <w:sz w:val="20"/>
                <w:szCs w:val="20"/>
              </w:rPr>
              <w:t xml:space="preserve"> supera RSF y Cox en la mayoría de tipos; dependiente del n muestral</w:t>
            </w:r>
          </w:p>
        </w:tc>
      </w:tr>
    </w:tbl>
    <w:p w14:paraId="48F16437" w14:textId="77777777" w:rsidR="00B51F6D" w:rsidRDefault="00B51F6D" w:rsidP="00B51F6D">
      <w:pPr>
        <w:spacing w:after="100"/>
      </w:pPr>
    </w:p>
    <w:p w14:paraId="6F9E648D" w14:textId="77777777" w:rsidR="00B51F6D" w:rsidRDefault="00B51F6D" w:rsidP="00B51F6D">
      <w:pPr>
        <w:pStyle w:val="Ttulo2"/>
      </w:pPr>
      <w:bookmarkStart w:id="30" w:name="_Toc223802790"/>
      <w:r>
        <w:t xml:space="preserve">2.8 Validación cruzada entre </w:t>
      </w:r>
      <w:proofErr w:type="spellStart"/>
      <w:r>
        <w:t>datasets</w:t>
      </w:r>
      <w:proofErr w:type="spellEnd"/>
      <w:r>
        <w:t xml:space="preserve"> y generalización de modelos</w:t>
      </w:r>
      <w:bookmarkEnd w:id="30"/>
    </w:p>
    <w:p w14:paraId="2A845582" w14:textId="77777777" w:rsidR="00B51F6D" w:rsidRDefault="00B51F6D" w:rsidP="00B51F6D">
      <w:pPr>
        <w:pStyle w:val="Ttulo3"/>
      </w:pPr>
      <w:bookmarkStart w:id="31" w:name="_Toc223802791"/>
      <w:r>
        <w:t>2.8.1 Importancia y estado actual</w:t>
      </w:r>
      <w:bookmarkEnd w:id="31"/>
    </w:p>
    <w:p w14:paraId="31D11F70" w14:textId="77777777" w:rsidR="00B51F6D" w:rsidRDefault="00B51F6D" w:rsidP="00B51F6D">
      <w:pPr>
        <w:spacing w:after="160"/>
      </w:pPr>
      <w:r>
        <w:lastRenderedPageBreak/>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proofErr w:type="spellStart"/>
      <w:r>
        <w:t>Meng</w:t>
      </w:r>
      <w:proofErr w:type="spellEnd"/>
      <w:r>
        <w:t xml:space="preserve"> et al. (2021) [30] constató que el 97% de los estudios revisados sobre cáncer de mama no realizaron validación externa. </w:t>
      </w:r>
      <w:proofErr w:type="spellStart"/>
      <w:r>
        <w:t>Dhiman</w:t>
      </w:r>
      <w:proofErr w:type="spellEnd"/>
      <w:r>
        <w:t xml:space="preserve"> et al. (2025) [36] confirmaron este hallazgo en una revisión más amplia, identificando que el riesgo de sesgo metodológico en este tipo de estudios es elevado o muy elevado en más del 80% de los trabajos publicados.</w:t>
      </w:r>
    </w:p>
    <w:p w14:paraId="3EAFE2E8" w14:textId="77777777" w:rsidR="00B51F6D" w:rsidRDefault="00B51F6D" w:rsidP="00B51F6D">
      <w:pPr>
        <w:spacing w:after="160"/>
      </w:pPr>
      <w:r>
        <w:t xml:space="preserve">Este déficit tiene implicaciones directas en la aplicabilidad clínica de los modelos desarrollados. </w:t>
      </w:r>
      <w:proofErr w:type="spellStart"/>
      <w:r>
        <w:t>Steyerberg</w:t>
      </w:r>
      <w:proofErr w:type="spellEnd"/>
      <w:r>
        <w:t xml:space="preserve"> y </w:t>
      </w:r>
      <w:proofErr w:type="spellStart"/>
      <w:r>
        <w:t>Harrell</w:t>
      </w:r>
      <w:proofErr w:type="spellEnd"/>
      <w:r>
        <w:t xml:space="preserve"> (2021) [37] argumentan que la validación interna (ya sea mediante partición </w:t>
      </w:r>
      <w:proofErr w:type="spellStart"/>
      <w:r>
        <w:t>train</w:t>
      </w:r>
      <w:proofErr w:type="spellEnd"/>
      <w:r>
        <w:t>/test o validación cruzada) solo permite estimar la varianza del rendimiento, pero no puede detectar los sesgos derivados de la selección de la cohorte, 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7CA0A23D" w14:textId="77777777" w:rsidR="00B51F6D" w:rsidRDefault="00B51F6D" w:rsidP="00B51F6D">
      <w:pPr>
        <w:pStyle w:val="Ttulo3"/>
      </w:pPr>
      <w:bookmarkStart w:id="32" w:name="_Toc223802792"/>
      <w:r>
        <w:t>2.8.2 Estudios de validación TCGA – METABRIC</w:t>
      </w:r>
      <w:bookmarkEnd w:id="32"/>
    </w:p>
    <w:p w14:paraId="397CF4B3" w14:textId="77777777" w:rsidR="00B51F6D" w:rsidRDefault="00B51F6D" w:rsidP="00B51F6D">
      <w:pPr>
        <w:spacing w:after="160"/>
      </w:pPr>
      <w:r>
        <w:t xml:space="preserve">En el ámbito específico de cáncer de mama con datos genómicos, la combinación TCGA-BRCA + METABRIC es la más frecuentemente utilizada para validación cruzada. La diferencia fundamental entre ambos </w:t>
      </w:r>
      <w:proofErr w:type="spellStart"/>
      <w:r>
        <w:t>datasets</w:t>
      </w:r>
      <w:proofErr w:type="spellEnd"/>
      <w:r>
        <w:t xml:space="preserve"> (RNA-</w:t>
      </w:r>
      <w:proofErr w:type="spellStart"/>
      <w:r>
        <w:t>seq</w:t>
      </w:r>
      <w:proofErr w:type="spellEnd"/>
      <w:r>
        <w:t xml:space="preserve"> vs. </w:t>
      </w:r>
      <w:proofErr w:type="spellStart"/>
      <w:r>
        <w:t>microarrays</w:t>
      </w:r>
      <w:proofErr w:type="spellEnd"/>
      <w:r>
        <w:t>) plantea la necesidad de normalización cruzada o corrección de efectos de lote antes de la comparación directa de expresión génica a nivel de valores brutos. Sin embargo, los métodos de puntuación de actividad de vías (</w:t>
      </w:r>
      <w:proofErr w:type="spellStart"/>
      <w:r>
        <w:t>pathway</w:t>
      </w:r>
      <w:proofErr w:type="spellEnd"/>
      <w:r>
        <w:t xml:space="preserve"> </w:t>
      </w:r>
      <w:proofErr w:type="spellStart"/>
      <w:r>
        <w:t>activity</w:t>
      </w:r>
      <w:proofErr w:type="spellEnd"/>
      <w:r>
        <w:t xml:space="preserve"> scores) o de genes de firma (</w:t>
      </w:r>
      <w:proofErr w:type="spellStart"/>
      <w:r>
        <w:t>signature</w:t>
      </w:r>
      <w:proofErr w:type="spellEnd"/>
      <w:r>
        <w:t xml:space="preserve"> scores), al operar en un espacio de características derivadas, son más robustos frente a estas diferencias de plataforma [38].</w:t>
      </w:r>
    </w:p>
    <w:p w14:paraId="09C4384B" w14:textId="77777777" w:rsidR="00B51F6D" w:rsidRDefault="00B51F6D" w:rsidP="00B51F6D">
      <w:pPr>
        <w:spacing w:after="160"/>
      </w:pPr>
      <w:r>
        <w:t>Gao et al. (2019) [31] demostraron que la validación cruzada TCGA→METABRIC resultaba en una reducción media de 4-6 puntos porcentuales en C-</w:t>
      </w:r>
      <w:proofErr w:type="spellStart"/>
      <w:r>
        <w:t>index</w:t>
      </w:r>
      <w:proofErr w:type="spellEnd"/>
      <w:r>
        <w:t>, atribuible tanto a las diferencias de plataforma como a las diferencias en la composición clínica de las cohortes (METABRIC incluye una mayor proporción de pacientes postmenopáusicas y tiene un mayor período de seguimiento). La dirección METABRIC→TCGA no ha sido analizada con la misma frecuencia, en parte porque METABRIC se considera la cohorte de referencia de mayor calidad para cáncer de mama.</w:t>
      </w:r>
    </w:p>
    <w:p w14:paraId="47B050BD" w14:textId="77777777" w:rsidR="00B51F6D" w:rsidRDefault="00B51F6D" w:rsidP="00B51F6D">
      <w:pPr>
        <w:pStyle w:val="Ttulo3"/>
      </w:pPr>
      <w:bookmarkStart w:id="33" w:name="_Toc223802793"/>
      <w:r>
        <w:t xml:space="preserve">2.8.3 Estrategias de armonización entre </w:t>
      </w:r>
      <w:proofErr w:type="spellStart"/>
      <w:r>
        <w:t>datasets</w:t>
      </w:r>
      <w:bookmarkEnd w:id="33"/>
      <w:proofErr w:type="spellEnd"/>
    </w:p>
    <w:p w14:paraId="5216450A" w14:textId="77777777" w:rsidR="00B51F6D" w:rsidRDefault="00B51F6D" w:rsidP="00B51F6D">
      <w:pPr>
        <w:spacing w:after="160"/>
      </w:pPr>
      <w:r>
        <w:t xml:space="preserve">Para mitigar el impacto de las diferencias entre </w:t>
      </w:r>
      <w:proofErr w:type="spellStart"/>
      <w:r>
        <w:t>datasets</w:t>
      </w:r>
      <w:proofErr w:type="spellEnd"/>
      <w:r>
        <w:t>, se han desarrollado diversas estrategias metodológicas. Jensen et al. (2021) [20] describieron el proceso de armonización del GDC, que reanaliza todos los datos del TCGA con pipelines estandarizados para minimizar las diferencias debidas al procesamiento computacional. Para las diferencias de plataforma tecnológica (</w:t>
      </w:r>
      <w:proofErr w:type="spellStart"/>
      <w:r>
        <w:t>microarrays</w:t>
      </w:r>
      <w:proofErr w:type="spellEnd"/>
      <w:r>
        <w:t xml:space="preserve"> vs. RNA-</w:t>
      </w:r>
      <w:proofErr w:type="spellStart"/>
      <w:r>
        <w:t>seq</w:t>
      </w:r>
      <w:proofErr w:type="spellEnd"/>
      <w:r>
        <w:t xml:space="preserve">), métodos como </w:t>
      </w:r>
      <w:proofErr w:type="spellStart"/>
      <w:r>
        <w:t>ComBat</w:t>
      </w:r>
      <w:proofErr w:type="spellEnd"/>
      <w:r>
        <w:t xml:space="preserve"> [39] —un modelo de efectos mixtos bayesiano para corrección de </w:t>
      </w:r>
      <w:proofErr w:type="spellStart"/>
      <w:r>
        <w:t>batch</w:t>
      </w:r>
      <w:proofErr w:type="spellEnd"/>
      <w:r>
        <w:t xml:space="preserve"> </w:t>
      </w:r>
      <w:proofErr w:type="spellStart"/>
      <w:r>
        <w:t>effects</w:t>
      </w:r>
      <w:proofErr w:type="spellEnd"/>
      <w:r>
        <w:t>— o la transformación a rangos percentiles de expresión son los más utilizados en la literatura. En el contexto de este TFM, la estrategia de armonización adoptada se documentará y justificará en el Capítulo 3 (Datos).</w:t>
      </w:r>
    </w:p>
    <w:p w14:paraId="3B637D6E" w14:textId="77777777" w:rsidR="00B51F6D" w:rsidRDefault="00B51F6D" w:rsidP="00B51F6D">
      <w:pPr>
        <w:spacing w:after="100"/>
      </w:pPr>
    </w:p>
    <w:p w14:paraId="72CFB4E8" w14:textId="77777777" w:rsidR="00B51F6D" w:rsidRDefault="00B51F6D" w:rsidP="00B51F6D">
      <w:pPr>
        <w:pStyle w:val="Ttulo2"/>
      </w:pPr>
      <w:bookmarkStart w:id="34" w:name="_Toc223802794"/>
      <w:r>
        <w:t>2.9 Métricas de evaluación en modelos de supervivencia</w:t>
      </w:r>
      <w:bookmarkEnd w:id="34"/>
    </w:p>
    <w:p w14:paraId="255C2138" w14:textId="77777777" w:rsidR="00B51F6D" w:rsidRDefault="00B51F6D" w:rsidP="00B51F6D">
      <w:pPr>
        <w:pStyle w:val="Ttulo3"/>
      </w:pPr>
      <w:bookmarkStart w:id="35" w:name="_Toc223802795"/>
      <w:r>
        <w:t>2.9.1 El índice de concordancia (C-</w:t>
      </w:r>
      <w:proofErr w:type="spellStart"/>
      <w:r>
        <w:t>index</w:t>
      </w:r>
      <w:proofErr w:type="spellEnd"/>
      <w:r>
        <w:t>)</w:t>
      </w:r>
      <w:bookmarkEnd w:id="35"/>
    </w:p>
    <w:p w14:paraId="5A731B69" w14:textId="77777777" w:rsidR="00B51F6D" w:rsidRDefault="00B51F6D" w:rsidP="00B51F6D">
      <w:pPr>
        <w:spacing w:after="160"/>
      </w:pPr>
      <w:r>
        <w:t>El índice de concordancia (</w:t>
      </w:r>
      <w:proofErr w:type="spellStart"/>
      <w:r>
        <w:t>Harrell's</w:t>
      </w:r>
      <w:proofErr w:type="spellEnd"/>
      <w:r>
        <w:t xml:space="preserve"> C-</w:t>
      </w:r>
      <w:proofErr w:type="spellStart"/>
      <w:r>
        <w:t>index</w:t>
      </w:r>
      <w:proofErr w:type="spellEnd"/>
      <w:r>
        <w:t>) [40] 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0CEF8295" w14:textId="77777777" w:rsidR="00B51F6D" w:rsidRDefault="00B51F6D" w:rsidP="00B51F6D">
      <w:pPr>
        <w:spacing w:after="160"/>
      </w:pPr>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p>
    <w:p w14:paraId="5B715622" w14:textId="77777777" w:rsidR="00B51F6D" w:rsidRDefault="00B51F6D" w:rsidP="00B51F6D">
      <w:pPr>
        <w:pStyle w:val="Ttulo3"/>
      </w:pPr>
      <w:bookmarkStart w:id="36" w:name="_Toc223802796"/>
      <w:r>
        <w:t xml:space="preserve">2.9.2 El </w:t>
      </w:r>
      <w:proofErr w:type="spellStart"/>
      <w:r>
        <w:t>Brier</w:t>
      </w:r>
      <w:proofErr w:type="spellEnd"/>
      <w:r>
        <w:t xml:space="preserve"> Score integrado</w:t>
      </w:r>
      <w:bookmarkEnd w:id="36"/>
    </w:p>
    <w:p w14:paraId="2602458C" w14:textId="77777777" w:rsidR="00B51F6D" w:rsidRDefault="00B51F6D" w:rsidP="00B51F6D">
      <w:pPr>
        <w:spacing w:after="160"/>
      </w:pPr>
      <w:r>
        <w:t xml:space="preserve">El </w:t>
      </w:r>
      <w:proofErr w:type="spellStart"/>
      <w:r>
        <w:t>Brier</w:t>
      </w:r>
      <w:proofErr w:type="spellEnd"/>
      <w:r>
        <w:t xml:space="preserve"> Score [41] 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sujetos independientemente de sus características (modelo nulo). En la práctica, los modelos bien calibrados en datos oncológicos alcanzan IBS en el rango 0,15-0,22.</w:t>
      </w:r>
    </w:p>
    <w:p w14:paraId="4032D49D" w14:textId="77777777" w:rsidR="00B51F6D" w:rsidRDefault="00B51F6D" w:rsidP="00B51F6D">
      <w:pPr>
        <w:pStyle w:val="Ttulo3"/>
      </w:pPr>
      <w:bookmarkStart w:id="37" w:name="_Toc223802797"/>
      <w:r>
        <w:t>2.9.3 El test de log-</w:t>
      </w:r>
      <w:proofErr w:type="spellStart"/>
      <w:r>
        <w:t>rank</w:t>
      </w:r>
      <w:proofErr w:type="spellEnd"/>
      <w:r>
        <w:t xml:space="preserve"> y la estratificación de riesgo</w:t>
      </w:r>
      <w:bookmarkEnd w:id="37"/>
    </w:p>
    <w:p w14:paraId="7913732F" w14:textId="77777777" w:rsidR="00B51F6D" w:rsidRDefault="00B51F6D" w:rsidP="00B51F6D">
      <w:pPr>
        <w:spacing w:after="160"/>
      </w:pPr>
      <w:r>
        <w:t>El test de log-</w:t>
      </w:r>
      <w:proofErr w:type="spellStart"/>
      <w:r>
        <w:t>rank</w:t>
      </w:r>
      <w:proofErr w:type="spellEnd"/>
      <w:r>
        <w:t xml:space="preserve"> [42] 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7A36BE58" w14:textId="77777777" w:rsidR="00B51F6D" w:rsidRDefault="00B51F6D" w:rsidP="00B51F6D">
      <w:pPr>
        <w:spacing w:after="100"/>
      </w:pPr>
    </w:p>
    <w:p w14:paraId="213121F1" w14:textId="77777777" w:rsidR="00B51F6D" w:rsidRDefault="00B51F6D" w:rsidP="00B51F6D">
      <w:pPr>
        <w:pStyle w:val="Ttulo2"/>
      </w:pPr>
      <w:bookmarkStart w:id="38" w:name="_Toc223802798"/>
      <w:r>
        <w:t>2.10 Síntesis comparativa y brechas de conocimiento</w:t>
      </w:r>
      <w:bookmarkEnd w:id="38"/>
    </w:p>
    <w:p w14:paraId="74EFEAA5" w14:textId="77777777" w:rsidR="00B51F6D" w:rsidRDefault="00B51F6D" w:rsidP="00B51F6D">
      <w:pPr>
        <w:pStyle w:val="Ttulo3"/>
      </w:pPr>
      <w:bookmarkStart w:id="39" w:name="_Toc223802799"/>
      <w:r>
        <w:t>2.10.1 Tabla comparativa global de metodologías</w:t>
      </w:r>
      <w:bookmarkEnd w:id="39"/>
    </w:p>
    <w:p w14:paraId="3309C2D0" w14:textId="37C4C411" w:rsidR="00B51F6D" w:rsidRDefault="00E840D2" w:rsidP="00E840D2">
      <w:pPr>
        <w:pStyle w:val="Descripcin"/>
      </w:pPr>
      <w:bookmarkStart w:id="40" w:name="_Toc223803125"/>
      <w:bookmarkStart w:id="41" w:name="_Toc223803285"/>
      <w:r>
        <w:t xml:space="preserve">Tabla </w:t>
      </w:r>
      <w:fldSimple w:instr=" SEQ Tabla \* ARABIC ">
        <w:r>
          <w:rPr>
            <w:noProof/>
          </w:rPr>
          <w:t>3</w:t>
        </w:r>
      </w:fldSimple>
      <w:r>
        <w:t xml:space="preserve">. </w:t>
      </w:r>
      <w:r w:rsidRPr="00BD0B9B">
        <w:t>Resumen de métodos utilizados en análisis de supervivencia, incluyendo su tipo de modelo, capacidad para manejar datos de alta dimensionalidad, modelar relaciones no lineales y su nivel de interpretabilidad.</w:t>
      </w:r>
      <w:bookmarkEnd w:id="40"/>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596"/>
        <w:gridCol w:w="1300"/>
        <w:gridCol w:w="1248"/>
        <w:gridCol w:w="1222"/>
        <w:gridCol w:w="2119"/>
      </w:tblGrid>
      <w:tr w:rsidR="00B51F6D" w14:paraId="22BF2599"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837D9B" w14:textId="77777777" w:rsidR="00B51F6D" w:rsidRDefault="00B51F6D" w:rsidP="008E4439">
            <w:pPr>
              <w:jc w:val="center"/>
            </w:pPr>
            <w:r>
              <w:rPr>
                <w:b/>
                <w:bCs/>
                <w:color w:val="FFFFFF"/>
                <w:sz w:val="20"/>
                <w:szCs w:val="20"/>
              </w:rPr>
              <w:lastRenderedPageBreak/>
              <w:t>Método</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7766733" w14:textId="77777777" w:rsidR="00B51F6D" w:rsidRDefault="00B51F6D" w:rsidP="008E4439">
            <w:pPr>
              <w:jc w:val="center"/>
            </w:pPr>
            <w:r>
              <w:rPr>
                <w:b/>
                <w:bCs/>
                <w:color w:val="FFFFFF"/>
                <w:sz w:val="20"/>
                <w:szCs w:val="20"/>
              </w:rPr>
              <w:t>Tipo</w:t>
            </w:r>
          </w:p>
        </w:tc>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461B25E" w14:textId="77777777" w:rsidR="00B51F6D" w:rsidRDefault="00B51F6D" w:rsidP="008E4439">
            <w:pPr>
              <w:jc w:val="center"/>
            </w:pPr>
            <w:proofErr w:type="gramStart"/>
            <w:r>
              <w:rPr>
                <w:b/>
                <w:bCs/>
                <w:color w:val="FFFFFF"/>
                <w:sz w:val="20"/>
                <w:szCs w:val="20"/>
              </w:rPr>
              <w:t>Manejo alta</w:t>
            </w:r>
            <w:proofErr w:type="gramEnd"/>
            <w:r>
              <w:rPr>
                <w:b/>
                <w:bCs/>
                <w:color w:val="FFFFFF"/>
                <w:sz w:val="20"/>
                <w:szCs w:val="20"/>
              </w:rPr>
              <w:t xml:space="preserve"> </w:t>
            </w:r>
            <w:proofErr w:type="spellStart"/>
            <w:r>
              <w:rPr>
                <w:b/>
                <w:bCs/>
                <w:color w:val="FFFFFF"/>
                <w:sz w:val="20"/>
                <w:szCs w:val="20"/>
              </w:rPr>
              <w:t>dim</w:t>
            </w:r>
            <w:proofErr w:type="spellEnd"/>
            <w:r>
              <w:rPr>
                <w:b/>
                <w:bCs/>
                <w:color w:val="FFFFFF"/>
                <w:sz w:val="20"/>
                <w:szCs w:val="20"/>
              </w:rPr>
              <w:t>.</w:t>
            </w:r>
          </w:p>
        </w:tc>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304ABC0" w14:textId="77777777" w:rsidR="00B51F6D" w:rsidRDefault="00B51F6D" w:rsidP="008E4439">
            <w:pPr>
              <w:jc w:val="center"/>
            </w:pPr>
            <w:r>
              <w:rPr>
                <w:b/>
                <w:bCs/>
                <w:color w:val="FFFFFF"/>
                <w:sz w:val="20"/>
                <w:szCs w:val="20"/>
              </w:rPr>
              <w:t>No linealidad</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53D91EF" w14:textId="77777777" w:rsidR="00B51F6D" w:rsidRDefault="00B51F6D" w:rsidP="008E4439">
            <w:pPr>
              <w:jc w:val="center"/>
            </w:pPr>
            <w:proofErr w:type="spellStart"/>
            <w:r>
              <w:rPr>
                <w:b/>
                <w:bCs/>
                <w:color w:val="FFFFFF"/>
                <w:sz w:val="20"/>
                <w:szCs w:val="20"/>
              </w:rPr>
              <w:t>Interpretab</w:t>
            </w:r>
            <w:proofErr w:type="spellEnd"/>
            <w:r>
              <w:rPr>
                <w:b/>
                <w:bCs/>
                <w:color w:val="FFFFFF"/>
                <w:sz w:val="20"/>
                <w:szCs w:val="20"/>
              </w:rPr>
              <w: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614459C" w14:textId="77777777" w:rsidR="00B51F6D" w:rsidRDefault="00B51F6D" w:rsidP="008E4439">
            <w:pPr>
              <w:jc w:val="center"/>
            </w:pPr>
            <w:r>
              <w:rPr>
                <w:b/>
                <w:bCs/>
                <w:color w:val="FFFFFF"/>
                <w:sz w:val="20"/>
                <w:szCs w:val="20"/>
              </w:rPr>
              <w:t>Referencia fundacional</w:t>
            </w:r>
          </w:p>
        </w:tc>
      </w:tr>
      <w:tr w:rsidR="00B51F6D" w14:paraId="1B730124"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A1233B4" w14:textId="77777777" w:rsidR="00B51F6D" w:rsidRDefault="00B51F6D" w:rsidP="008E4439">
            <w:r>
              <w:rPr>
                <w:b/>
                <w:bCs/>
                <w:sz w:val="20"/>
                <w:szCs w:val="20"/>
              </w:rPr>
              <w:t>Kaplan-Meier</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56410E" w14:textId="77777777" w:rsidR="00B51F6D" w:rsidRDefault="00B51F6D" w:rsidP="008E4439">
            <w:r>
              <w:rPr>
                <w:sz w:val="20"/>
                <w:szCs w:val="20"/>
              </w:rPr>
              <w:t>No paramétrico</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30A868F" w14:textId="77777777" w:rsidR="00B51F6D" w:rsidRDefault="00B51F6D" w:rsidP="008E4439">
            <w:r>
              <w:rPr>
                <w:sz w:val="20"/>
                <w:szCs w:val="20"/>
              </w:rPr>
              <w:t>No (univariante)</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D8F8EF" w14:textId="77777777" w:rsidR="00B51F6D" w:rsidRDefault="00B51F6D" w:rsidP="008E4439">
            <w:r>
              <w:rPr>
                <w:sz w:val="20"/>
                <w:szCs w:val="20"/>
              </w:rPr>
              <w:t>No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FD2D29F" w14:textId="77777777" w:rsidR="00B51F6D" w:rsidRDefault="00B51F6D" w:rsidP="008E4439">
            <w:r>
              <w:rPr>
                <w:sz w:val="20"/>
                <w:szCs w:val="20"/>
              </w:rPr>
              <w:t>Alta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E709E2" w14:textId="77777777" w:rsidR="00B51F6D" w:rsidRDefault="00B51F6D" w:rsidP="008E4439">
            <w:r>
              <w:rPr>
                <w:sz w:val="20"/>
                <w:szCs w:val="20"/>
              </w:rPr>
              <w:t>Kaplan &amp; Meier (1958) [1]</w:t>
            </w:r>
          </w:p>
        </w:tc>
      </w:tr>
      <w:tr w:rsidR="00B51F6D" w14:paraId="1360DF9D"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5FF73FB" w14:textId="77777777" w:rsidR="00B51F6D" w:rsidRDefault="00B51F6D" w:rsidP="008E4439">
            <w:r>
              <w:rPr>
                <w:b/>
                <w:bCs/>
                <w:sz w:val="20"/>
                <w:szCs w:val="20"/>
              </w:rPr>
              <w:t>Cox PH (estándar)</w:t>
            </w:r>
          </w:p>
        </w:tc>
        <w:tc>
          <w:tcPr>
            <w:tcW w:w="1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4113CF9" w14:textId="77777777" w:rsidR="00B51F6D" w:rsidRDefault="00B51F6D" w:rsidP="008E4439">
            <w:proofErr w:type="spellStart"/>
            <w:r>
              <w:rPr>
                <w:sz w:val="20"/>
                <w:szCs w:val="20"/>
              </w:rPr>
              <w:t>Semiparamétrico</w:t>
            </w:r>
            <w:proofErr w:type="spellEnd"/>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5CFFAA" w14:textId="77777777" w:rsidR="00B51F6D" w:rsidRDefault="00B51F6D" w:rsidP="008E4439">
            <w:r>
              <w:rPr>
                <w:sz w:val="20"/>
                <w:szCs w:val="20"/>
              </w:rPr>
              <w:t>Limitado (p &lt; n)</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EC8E31D" w14:textId="77777777" w:rsidR="00B51F6D" w:rsidRDefault="00B51F6D" w:rsidP="008E4439">
            <w:r>
              <w:rPr>
                <w:sz w:val="20"/>
                <w:szCs w:val="20"/>
              </w:rPr>
              <w:t>No</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BBDBEE1" w14:textId="77777777" w:rsidR="00B51F6D" w:rsidRDefault="00B51F6D" w:rsidP="008E4439">
            <w:r>
              <w:rPr>
                <w:sz w:val="20"/>
                <w:szCs w:val="20"/>
              </w:rPr>
              <w:t>Alta</w:t>
            </w:r>
          </w:p>
        </w:tc>
        <w:tc>
          <w:tcPr>
            <w:tcW w:w="2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9509495" w14:textId="77777777" w:rsidR="00B51F6D" w:rsidRDefault="00B51F6D" w:rsidP="008E4439">
            <w:r>
              <w:rPr>
                <w:sz w:val="20"/>
                <w:szCs w:val="20"/>
              </w:rPr>
              <w:t>Cox (1972) [3]</w:t>
            </w:r>
          </w:p>
        </w:tc>
      </w:tr>
      <w:tr w:rsidR="00B51F6D" w14:paraId="3CDB60CB"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66F4874" w14:textId="77777777" w:rsidR="00B51F6D" w:rsidRDefault="00B51F6D" w:rsidP="008E4439">
            <w:r>
              <w:rPr>
                <w:b/>
                <w:bCs/>
                <w:sz w:val="20"/>
                <w:szCs w:val="20"/>
              </w:rPr>
              <w:t>Cox LASSO</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63B4961" w14:textId="77777777" w:rsidR="00B51F6D" w:rsidRDefault="00B51F6D" w:rsidP="008E4439">
            <w:proofErr w:type="spellStart"/>
            <w:r>
              <w:rPr>
                <w:sz w:val="20"/>
                <w:szCs w:val="20"/>
              </w:rPr>
              <w:t>Semiparamétrico</w:t>
            </w:r>
            <w:proofErr w:type="spellEnd"/>
            <w:r>
              <w:rPr>
                <w:sz w:val="20"/>
                <w:szCs w:val="20"/>
              </w:rPr>
              <w:t xml:space="preserve"> penalizado</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B7AF3C4" w14:textId="77777777" w:rsidR="00B51F6D" w:rsidRDefault="00B51F6D" w:rsidP="008E4439">
            <w:r>
              <w:rPr>
                <w:sz w:val="20"/>
                <w:szCs w:val="20"/>
              </w:rPr>
              <w:t>Sí (p &gt;&gt; n)</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E684D7" w14:textId="77777777" w:rsidR="00B51F6D" w:rsidRDefault="00B51F6D" w:rsidP="008E4439">
            <w:r>
              <w:rPr>
                <w:sz w:val="20"/>
                <w:szCs w:val="20"/>
              </w:rPr>
              <w:t>No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482EF65" w14:textId="77777777" w:rsidR="00B51F6D" w:rsidRDefault="00B51F6D" w:rsidP="008E4439">
            <w:r>
              <w:rPr>
                <w:sz w:val="20"/>
                <w:szCs w:val="20"/>
              </w:rPr>
              <w:t>Media-Alta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E26AD83" w14:textId="77777777" w:rsidR="00B51F6D" w:rsidRDefault="00B51F6D" w:rsidP="008E4439">
            <w:proofErr w:type="spellStart"/>
            <w:r>
              <w:rPr>
                <w:sz w:val="20"/>
                <w:szCs w:val="20"/>
              </w:rPr>
              <w:t>Tibshirani</w:t>
            </w:r>
            <w:proofErr w:type="spellEnd"/>
            <w:r>
              <w:rPr>
                <w:sz w:val="20"/>
                <w:szCs w:val="20"/>
              </w:rPr>
              <w:t xml:space="preserve"> (1997) [5]</w:t>
            </w:r>
          </w:p>
        </w:tc>
      </w:tr>
      <w:tr w:rsidR="00B51F6D" w14:paraId="3D1680BE"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71D1C4B" w14:textId="77777777" w:rsidR="00B51F6D" w:rsidRDefault="00B51F6D" w:rsidP="008E4439">
            <w:proofErr w:type="spellStart"/>
            <w:r>
              <w:rPr>
                <w:b/>
                <w:bCs/>
                <w:sz w:val="20"/>
                <w:szCs w:val="20"/>
              </w:rPr>
              <w:t>Random</w:t>
            </w:r>
            <w:proofErr w:type="spellEnd"/>
            <w:r>
              <w:rPr>
                <w:b/>
                <w:bCs/>
                <w:sz w:val="20"/>
                <w:szCs w:val="20"/>
              </w:rPr>
              <w:t xml:space="preserve"> </w:t>
            </w:r>
            <w:proofErr w:type="spellStart"/>
            <w:r>
              <w:rPr>
                <w:b/>
                <w:bCs/>
                <w:sz w:val="20"/>
                <w:szCs w:val="20"/>
              </w:rPr>
              <w:t>Survival</w:t>
            </w:r>
            <w:proofErr w:type="spellEnd"/>
            <w:r>
              <w:rPr>
                <w:b/>
                <w:bCs/>
                <w:sz w:val="20"/>
                <w:szCs w:val="20"/>
              </w:rPr>
              <w:t xml:space="preserve"> Forest</w:t>
            </w:r>
          </w:p>
        </w:tc>
        <w:tc>
          <w:tcPr>
            <w:tcW w:w="1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2D34D33" w14:textId="77777777" w:rsidR="00B51F6D" w:rsidRDefault="00B51F6D" w:rsidP="008E4439">
            <w:r>
              <w:rPr>
                <w:sz w:val="20"/>
                <w:szCs w:val="20"/>
              </w:rPr>
              <w:t>Ensemble (ML)</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F458335" w14:textId="77777777" w:rsidR="00B51F6D" w:rsidRDefault="00B51F6D" w:rsidP="008E4439">
            <w:r>
              <w:rPr>
                <w:sz w:val="20"/>
                <w:szCs w:val="20"/>
              </w:rPr>
              <w:t>Sí (nativo)</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8C74E62" w14:textId="77777777" w:rsidR="00B51F6D" w:rsidRDefault="00B51F6D" w:rsidP="008E4439">
            <w:r>
              <w:rPr>
                <w:sz w:val="20"/>
                <w:szCs w:val="20"/>
              </w:rPr>
              <w:t>Sí</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1170667" w14:textId="77777777" w:rsidR="00B51F6D" w:rsidRDefault="00B51F6D" w:rsidP="008E4439">
            <w:r>
              <w:rPr>
                <w:sz w:val="20"/>
                <w:szCs w:val="20"/>
              </w:rPr>
              <w:t>Media (VIMP)</w:t>
            </w:r>
          </w:p>
        </w:tc>
        <w:tc>
          <w:tcPr>
            <w:tcW w:w="2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B5D807A" w14:textId="77777777" w:rsidR="00B51F6D" w:rsidRDefault="00B51F6D" w:rsidP="008E4439">
            <w:proofErr w:type="spellStart"/>
            <w:r>
              <w:rPr>
                <w:sz w:val="20"/>
                <w:szCs w:val="20"/>
              </w:rPr>
              <w:t>Ishwaran</w:t>
            </w:r>
            <w:proofErr w:type="spellEnd"/>
            <w:r>
              <w:rPr>
                <w:sz w:val="20"/>
                <w:szCs w:val="20"/>
              </w:rPr>
              <w:t xml:space="preserve"> et al. (2008) [9]</w:t>
            </w:r>
          </w:p>
        </w:tc>
      </w:tr>
      <w:tr w:rsidR="00B51F6D" w14:paraId="3906DE11"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55CA3F" w14:textId="77777777" w:rsidR="00B51F6D" w:rsidRDefault="00B51F6D" w:rsidP="008E4439">
            <w:proofErr w:type="spellStart"/>
            <w:r>
              <w:rPr>
                <w:b/>
                <w:bCs/>
                <w:sz w:val="20"/>
                <w:szCs w:val="20"/>
              </w:rPr>
              <w:t>Gradient</w:t>
            </w:r>
            <w:proofErr w:type="spellEnd"/>
            <w:r>
              <w:rPr>
                <w:b/>
                <w:bCs/>
                <w:sz w:val="20"/>
                <w:szCs w:val="20"/>
              </w:rPr>
              <w:t xml:space="preserve"> </w:t>
            </w:r>
            <w:proofErr w:type="spellStart"/>
            <w:r>
              <w:rPr>
                <w:b/>
                <w:bCs/>
                <w:sz w:val="20"/>
                <w:szCs w:val="20"/>
              </w:rPr>
              <w:t>Boosting</w:t>
            </w:r>
            <w:proofErr w:type="spellEnd"/>
            <w:r>
              <w:rPr>
                <w:b/>
                <w:bCs/>
                <w:sz w:val="20"/>
                <w:szCs w:val="20"/>
              </w:rPr>
              <w:t xml:space="preserve"> (</w:t>
            </w:r>
            <w:proofErr w:type="spellStart"/>
            <w:r>
              <w:rPr>
                <w:b/>
                <w:bCs/>
                <w:sz w:val="20"/>
                <w:szCs w:val="20"/>
              </w:rPr>
              <w:t>Surv</w:t>
            </w:r>
            <w:proofErr w:type="spellEnd"/>
            <w:r>
              <w:rPr>
                <w:b/>
                <w:bCs/>
                <w:sz w:val="20"/>
                <w:szCs w:val="20"/>
              </w:rPr>
              <w:t>.)</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D3CA8D5" w14:textId="77777777" w:rsidR="00B51F6D" w:rsidRDefault="00B51F6D" w:rsidP="008E4439">
            <w:r>
              <w:rPr>
                <w:sz w:val="20"/>
                <w:szCs w:val="20"/>
              </w:rPr>
              <w:t>Ensemble (ML)</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25B3F8" w14:textId="77777777" w:rsidR="00B51F6D" w:rsidRDefault="00B51F6D" w:rsidP="008E4439">
            <w:r>
              <w:rPr>
                <w:sz w:val="20"/>
                <w:szCs w:val="20"/>
              </w:rPr>
              <w:t>Sí</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075FA99" w14:textId="77777777" w:rsidR="00B51F6D" w:rsidRDefault="00B51F6D" w:rsidP="008E4439">
            <w:r>
              <w:rPr>
                <w:sz w:val="20"/>
                <w:szCs w:val="20"/>
              </w:rPr>
              <w:t>Sí (aditivo)</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91BA0B1" w14:textId="77777777" w:rsidR="00B51F6D" w:rsidRDefault="00B51F6D" w:rsidP="008E4439">
            <w:r>
              <w:rPr>
                <w:sz w:val="20"/>
                <w:szCs w:val="20"/>
              </w:rPr>
              <w:t>Media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3F0695E" w14:textId="77777777" w:rsidR="00B51F6D" w:rsidRDefault="00B51F6D" w:rsidP="008E4439">
            <w:proofErr w:type="spellStart"/>
            <w:r>
              <w:rPr>
                <w:sz w:val="20"/>
                <w:szCs w:val="20"/>
              </w:rPr>
              <w:t>Hothorn</w:t>
            </w:r>
            <w:proofErr w:type="spellEnd"/>
            <w:r>
              <w:rPr>
                <w:sz w:val="20"/>
                <w:szCs w:val="20"/>
              </w:rPr>
              <w:t xml:space="preserve"> et al. (2006)</w:t>
            </w:r>
          </w:p>
        </w:tc>
      </w:tr>
      <w:tr w:rsidR="00B51F6D" w14:paraId="4E9CD886"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781FE60" w14:textId="77777777" w:rsidR="00B51F6D" w:rsidRDefault="00B51F6D" w:rsidP="008E4439">
            <w:proofErr w:type="spellStart"/>
            <w:r>
              <w:rPr>
                <w:b/>
                <w:bCs/>
                <w:sz w:val="20"/>
                <w:szCs w:val="20"/>
              </w:rPr>
              <w:t>DeepSurv</w:t>
            </w:r>
            <w:proofErr w:type="spellEnd"/>
          </w:p>
        </w:tc>
        <w:tc>
          <w:tcPr>
            <w:tcW w:w="1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1089EAA" w14:textId="77777777" w:rsidR="00B51F6D" w:rsidRDefault="00B51F6D" w:rsidP="008E4439">
            <w:r>
              <w:rPr>
                <w:sz w:val="20"/>
                <w:szCs w:val="20"/>
              </w:rPr>
              <w:t>Deep Learning</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2BBA7EA" w14:textId="77777777" w:rsidR="00B51F6D" w:rsidRDefault="00B51F6D" w:rsidP="008E4439">
            <w:r>
              <w:rPr>
                <w:sz w:val="20"/>
                <w:szCs w:val="20"/>
              </w:rPr>
              <w:t>Sí (</w:t>
            </w:r>
            <w:proofErr w:type="spellStart"/>
            <w:r>
              <w:rPr>
                <w:sz w:val="20"/>
                <w:szCs w:val="20"/>
              </w:rPr>
              <w:t>dropout</w:t>
            </w:r>
            <w:proofErr w:type="spellEnd"/>
            <w:r>
              <w:rPr>
                <w:sz w:val="20"/>
                <w:szCs w:val="20"/>
              </w:rPr>
              <w:t>/BN)</w:t>
            </w:r>
          </w:p>
        </w:tc>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42592C6" w14:textId="77777777" w:rsidR="00B51F6D" w:rsidRDefault="00B51F6D" w:rsidP="008E4439">
            <w:r>
              <w:rPr>
                <w:sz w:val="20"/>
                <w:szCs w:val="20"/>
              </w:rPr>
              <w:t>Sí (profunda)</w:t>
            </w:r>
          </w:p>
        </w:tc>
        <w:tc>
          <w:tcPr>
            <w:tcW w:w="12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07C9CCF" w14:textId="77777777" w:rsidR="00B51F6D" w:rsidRDefault="00B51F6D" w:rsidP="008E4439">
            <w:r>
              <w:rPr>
                <w:sz w:val="20"/>
                <w:szCs w:val="20"/>
              </w:rPr>
              <w:t xml:space="preserve">Baja (SHAP </w:t>
            </w:r>
            <w:proofErr w:type="spellStart"/>
            <w:r>
              <w:rPr>
                <w:sz w:val="20"/>
                <w:szCs w:val="20"/>
              </w:rPr>
              <w:t>post-hoc</w:t>
            </w:r>
            <w:proofErr w:type="spellEnd"/>
            <w:r>
              <w:rPr>
                <w:sz w:val="20"/>
                <w:szCs w:val="20"/>
              </w:rPr>
              <w:t>)</w:t>
            </w:r>
          </w:p>
        </w:tc>
        <w:tc>
          <w:tcPr>
            <w:tcW w:w="2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79873BD" w14:textId="77777777" w:rsidR="00B51F6D" w:rsidRDefault="00B51F6D" w:rsidP="008E4439">
            <w:proofErr w:type="spellStart"/>
            <w:r>
              <w:rPr>
                <w:sz w:val="20"/>
                <w:szCs w:val="20"/>
              </w:rPr>
              <w:t>Katzman</w:t>
            </w:r>
            <w:proofErr w:type="spellEnd"/>
            <w:r>
              <w:rPr>
                <w:sz w:val="20"/>
                <w:szCs w:val="20"/>
              </w:rPr>
              <w:t xml:space="preserve"> et al. (2018) [13]</w:t>
            </w:r>
          </w:p>
        </w:tc>
      </w:tr>
      <w:tr w:rsidR="00B51F6D" w14:paraId="748A51F4" w14:textId="77777777" w:rsidTr="008E4439">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2B75BA" w14:textId="77777777" w:rsidR="00B51F6D" w:rsidRDefault="00B51F6D" w:rsidP="008E4439">
            <w:r>
              <w:rPr>
                <w:b/>
                <w:bCs/>
                <w:sz w:val="20"/>
                <w:szCs w:val="20"/>
              </w:rPr>
              <w:t>Transformers multimodales</w:t>
            </w:r>
          </w:p>
        </w:tc>
        <w:tc>
          <w:tcPr>
            <w:tcW w:w="1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85053BD" w14:textId="77777777" w:rsidR="00B51F6D" w:rsidRDefault="00B51F6D" w:rsidP="008E4439">
            <w:r>
              <w:rPr>
                <w:sz w:val="20"/>
                <w:szCs w:val="20"/>
              </w:rPr>
              <w:t>Deep Learning</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CA9342F" w14:textId="77777777" w:rsidR="00B51F6D" w:rsidRDefault="00B51F6D" w:rsidP="008E4439">
            <w:r>
              <w:rPr>
                <w:sz w:val="20"/>
                <w:szCs w:val="20"/>
              </w:rPr>
              <w:t>Sí</w:t>
            </w:r>
          </w:p>
        </w:tc>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2439D3B" w14:textId="77777777" w:rsidR="00B51F6D" w:rsidRDefault="00B51F6D" w:rsidP="008E4439">
            <w:r>
              <w:rPr>
                <w:sz w:val="20"/>
                <w:szCs w:val="20"/>
              </w:rPr>
              <w:t>Sí (atención)</w:t>
            </w:r>
          </w:p>
        </w:tc>
        <w:tc>
          <w:tcPr>
            <w:tcW w:w="12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6F3B615" w14:textId="77777777" w:rsidR="00B51F6D" w:rsidRDefault="00B51F6D" w:rsidP="008E4439">
            <w:r>
              <w:rPr>
                <w:sz w:val="20"/>
                <w:szCs w:val="20"/>
              </w:rPr>
              <w:t>Baja</w:t>
            </w:r>
          </w:p>
        </w:tc>
        <w:tc>
          <w:tcPr>
            <w:tcW w:w="2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E9CE858" w14:textId="77777777" w:rsidR="00B51F6D" w:rsidRDefault="00B51F6D" w:rsidP="008E4439">
            <w:r>
              <w:rPr>
                <w:sz w:val="20"/>
                <w:szCs w:val="20"/>
              </w:rPr>
              <w:t>Müller et al. (2021) [16]</w:t>
            </w:r>
          </w:p>
        </w:tc>
      </w:tr>
    </w:tbl>
    <w:p w14:paraId="7977039C" w14:textId="77777777" w:rsidR="00B51F6D" w:rsidRDefault="00B51F6D" w:rsidP="00B51F6D">
      <w:pPr>
        <w:spacing w:after="100"/>
      </w:pPr>
    </w:p>
    <w:p w14:paraId="65D26F2E" w14:textId="77777777" w:rsidR="00B51F6D" w:rsidRDefault="00B51F6D" w:rsidP="00B51F6D">
      <w:pPr>
        <w:pStyle w:val="Ttulo3"/>
      </w:pPr>
      <w:bookmarkStart w:id="42" w:name="_Toc223802800"/>
      <w:r>
        <w:t>2.10.2 Brechas de conocimiento identificadas</w:t>
      </w:r>
      <w:bookmarkEnd w:id="42"/>
    </w:p>
    <w:p w14:paraId="55002D1F" w14:textId="77777777" w:rsidR="00B51F6D" w:rsidRDefault="00B51F6D" w:rsidP="00B51F6D">
      <w:pPr>
        <w:spacing w:after="160"/>
      </w:pPr>
      <w:r>
        <w:t>La revisión del estado del arte permite identificar las siguientes brechas de conocimiento que justifican y orientan el diseño del presente TFM:</w:t>
      </w:r>
    </w:p>
    <w:p w14:paraId="02CFF04E" w14:textId="77777777" w:rsidR="00B51F6D" w:rsidRDefault="00B51F6D" w:rsidP="00B51F6D">
      <w:pPr>
        <w:spacing w:after="100"/>
      </w:pPr>
    </w:p>
    <w:p w14:paraId="7E42A557" w14:textId="77777777" w:rsidR="00B51F6D" w:rsidRDefault="00B51F6D" w:rsidP="00B51F6D">
      <w:pPr>
        <w:pStyle w:val="Prrafodelista"/>
        <w:numPr>
          <w:ilvl w:val="0"/>
          <w:numId w:val="9"/>
        </w:numPr>
        <w:spacing w:after="80"/>
      </w:pPr>
      <w:r>
        <w:t>Déficit sistemático de validación externa: La gran mayoría de los estudios publican resultados de validación interna únicamente, sin comprobar la generalización en cohortes independientes. Esta brecha es especialmente pronunciada en los estudios que combinan datos genómicos con aprendizaje automático.</w:t>
      </w:r>
    </w:p>
    <w:p w14:paraId="5DCE05F9" w14:textId="77777777" w:rsidR="00B51F6D" w:rsidRDefault="00B51F6D" w:rsidP="00B51F6D">
      <w:pPr>
        <w:pStyle w:val="Prrafodelista"/>
        <w:numPr>
          <w:ilvl w:val="0"/>
          <w:numId w:val="9"/>
        </w:numPr>
        <w:spacing w:after="80"/>
      </w:pPr>
      <w:r>
        <w:t xml:space="preserve">Escasez de comparaciones sistemáticas </w:t>
      </w:r>
      <w:proofErr w:type="spellStart"/>
      <w:r>
        <w:t>multi-modelo</w:t>
      </w:r>
      <w:proofErr w:type="spellEnd"/>
      <w:r>
        <w:t xml:space="preserve">: Los estudios tienden a proponer un modelo nuevo y compararlo con un único </w:t>
      </w:r>
      <w:proofErr w:type="spellStart"/>
      <w:r>
        <w:t>baseline</w:t>
      </w:r>
      <w:proofErr w:type="spellEnd"/>
      <w:r>
        <w:t xml:space="preserve"> (generalmente el modelo de Cox estándar), sin realizar comparaciones exhaustivas entre las principales familias metodológicas bajo las mismas condiciones experimentales.</w:t>
      </w:r>
    </w:p>
    <w:p w14:paraId="43C80CAE" w14:textId="77777777" w:rsidR="00B51F6D" w:rsidRDefault="00B51F6D" w:rsidP="00B51F6D">
      <w:pPr>
        <w:pStyle w:val="Prrafodelista"/>
        <w:numPr>
          <w:ilvl w:val="0"/>
          <w:numId w:val="9"/>
        </w:numPr>
        <w:spacing w:after="80"/>
      </w:pPr>
      <w:r>
        <w:t>Heterogeneidad en los pipelines de preprocesamiento: La falta de estandarización en las decisiones de preprocesamiento (normalización, filtrado, reducción dimensional) dificulta la comparación entre estudios y puede ser una fuente importante de variabilidad en los resultados reportados.</w:t>
      </w:r>
    </w:p>
    <w:p w14:paraId="6C9B4646" w14:textId="77777777" w:rsidR="00B51F6D" w:rsidRDefault="00B51F6D" w:rsidP="00B51F6D">
      <w:pPr>
        <w:pStyle w:val="Prrafodelista"/>
        <w:numPr>
          <w:ilvl w:val="0"/>
          <w:numId w:val="9"/>
        </w:numPr>
        <w:spacing w:after="80"/>
      </w:pPr>
      <w:r>
        <w:t xml:space="preserve">Análisis insuficiente de la transferibilidad TCGA-BRCA ↔ METABRIC con modelos de aprendizaje automático complejos: Aunque algunos estudios han validado modelos de Cox en ambas cohortes, la validación cruzada de modelos </w:t>
      </w:r>
      <w:r>
        <w:lastRenderedPageBreak/>
        <w:t xml:space="preserve">RSF y </w:t>
      </w:r>
      <w:proofErr w:type="spellStart"/>
      <w:r>
        <w:t>DeepSurv</w:t>
      </w:r>
      <w:proofErr w:type="spellEnd"/>
      <w:r>
        <w:t xml:space="preserve"> entre TCGA y METABRIC es escasa y no ha sido sistematizada en la literatura.</w:t>
      </w:r>
    </w:p>
    <w:p w14:paraId="1BE3EE2F" w14:textId="77777777" w:rsidR="00B51F6D" w:rsidRDefault="00B51F6D" w:rsidP="00B51F6D">
      <w:pPr>
        <w:pStyle w:val="Prrafodelista"/>
        <w:numPr>
          <w:ilvl w:val="0"/>
          <w:numId w:val="9"/>
        </w:numPr>
        <w:spacing w:after="80"/>
      </w:pPr>
      <w:r>
        <w:t xml:space="preserve">Limitada aplicación conjunta de criterios de interpretabilidad: Los estudios que aplican </w:t>
      </w:r>
      <w:proofErr w:type="spellStart"/>
      <w:r>
        <w:t>DeepSurv</w:t>
      </w:r>
      <w:proofErr w:type="spellEnd"/>
      <w:r>
        <w:t xml:space="preserve"> raramente complementan los resultados de rendimiento con análisis de interpretabilidad (SHAP, </w:t>
      </w:r>
      <w:proofErr w:type="spellStart"/>
      <w:r>
        <w:t>Integrated</w:t>
      </w:r>
      <w:proofErr w:type="spellEnd"/>
      <w:r>
        <w:t xml:space="preserve"> </w:t>
      </w:r>
      <w:proofErr w:type="spellStart"/>
      <w:r>
        <w:t>Gradients</w:t>
      </w:r>
      <w:proofErr w:type="spellEnd"/>
      <w:r>
        <w:t>), dificultando la traducción biológica de los resultados.</w:t>
      </w:r>
    </w:p>
    <w:p w14:paraId="12353334" w14:textId="77777777" w:rsidR="00B51F6D" w:rsidRDefault="00B51F6D" w:rsidP="00B51F6D">
      <w:pPr>
        <w:spacing w:after="100"/>
      </w:pPr>
    </w:p>
    <w:p w14:paraId="1DFA193A" w14:textId="77777777" w:rsidR="00B51F6D" w:rsidRDefault="00B51F6D" w:rsidP="00B51F6D">
      <w:pPr>
        <w:spacing w:after="160"/>
      </w:pPr>
      <w:r>
        <w:t>El presente TFM aborda explícitamente las tres primeras brechas, al proponer un diseño metodológico que incorpora validación cruzada entre TCGA y METABRIC, compara cuatro familias metodológicas en igualdad de condiciones, y documenta de forma exhaustiva y reproducible el pipeline de preprocesamiento. Las brechas cuarta y quinta orientan el análisis de interpretabilidad del apartado 1.2 (OE5) y la discusión del Capítulo 6.</w:t>
      </w:r>
    </w:p>
    <w:p w14:paraId="1EA6768D" w14:textId="77777777" w:rsidR="00B51F6D" w:rsidRDefault="00B51F6D" w:rsidP="00B51F6D">
      <w:pPr>
        <w:spacing w:after="100"/>
      </w:pPr>
    </w:p>
    <w:p w14:paraId="731EC6B4" w14:textId="77777777" w:rsidR="00B51F6D" w:rsidRDefault="00B51F6D" w:rsidP="00B51F6D">
      <w:r>
        <w:br w:type="page"/>
      </w:r>
    </w:p>
    <w:p w14:paraId="7EB9CC2A" w14:textId="77777777" w:rsidR="00B51F6D" w:rsidRDefault="00B51F6D" w:rsidP="00B51F6D">
      <w:pPr>
        <w:pStyle w:val="Ttulo2"/>
      </w:pPr>
      <w:bookmarkStart w:id="43" w:name="_Toc223802801"/>
      <w:r>
        <w:lastRenderedPageBreak/>
        <w:t>Referencias bibliográficas del Capítulo 2</w:t>
      </w:r>
      <w:bookmarkEnd w:id="43"/>
    </w:p>
    <w:p w14:paraId="38DA734D" w14:textId="77777777" w:rsidR="00B51F6D" w:rsidRDefault="00B51F6D" w:rsidP="00B51F6D">
      <w:pPr>
        <w:spacing w:after="100"/>
        <w:rPr>
          <w:sz w:val="23"/>
          <w:szCs w:val="23"/>
        </w:rPr>
      </w:pPr>
      <w:r>
        <w:rPr>
          <w:sz w:val="23"/>
          <w:szCs w:val="23"/>
        </w:rPr>
        <w:t>A continuación, se indican las referencias académicas que sustentan el estado del arte de este TFM:</w:t>
      </w:r>
    </w:p>
    <w:p w14:paraId="2F86172F" w14:textId="77777777" w:rsidR="00B51F6D" w:rsidRDefault="00B51F6D" w:rsidP="00B51F6D">
      <w:pPr>
        <w:spacing w:after="100"/>
      </w:pPr>
    </w:p>
    <w:p w14:paraId="4634211E" w14:textId="77777777" w:rsidR="00B51F6D" w:rsidRDefault="00B51F6D" w:rsidP="00B51F6D">
      <w:pPr>
        <w:ind w:left="720" w:hanging="360"/>
      </w:pPr>
      <w:r>
        <w:rPr>
          <w:b/>
          <w:bCs/>
          <w:color w:val="1F3864"/>
          <w:sz w:val="20"/>
          <w:szCs w:val="20"/>
        </w:rPr>
        <w:t xml:space="preserve">[1] </w:t>
      </w:r>
      <w:r>
        <w:rPr>
          <w:sz w:val="20"/>
          <w:szCs w:val="20"/>
        </w:rPr>
        <w:t xml:space="preserve">Kaplan, E. L., &amp; Meier, P. (1958). </w:t>
      </w:r>
      <w:proofErr w:type="spellStart"/>
      <w:r>
        <w:rPr>
          <w:sz w:val="20"/>
          <w:szCs w:val="20"/>
        </w:rPr>
        <w:t>Nonparametric</w:t>
      </w:r>
      <w:proofErr w:type="spellEnd"/>
      <w:r>
        <w:rPr>
          <w:sz w:val="20"/>
          <w:szCs w:val="20"/>
        </w:rPr>
        <w:t xml:space="preserve"> </w:t>
      </w:r>
      <w:proofErr w:type="spellStart"/>
      <w:r>
        <w:rPr>
          <w:sz w:val="20"/>
          <w:szCs w:val="20"/>
        </w:rPr>
        <w:t>estimation</w:t>
      </w:r>
      <w:proofErr w:type="spellEnd"/>
      <w:r>
        <w:rPr>
          <w:sz w:val="20"/>
          <w:szCs w:val="20"/>
        </w:rPr>
        <w:t xml:space="preserve"> </w:t>
      </w:r>
      <w:proofErr w:type="spellStart"/>
      <w:r>
        <w:rPr>
          <w:sz w:val="20"/>
          <w:szCs w:val="20"/>
        </w:rPr>
        <w:t>from</w:t>
      </w:r>
      <w:proofErr w:type="spellEnd"/>
      <w:r>
        <w:rPr>
          <w:sz w:val="20"/>
          <w:szCs w:val="20"/>
        </w:rPr>
        <w:t xml:space="preserve"> incomplete </w:t>
      </w:r>
      <w:proofErr w:type="spellStart"/>
      <w:r>
        <w:rPr>
          <w:sz w:val="20"/>
          <w:szCs w:val="20"/>
        </w:rPr>
        <w:t>observations</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American </w:t>
      </w:r>
      <w:proofErr w:type="spellStart"/>
      <w:r>
        <w:rPr>
          <w:sz w:val="20"/>
          <w:szCs w:val="20"/>
        </w:rPr>
        <w:t>Statistical</w:t>
      </w:r>
      <w:proofErr w:type="spellEnd"/>
      <w:r>
        <w:rPr>
          <w:sz w:val="20"/>
          <w:szCs w:val="20"/>
        </w:rPr>
        <w:t xml:space="preserve"> </w:t>
      </w:r>
      <w:proofErr w:type="spellStart"/>
      <w:r>
        <w:rPr>
          <w:sz w:val="20"/>
          <w:szCs w:val="20"/>
        </w:rPr>
        <w:t>Association</w:t>
      </w:r>
      <w:proofErr w:type="spellEnd"/>
      <w:r>
        <w:rPr>
          <w:sz w:val="20"/>
          <w:szCs w:val="20"/>
        </w:rPr>
        <w:t>, 53(282), 457-481. https://doi.org/10.1080/01621459.1958.10501452 *</w:t>
      </w:r>
    </w:p>
    <w:p w14:paraId="58E75AD5" w14:textId="77777777" w:rsidR="00B51F6D" w:rsidRDefault="00B51F6D" w:rsidP="00B51F6D">
      <w:pPr>
        <w:ind w:left="720" w:hanging="360"/>
      </w:pPr>
      <w:r>
        <w:rPr>
          <w:b/>
          <w:bCs/>
          <w:color w:val="1F3864"/>
          <w:sz w:val="20"/>
          <w:szCs w:val="20"/>
        </w:rPr>
        <w:t xml:space="preserve">[2] </w:t>
      </w:r>
      <w:r>
        <w:rPr>
          <w:sz w:val="20"/>
          <w:szCs w:val="20"/>
        </w:rPr>
        <w:t>Le-</w:t>
      </w:r>
      <w:proofErr w:type="spellStart"/>
      <w:r>
        <w:rPr>
          <w:sz w:val="20"/>
          <w:szCs w:val="20"/>
        </w:rPr>
        <w:t>Rademacher</w:t>
      </w:r>
      <w:proofErr w:type="spellEnd"/>
      <w:r>
        <w:rPr>
          <w:sz w:val="20"/>
          <w:szCs w:val="20"/>
        </w:rPr>
        <w:t>, J., &amp; Wang, X. (2021). Time-</w:t>
      </w:r>
      <w:proofErr w:type="spellStart"/>
      <w:r>
        <w:rPr>
          <w:sz w:val="20"/>
          <w:szCs w:val="20"/>
        </w:rPr>
        <w:t>to</w:t>
      </w:r>
      <w:proofErr w:type="spellEnd"/>
      <w:r>
        <w:rPr>
          <w:sz w:val="20"/>
          <w:szCs w:val="20"/>
        </w:rPr>
        <w:t>-</w:t>
      </w:r>
      <w:proofErr w:type="spellStart"/>
      <w:r>
        <w:rPr>
          <w:sz w:val="20"/>
          <w:szCs w:val="20"/>
        </w:rPr>
        <w:t>event</w:t>
      </w:r>
      <w:proofErr w:type="spellEnd"/>
      <w:r>
        <w:rPr>
          <w:sz w:val="20"/>
          <w:szCs w:val="20"/>
        </w:rPr>
        <w:t xml:space="preserve"> data: </w:t>
      </w:r>
      <w:proofErr w:type="spellStart"/>
      <w:r>
        <w:rPr>
          <w:sz w:val="20"/>
          <w:szCs w:val="20"/>
        </w:rPr>
        <w:t>an</w:t>
      </w:r>
      <w:proofErr w:type="spellEnd"/>
      <w:r>
        <w:rPr>
          <w:sz w:val="20"/>
          <w:szCs w:val="20"/>
        </w:rPr>
        <w:t xml:space="preserve"> </w:t>
      </w:r>
      <w:proofErr w:type="spellStart"/>
      <w:r>
        <w:rPr>
          <w:sz w:val="20"/>
          <w:szCs w:val="20"/>
        </w:rPr>
        <w:t>overview</w:t>
      </w:r>
      <w:proofErr w:type="spellEnd"/>
      <w:r>
        <w:rPr>
          <w:sz w:val="20"/>
          <w:szCs w:val="20"/>
        </w:rPr>
        <w:t xml:space="preserve"> and </w:t>
      </w:r>
      <w:proofErr w:type="spellStart"/>
      <w:r>
        <w:rPr>
          <w:sz w:val="20"/>
          <w:szCs w:val="20"/>
        </w:rPr>
        <w:t>analysis</w:t>
      </w:r>
      <w:proofErr w:type="spellEnd"/>
      <w:r>
        <w:rPr>
          <w:sz w:val="20"/>
          <w:szCs w:val="20"/>
        </w:rPr>
        <w:t xml:space="preserve"> </w:t>
      </w:r>
      <w:proofErr w:type="spellStart"/>
      <w:r>
        <w:rPr>
          <w:sz w:val="20"/>
          <w:szCs w:val="20"/>
        </w:rPr>
        <w:t>considerations</w:t>
      </w:r>
      <w:proofErr w:type="spellEnd"/>
      <w:r>
        <w:rPr>
          <w:sz w:val="20"/>
          <w:szCs w:val="20"/>
        </w:rPr>
        <w:t xml:space="preserve">. </w:t>
      </w:r>
      <w:proofErr w:type="spellStart"/>
      <w:r>
        <w:rPr>
          <w:sz w:val="20"/>
          <w:szCs w:val="20"/>
        </w:rPr>
        <w:t>Journal</w:t>
      </w:r>
      <w:proofErr w:type="spellEnd"/>
      <w:r>
        <w:rPr>
          <w:sz w:val="20"/>
          <w:szCs w:val="20"/>
        </w:rPr>
        <w:t xml:space="preserve"> of </w:t>
      </w:r>
      <w:proofErr w:type="spellStart"/>
      <w:r>
        <w:rPr>
          <w:sz w:val="20"/>
          <w:szCs w:val="20"/>
        </w:rPr>
        <w:t>Thoracic</w:t>
      </w:r>
      <w:proofErr w:type="spellEnd"/>
      <w:r>
        <w:rPr>
          <w:sz w:val="20"/>
          <w:szCs w:val="20"/>
        </w:rPr>
        <w:t xml:space="preserve"> </w:t>
      </w:r>
      <w:proofErr w:type="spellStart"/>
      <w:r>
        <w:rPr>
          <w:sz w:val="20"/>
          <w:szCs w:val="20"/>
        </w:rPr>
        <w:t>Oncology</w:t>
      </w:r>
      <w:proofErr w:type="spellEnd"/>
      <w:r>
        <w:rPr>
          <w:sz w:val="20"/>
          <w:szCs w:val="20"/>
        </w:rPr>
        <w:t>, 16(7), 1067-1074. https://doi.org/10.1016/j.jtho.2021.04.004</w:t>
      </w:r>
    </w:p>
    <w:p w14:paraId="3E947C8A" w14:textId="77777777" w:rsidR="00B51F6D" w:rsidRDefault="00B51F6D" w:rsidP="00B51F6D">
      <w:pPr>
        <w:ind w:left="720" w:hanging="360"/>
      </w:pPr>
      <w:r>
        <w:rPr>
          <w:b/>
          <w:bCs/>
          <w:color w:val="1F3864"/>
          <w:sz w:val="20"/>
          <w:szCs w:val="20"/>
        </w:rPr>
        <w:t xml:space="preserve">[3] </w:t>
      </w:r>
      <w:r>
        <w:rPr>
          <w:sz w:val="20"/>
          <w:szCs w:val="20"/>
        </w:rPr>
        <w:t xml:space="preserve">Cox, D. R. (1972). </w:t>
      </w:r>
      <w:proofErr w:type="spellStart"/>
      <w:r>
        <w:rPr>
          <w:sz w:val="20"/>
          <w:szCs w:val="20"/>
        </w:rPr>
        <w:t>Regression</w:t>
      </w:r>
      <w:proofErr w:type="spellEnd"/>
      <w:r>
        <w:rPr>
          <w:sz w:val="20"/>
          <w:szCs w:val="20"/>
        </w:rPr>
        <w:t xml:space="preserve"> </w:t>
      </w:r>
      <w:proofErr w:type="spellStart"/>
      <w:r>
        <w:rPr>
          <w:sz w:val="20"/>
          <w:szCs w:val="20"/>
        </w:rPr>
        <w:t>models</w:t>
      </w:r>
      <w:proofErr w:type="spellEnd"/>
      <w:r>
        <w:rPr>
          <w:sz w:val="20"/>
          <w:szCs w:val="20"/>
        </w:rPr>
        <w:t xml:space="preserve"> and </w:t>
      </w:r>
      <w:proofErr w:type="spellStart"/>
      <w:r>
        <w:rPr>
          <w:sz w:val="20"/>
          <w:szCs w:val="20"/>
        </w:rPr>
        <w:t>life</w:t>
      </w:r>
      <w:proofErr w:type="spellEnd"/>
      <w:r>
        <w:rPr>
          <w:sz w:val="20"/>
          <w:szCs w:val="20"/>
        </w:rPr>
        <w:t xml:space="preserve">-tables.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Royal </w:t>
      </w:r>
      <w:proofErr w:type="spellStart"/>
      <w:r>
        <w:rPr>
          <w:sz w:val="20"/>
          <w:szCs w:val="20"/>
        </w:rPr>
        <w:t>Statistical</w:t>
      </w:r>
      <w:proofErr w:type="spellEnd"/>
      <w:r>
        <w:rPr>
          <w:sz w:val="20"/>
          <w:szCs w:val="20"/>
        </w:rPr>
        <w:t xml:space="preserve"> </w:t>
      </w:r>
      <w:proofErr w:type="spellStart"/>
      <w:r>
        <w:rPr>
          <w:sz w:val="20"/>
          <w:szCs w:val="20"/>
        </w:rPr>
        <w:t>Society</w:t>
      </w:r>
      <w:proofErr w:type="spellEnd"/>
      <w:r>
        <w:rPr>
          <w:sz w:val="20"/>
          <w:szCs w:val="20"/>
        </w:rPr>
        <w:t>: Series B, 34(2), 187-220. https://doi.org/10.1111/j.2517-6161.1972.tb00899.x *</w:t>
      </w:r>
    </w:p>
    <w:p w14:paraId="617A87D5" w14:textId="77777777" w:rsidR="00B51F6D" w:rsidRDefault="00B51F6D" w:rsidP="00B51F6D">
      <w:pPr>
        <w:ind w:left="720" w:hanging="360"/>
      </w:pPr>
      <w:r>
        <w:rPr>
          <w:b/>
          <w:bCs/>
          <w:color w:val="1F3864"/>
          <w:sz w:val="20"/>
          <w:szCs w:val="20"/>
        </w:rPr>
        <w:t xml:space="preserve">[4] </w:t>
      </w:r>
      <w:proofErr w:type="spellStart"/>
      <w:r>
        <w:rPr>
          <w:sz w:val="20"/>
          <w:szCs w:val="20"/>
        </w:rPr>
        <w:t>Tibshirani</w:t>
      </w:r>
      <w:proofErr w:type="spellEnd"/>
      <w:r>
        <w:rPr>
          <w:sz w:val="20"/>
          <w:szCs w:val="20"/>
        </w:rPr>
        <w:t xml:space="preserve">, R. (1996). </w:t>
      </w:r>
      <w:proofErr w:type="spellStart"/>
      <w:r>
        <w:rPr>
          <w:sz w:val="20"/>
          <w:szCs w:val="20"/>
        </w:rPr>
        <w:t>Regression</w:t>
      </w:r>
      <w:proofErr w:type="spellEnd"/>
      <w:r>
        <w:rPr>
          <w:sz w:val="20"/>
          <w:szCs w:val="20"/>
        </w:rPr>
        <w:t xml:space="preserve"> </w:t>
      </w:r>
      <w:proofErr w:type="spellStart"/>
      <w:r>
        <w:rPr>
          <w:sz w:val="20"/>
          <w:szCs w:val="20"/>
        </w:rPr>
        <w:t>shrinkage</w:t>
      </w:r>
      <w:proofErr w:type="spellEnd"/>
      <w:r>
        <w:rPr>
          <w:sz w:val="20"/>
          <w:szCs w:val="20"/>
        </w:rPr>
        <w:t xml:space="preserve"> and </w:t>
      </w:r>
      <w:proofErr w:type="spellStart"/>
      <w:r>
        <w:rPr>
          <w:sz w:val="20"/>
          <w:szCs w:val="20"/>
        </w:rPr>
        <w:t>selection</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lasso</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Royal </w:t>
      </w:r>
      <w:proofErr w:type="spellStart"/>
      <w:r>
        <w:rPr>
          <w:sz w:val="20"/>
          <w:szCs w:val="20"/>
        </w:rPr>
        <w:t>Statistical</w:t>
      </w:r>
      <w:proofErr w:type="spellEnd"/>
      <w:r>
        <w:rPr>
          <w:sz w:val="20"/>
          <w:szCs w:val="20"/>
        </w:rPr>
        <w:t xml:space="preserve"> </w:t>
      </w:r>
      <w:proofErr w:type="spellStart"/>
      <w:r>
        <w:rPr>
          <w:sz w:val="20"/>
          <w:szCs w:val="20"/>
        </w:rPr>
        <w:t>Society</w:t>
      </w:r>
      <w:proofErr w:type="spellEnd"/>
      <w:r>
        <w:rPr>
          <w:sz w:val="20"/>
          <w:szCs w:val="20"/>
        </w:rPr>
        <w:t>: Series B, 58(1), 267-288. https://doi.org/10.1111/j.2517-6161.1996.tb02080.x</w:t>
      </w:r>
    </w:p>
    <w:p w14:paraId="34B9DE15" w14:textId="77777777" w:rsidR="00B51F6D" w:rsidRDefault="00B51F6D" w:rsidP="00B51F6D">
      <w:pPr>
        <w:ind w:left="720" w:hanging="360"/>
      </w:pPr>
      <w:r>
        <w:rPr>
          <w:b/>
          <w:bCs/>
          <w:color w:val="1F3864"/>
          <w:sz w:val="20"/>
          <w:szCs w:val="20"/>
        </w:rPr>
        <w:t xml:space="preserve">[5] </w:t>
      </w:r>
      <w:proofErr w:type="spellStart"/>
      <w:r>
        <w:rPr>
          <w:sz w:val="20"/>
          <w:szCs w:val="20"/>
        </w:rPr>
        <w:t>Tibshirani</w:t>
      </w:r>
      <w:proofErr w:type="spellEnd"/>
      <w:r>
        <w:rPr>
          <w:sz w:val="20"/>
          <w:szCs w:val="20"/>
        </w:rPr>
        <w:t xml:space="preserve">, R. (1997). </w:t>
      </w:r>
      <w:proofErr w:type="spellStart"/>
      <w:r>
        <w:rPr>
          <w:sz w:val="20"/>
          <w:szCs w:val="20"/>
        </w:rPr>
        <w:t>The</w:t>
      </w:r>
      <w:proofErr w:type="spellEnd"/>
      <w:r>
        <w:rPr>
          <w:sz w:val="20"/>
          <w:szCs w:val="20"/>
        </w:rPr>
        <w:t xml:space="preserve"> </w:t>
      </w:r>
      <w:proofErr w:type="spellStart"/>
      <w:r>
        <w:rPr>
          <w:sz w:val="20"/>
          <w:szCs w:val="20"/>
        </w:rPr>
        <w:t>lasso</w:t>
      </w:r>
      <w:proofErr w:type="spellEnd"/>
      <w:r>
        <w:rPr>
          <w:sz w:val="20"/>
          <w:szCs w:val="20"/>
        </w:rPr>
        <w:t xml:space="preserve"> </w:t>
      </w:r>
      <w:proofErr w:type="spellStart"/>
      <w:r>
        <w:rPr>
          <w:sz w:val="20"/>
          <w:szCs w:val="20"/>
        </w:rPr>
        <w:t>method</w:t>
      </w:r>
      <w:proofErr w:type="spellEnd"/>
      <w:r>
        <w:rPr>
          <w:sz w:val="20"/>
          <w:szCs w:val="20"/>
        </w:rPr>
        <w:t xml:space="preserve"> </w:t>
      </w:r>
      <w:proofErr w:type="spellStart"/>
      <w:r>
        <w:rPr>
          <w:sz w:val="20"/>
          <w:szCs w:val="20"/>
        </w:rPr>
        <w:t>for</w:t>
      </w:r>
      <w:proofErr w:type="spellEnd"/>
      <w:r>
        <w:rPr>
          <w:sz w:val="20"/>
          <w:szCs w:val="20"/>
        </w:rPr>
        <w:t xml:space="preserve"> variable </w:t>
      </w:r>
      <w:proofErr w:type="spellStart"/>
      <w:r>
        <w:rPr>
          <w:sz w:val="20"/>
          <w:szCs w:val="20"/>
        </w:rPr>
        <w:t>selection</w:t>
      </w:r>
      <w:proofErr w:type="spellEnd"/>
      <w:r>
        <w:rPr>
          <w:sz w:val="20"/>
          <w:szCs w:val="20"/>
        </w:rPr>
        <w:t xml:space="preserve"> in </w:t>
      </w:r>
      <w:proofErr w:type="spellStart"/>
      <w:r>
        <w:rPr>
          <w:sz w:val="20"/>
          <w:szCs w:val="20"/>
        </w:rPr>
        <w:t>the</w:t>
      </w:r>
      <w:proofErr w:type="spellEnd"/>
      <w:r>
        <w:rPr>
          <w:sz w:val="20"/>
          <w:szCs w:val="20"/>
        </w:rPr>
        <w:t xml:space="preserve"> Cox </w:t>
      </w:r>
      <w:proofErr w:type="spellStart"/>
      <w:r>
        <w:rPr>
          <w:sz w:val="20"/>
          <w:szCs w:val="20"/>
        </w:rPr>
        <w:t>model</w:t>
      </w:r>
      <w:proofErr w:type="spellEnd"/>
      <w:r>
        <w:rPr>
          <w:sz w:val="20"/>
          <w:szCs w:val="20"/>
        </w:rPr>
        <w:t xml:space="preserve">. </w:t>
      </w:r>
      <w:proofErr w:type="spellStart"/>
      <w:r>
        <w:rPr>
          <w:sz w:val="20"/>
          <w:szCs w:val="20"/>
        </w:rPr>
        <w:t>Statistics</w:t>
      </w:r>
      <w:proofErr w:type="spellEnd"/>
      <w:r>
        <w:rPr>
          <w:sz w:val="20"/>
          <w:szCs w:val="20"/>
        </w:rPr>
        <w:t xml:space="preserve"> in Medicine, 16(4), 385-395. https://doi.org/10.1002/(SICI)1097-0258(19970228)16:4&lt;</w:t>
      </w:r>
      <w:proofErr w:type="gramStart"/>
      <w:r>
        <w:rPr>
          <w:sz w:val="20"/>
          <w:szCs w:val="20"/>
        </w:rPr>
        <w:t>385::</w:t>
      </w:r>
      <w:proofErr w:type="gramEnd"/>
      <w:r>
        <w:rPr>
          <w:sz w:val="20"/>
          <w:szCs w:val="20"/>
        </w:rPr>
        <w:t>AID-SIM380&gt;3.0.CO;2-3</w:t>
      </w:r>
    </w:p>
    <w:p w14:paraId="59898E17" w14:textId="77777777" w:rsidR="00B51F6D" w:rsidRDefault="00B51F6D" w:rsidP="00B51F6D">
      <w:pPr>
        <w:ind w:left="720" w:hanging="360"/>
      </w:pPr>
      <w:r>
        <w:rPr>
          <w:b/>
          <w:bCs/>
          <w:color w:val="1F3864"/>
          <w:sz w:val="20"/>
          <w:szCs w:val="20"/>
        </w:rPr>
        <w:t xml:space="preserve">[6] </w:t>
      </w:r>
      <w:proofErr w:type="spellStart"/>
      <w:r>
        <w:rPr>
          <w:sz w:val="20"/>
          <w:szCs w:val="20"/>
        </w:rPr>
        <w:t>Stensrud</w:t>
      </w:r>
      <w:proofErr w:type="spellEnd"/>
      <w:r>
        <w:rPr>
          <w:sz w:val="20"/>
          <w:szCs w:val="20"/>
        </w:rPr>
        <w:t xml:space="preserve">, M. J., &amp; Hernán, M. A. (2020). </w:t>
      </w:r>
      <w:proofErr w:type="spellStart"/>
      <w:r>
        <w:rPr>
          <w:sz w:val="20"/>
          <w:szCs w:val="20"/>
        </w:rPr>
        <w:t>Why</w:t>
      </w:r>
      <w:proofErr w:type="spellEnd"/>
      <w:r>
        <w:rPr>
          <w:sz w:val="20"/>
          <w:szCs w:val="20"/>
        </w:rPr>
        <w:t xml:space="preserve"> test </w:t>
      </w:r>
      <w:proofErr w:type="spellStart"/>
      <w:r>
        <w:rPr>
          <w:sz w:val="20"/>
          <w:szCs w:val="20"/>
        </w:rPr>
        <w:t>for</w:t>
      </w:r>
      <w:proofErr w:type="spellEnd"/>
      <w:r>
        <w:rPr>
          <w:sz w:val="20"/>
          <w:szCs w:val="20"/>
        </w:rPr>
        <w:t xml:space="preserve">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JAMA, 323(14), 1401-1402. https://doi.org/10.1001/jama.2020.1267</w:t>
      </w:r>
    </w:p>
    <w:p w14:paraId="0D1CE69E" w14:textId="77777777" w:rsidR="00B51F6D" w:rsidRDefault="00B51F6D" w:rsidP="00B51F6D">
      <w:pPr>
        <w:ind w:left="720" w:hanging="360"/>
      </w:pPr>
      <w:r>
        <w:rPr>
          <w:b/>
          <w:bCs/>
          <w:color w:val="1F3864"/>
          <w:sz w:val="20"/>
          <w:szCs w:val="20"/>
        </w:rPr>
        <w:t xml:space="preserve">[7] </w:t>
      </w:r>
      <w:r>
        <w:rPr>
          <w:sz w:val="20"/>
          <w:szCs w:val="20"/>
        </w:rPr>
        <w:t xml:space="preserve">Clarke, R., </w:t>
      </w:r>
      <w:proofErr w:type="spellStart"/>
      <w:r>
        <w:rPr>
          <w:sz w:val="20"/>
          <w:szCs w:val="20"/>
        </w:rPr>
        <w:t>Ressom</w:t>
      </w:r>
      <w:proofErr w:type="spellEnd"/>
      <w:r>
        <w:rPr>
          <w:sz w:val="20"/>
          <w:szCs w:val="20"/>
        </w:rPr>
        <w:t xml:space="preserve">, H. W., Wang, A., et al. (2008). </w:t>
      </w:r>
      <w:proofErr w:type="spellStart"/>
      <w:r>
        <w:rPr>
          <w:sz w:val="20"/>
          <w:szCs w:val="20"/>
        </w:rPr>
        <w:t>The</w:t>
      </w:r>
      <w:proofErr w:type="spellEnd"/>
      <w:r>
        <w:rPr>
          <w:sz w:val="20"/>
          <w:szCs w:val="20"/>
        </w:rPr>
        <w:t xml:space="preserve"> </w:t>
      </w:r>
      <w:proofErr w:type="spellStart"/>
      <w:r>
        <w:rPr>
          <w:sz w:val="20"/>
          <w:szCs w:val="20"/>
        </w:rPr>
        <w:t>properties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high</w:t>
      </w:r>
      <w:proofErr w:type="spellEnd"/>
      <w:r>
        <w:rPr>
          <w:sz w:val="20"/>
          <w:szCs w:val="20"/>
        </w:rPr>
        <w:t xml:space="preserve">-dimensional data </w:t>
      </w:r>
      <w:proofErr w:type="spellStart"/>
      <w:r>
        <w:rPr>
          <w:sz w:val="20"/>
          <w:szCs w:val="20"/>
        </w:rPr>
        <w:t>spaces</w:t>
      </w:r>
      <w:proofErr w:type="spellEnd"/>
      <w:r>
        <w:rPr>
          <w:sz w:val="20"/>
          <w:szCs w:val="20"/>
        </w:rPr>
        <w:t xml:space="preserve">: </w:t>
      </w:r>
      <w:proofErr w:type="spellStart"/>
      <w:r>
        <w:rPr>
          <w:sz w:val="20"/>
          <w:szCs w:val="20"/>
        </w:rPr>
        <w:t>implications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exploring</w:t>
      </w:r>
      <w:proofErr w:type="spellEnd"/>
      <w:r>
        <w:rPr>
          <w:sz w:val="20"/>
          <w:szCs w:val="20"/>
        </w:rPr>
        <w:t xml:space="preserve"> gene and </w:t>
      </w:r>
      <w:proofErr w:type="spellStart"/>
      <w:r>
        <w:rPr>
          <w:sz w:val="20"/>
          <w:szCs w:val="20"/>
        </w:rPr>
        <w:t>protein</w:t>
      </w:r>
      <w:proofErr w:type="spellEnd"/>
      <w:r>
        <w:rPr>
          <w:sz w:val="20"/>
          <w:szCs w:val="20"/>
        </w:rPr>
        <w:t xml:space="preserve"> </w:t>
      </w:r>
      <w:proofErr w:type="spellStart"/>
      <w:r>
        <w:rPr>
          <w:sz w:val="20"/>
          <w:szCs w:val="20"/>
        </w:rPr>
        <w:t>expression</w:t>
      </w:r>
      <w:proofErr w:type="spellEnd"/>
      <w:r>
        <w:rPr>
          <w:sz w:val="20"/>
          <w:szCs w:val="20"/>
        </w:rPr>
        <w:t xml:space="preserve"> data. </w:t>
      </w:r>
      <w:proofErr w:type="spellStart"/>
      <w:r>
        <w:rPr>
          <w:sz w:val="20"/>
          <w:szCs w:val="20"/>
        </w:rPr>
        <w:t>Nature</w:t>
      </w:r>
      <w:proofErr w:type="spellEnd"/>
      <w:r>
        <w:rPr>
          <w:sz w:val="20"/>
          <w:szCs w:val="20"/>
        </w:rPr>
        <w:t xml:space="preserve"> </w:t>
      </w:r>
      <w:proofErr w:type="spellStart"/>
      <w:r>
        <w:rPr>
          <w:sz w:val="20"/>
          <w:szCs w:val="20"/>
        </w:rPr>
        <w:t>Reviews</w:t>
      </w:r>
      <w:proofErr w:type="spellEnd"/>
      <w:r>
        <w:rPr>
          <w:sz w:val="20"/>
          <w:szCs w:val="20"/>
        </w:rPr>
        <w:t xml:space="preserve"> </w:t>
      </w:r>
      <w:proofErr w:type="spellStart"/>
      <w:r>
        <w:rPr>
          <w:sz w:val="20"/>
          <w:szCs w:val="20"/>
        </w:rPr>
        <w:t>Cancer</w:t>
      </w:r>
      <w:proofErr w:type="spellEnd"/>
      <w:r>
        <w:rPr>
          <w:sz w:val="20"/>
          <w:szCs w:val="20"/>
        </w:rPr>
        <w:t>, 8(1), 37-49. https://doi.org/10.1038/nrc2294</w:t>
      </w:r>
    </w:p>
    <w:p w14:paraId="28C80235" w14:textId="77777777" w:rsidR="00B51F6D" w:rsidRDefault="00B51F6D" w:rsidP="00B51F6D">
      <w:pPr>
        <w:ind w:left="720" w:hanging="360"/>
      </w:pPr>
      <w:r>
        <w:rPr>
          <w:b/>
          <w:bCs/>
          <w:color w:val="1F3864"/>
          <w:sz w:val="20"/>
          <w:szCs w:val="20"/>
        </w:rPr>
        <w:t xml:space="preserve">[8] </w:t>
      </w:r>
      <w:r>
        <w:rPr>
          <w:sz w:val="20"/>
          <w:szCs w:val="20"/>
        </w:rPr>
        <w:t xml:space="preserve">Wang, P., Li, Y., &amp; Reddy, C. K. (2019). Machine learning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a </w:t>
      </w:r>
      <w:proofErr w:type="spellStart"/>
      <w:r>
        <w:rPr>
          <w:sz w:val="20"/>
          <w:szCs w:val="20"/>
        </w:rPr>
        <w:t>survey</w:t>
      </w:r>
      <w:proofErr w:type="spellEnd"/>
      <w:r>
        <w:rPr>
          <w:sz w:val="20"/>
          <w:szCs w:val="20"/>
        </w:rPr>
        <w:t xml:space="preserve">. ACM Computing </w:t>
      </w:r>
      <w:proofErr w:type="spellStart"/>
      <w:r>
        <w:rPr>
          <w:sz w:val="20"/>
          <w:szCs w:val="20"/>
        </w:rPr>
        <w:t>Surveys</w:t>
      </w:r>
      <w:proofErr w:type="spellEnd"/>
      <w:r>
        <w:rPr>
          <w:sz w:val="20"/>
          <w:szCs w:val="20"/>
        </w:rPr>
        <w:t>, 51(6), 1-36. https://doi.org/10.1145/3214306 *</w:t>
      </w:r>
    </w:p>
    <w:p w14:paraId="1C0977AF" w14:textId="77777777" w:rsidR="00B51F6D" w:rsidRDefault="00B51F6D" w:rsidP="00B51F6D">
      <w:pPr>
        <w:ind w:left="720" w:hanging="360"/>
      </w:pPr>
      <w:r>
        <w:rPr>
          <w:b/>
          <w:bCs/>
          <w:color w:val="1F3864"/>
          <w:sz w:val="20"/>
          <w:szCs w:val="20"/>
        </w:rPr>
        <w:t xml:space="preserve">[9] </w:t>
      </w:r>
      <w:proofErr w:type="spellStart"/>
      <w:r>
        <w:rPr>
          <w:sz w:val="20"/>
          <w:szCs w:val="20"/>
        </w:rPr>
        <w:t>Ishwaran</w:t>
      </w:r>
      <w:proofErr w:type="spellEnd"/>
      <w:r>
        <w:rPr>
          <w:sz w:val="20"/>
          <w:szCs w:val="20"/>
        </w:rPr>
        <w:t xml:space="preserve">, H., </w:t>
      </w:r>
      <w:proofErr w:type="spellStart"/>
      <w:r>
        <w:rPr>
          <w:sz w:val="20"/>
          <w:szCs w:val="20"/>
        </w:rPr>
        <w:t>Kogalur</w:t>
      </w:r>
      <w:proofErr w:type="spellEnd"/>
      <w:r>
        <w:rPr>
          <w:sz w:val="20"/>
          <w:szCs w:val="20"/>
        </w:rPr>
        <w:t xml:space="preserve">, U. B., </w:t>
      </w:r>
      <w:proofErr w:type="spellStart"/>
      <w:r>
        <w:rPr>
          <w:sz w:val="20"/>
          <w:szCs w:val="20"/>
        </w:rPr>
        <w:t>Blackstone</w:t>
      </w:r>
      <w:proofErr w:type="spellEnd"/>
      <w:r>
        <w:rPr>
          <w:sz w:val="20"/>
          <w:szCs w:val="20"/>
        </w:rPr>
        <w:t xml:space="preserve">, E. H., &amp; Lauer, M. S. (2008). </w:t>
      </w:r>
      <w:proofErr w:type="spellStart"/>
      <w:r>
        <w:rPr>
          <w:sz w:val="20"/>
          <w:szCs w:val="20"/>
        </w:rPr>
        <w:t>Random</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forests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Annals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Applied</w:t>
      </w:r>
      <w:proofErr w:type="spellEnd"/>
      <w:r>
        <w:rPr>
          <w:sz w:val="20"/>
          <w:szCs w:val="20"/>
        </w:rPr>
        <w:t xml:space="preserve"> </w:t>
      </w:r>
      <w:proofErr w:type="spellStart"/>
      <w:r>
        <w:rPr>
          <w:sz w:val="20"/>
          <w:szCs w:val="20"/>
        </w:rPr>
        <w:t>Statistics</w:t>
      </w:r>
      <w:proofErr w:type="spellEnd"/>
      <w:r>
        <w:rPr>
          <w:sz w:val="20"/>
          <w:szCs w:val="20"/>
        </w:rPr>
        <w:t>, 2(3), 841-860. https://doi.org/10.1214/08-AOAS169 *</w:t>
      </w:r>
    </w:p>
    <w:p w14:paraId="3241328B" w14:textId="77777777" w:rsidR="00B51F6D" w:rsidRDefault="00B51F6D" w:rsidP="00B51F6D">
      <w:pPr>
        <w:ind w:left="720" w:hanging="360"/>
      </w:pPr>
      <w:r>
        <w:rPr>
          <w:b/>
          <w:bCs/>
          <w:color w:val="1F3864"/>
          <w:sz w:val="20"/>
          <w:szCs w:val="20"/>
        </w:rPr>
        <w:t xml:space="preserve">[10] </w:t>
      </w:r>
      <w:r>
        <w:rPr>
          <w:sz w:val="20"/>
          <w:szCs w:val="20"/>
        </w:rPr>
        <w:t xml:space="preserve">Zhu, X., Yao, J., &amp; Huang, J. (2020). Deep </w:t>
      </w:r>
      <w:proofErr w:type="spellStart"/>
      <w:r>
        <w:rPr>
          <w:sz w:val="20"/>
          <w:szCs w:val="20"/>
        </w:rPr>
        <w:t>convolutional</w:t>
      </w:r>
      <w:proofErr w:type="spellEnd"/>
      <w:r>
        <w:rPr>
          <w:sz w:val="20"/>
          <w:szCs w:val="20"/>
        </w:rPr>
        <w:t xml:space="preserve"> neural </w:t>
      </w:r>
      <w:proofErr w:type="spellStart"/>
      <w:r>
        <w:rPr>
          <w:sz w:val="20"/>
          <w:szCs w:val="20"/>
        </w:rPr>
        <w:t>network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pathological</w:t>
      </w:r>
      <w:proofErr w:type="spellEnd"/>
      <w:r>
        <w:rPr>
          <w:sz w:val="20"/>
          <w:szCs w:val="20"/>
        </w:rPr>
        <w:t xml:space="preserve"> </w:t>
      </w:r>
      <w:proofErr w:type="spellStart"/>
      <w:r>
        <w:rPr>
          <w:sz w:val="20"/>
          <w:szCs w:val="20"/>
        </w:rPr>
        <w:t>images</w:t>
      </w:r>
      <w:proofErr w:type="spellEnd"/>
      <w:r>
        <w:rPr>
          <w:sz w:val="20"/>
          <w:szCs w:val="20"/>
        </w:rPr>
        <w:t xml:space="preserve">. In 2020 IEEE International </w:t>
      </w:r>
      <w:proofErr w:type="spellStart"/>
      <w:r>
        <w:rPr>
          <w:sz w:val="20"/>
          <w:szCs w:val="20"/>
        </w:rPr>
        <w:t>Conference</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Bioinformatics</w:t>
      </w:r>
      <w:proofErr w:type="spellEnd"/>
      <w:r>
        <w:rPr>
          <w:sz w:val="20"/>
          <w:szCs w:val="20"/>
        </w:rPr>
        <w:t xml:space="preserve"> and </w:t>
      </w:r>
      <w:proofErr w:type="spellStart"/>
      <w:r>
        <w:rPr>
          <w:sz w:val="20"/>
          <w:szCs w:val="20"/>
        </w:rPr>
        <w:t>Biomedicine</w:t>
      </w:r>
      <w:proofErr w:type="spellEnd"/>
      <w:r>
        <w:rPr>
          <w:sz w:val="20"/>
          <w:szCs w:val="20"/>
        </w:rPr>
        <w:t xml:space="preserve"> (BIBM), 544-547. https://doi.org/10.1109/BIBM49941.2020.9313490</w:t>
      </w:r>
    </w:p>
    <w:p w14:paraId="0A3CBA4B" w14:textId="77777777" w:rsidR="00B51F6D" w:rsidRDefault="00B51F6D" w:rsidP="00B51F6D">
      <w:pPr>
        <w:ind w:left="720" w:hanging="360"/>
      </w:pPr>
      <w:r>
        <w:rPr>
          <w:b/>
          <w:bCs/>
          <w:color w:val="1F3864"/>
          <w:sz w:val="20"/>
          <w:szCs w:val="20"/>
        </w:rPr>
        <w:t xml:space="preserve">[11] </w:t>
      </w:r>
      <w:r>
        <w:rPr>
          <w:sz w:val="20"/>
          <w:szCs w:val="20"/>
        </w:rPr>
        <w:t xml:space="preserve">Spooner, A., Chen, E., </w:t>
      </w:r>
      <w:proofErr w:type="spellStart"/>
      <w:r>
        <w:rPr>
          <w:sz w:val="20"/>
          <w:szCs w:val="20"/>
        </w:rPr>
        <w:t>Sowmya</w:t>
      </w:r>
      <w:proofErr w:type="spellEnd"/>
      <w:r>
        <w:rPr>
          <w:sz w:val="20"/>
          <w:szCs w:val="20"/>
        </w:rPr>
        <w:t xml:space="preserve">, A., et al. (2020). A </w:t>
      </w:r>
      <w:proofErr w:type="spellStart"/>
      <w:r>
        <w:rPr>
          <w:sz w:val="20"/>
          <w:szCs w:val="20"/>
        </w:rPr>
        <w:t>comparison</w:t>
      </w:r>
      <w:proofErr w:type="spellEnd"/>
      <w:r>
        <w:rPr>
          <w:sz w:val="20"/>
          <w:szCs w:val="20"/>
        </w:rPr>
        <w:t xml:space="preserve"> </w:t>
      </w:r>
      <w:proofErr w:type="spellStart"/>
      <w:r>
        <w:rPr>
          <w:sz w:val="20"/>
          <w:szCs w:val="20"/>
        </w:rPr>
        <w:t>of</w:t>
      </w:r>
      <w:proofErr w:type="spellEnd"/>
      <w:r>
        <w:rPr>
          <w:sz w:val="20"/>
          <w:szCs w:val="20"/>
        </w:rPr>
        <w:t xml:space="preserve"> machine learning </w:t>
      </w:r>
      <w:proofErr w:type="spellStart"/>
      <w:r>
        <w:rPr>
          <w:sz w:val="20"/>
          <w:szCs w:val="20"/>
        </w:rPr>
        <w:t>methods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high</w:t>
      </w:r>
      <w:proofErr w:type="spellEnd"/>
      <w:r>
        <w:rPr>
          <w:sz w:val="20"/>
          <w:szCs w:val="20"/>
        </w:rPr>
        <w:t xml:space="preserve">-dimensional </w:t>
      </w:r>
      <w:proofErr w:type="spellStart"/>
      <w:r>
        <w:rPr>
          <w:sz w:val="20"/>
          <w:szCs w:val="20"/>
        </w:rPr>
        <w:t>clinical</w:t>
      </w:r>
      <w:proofErr w:type="spellEnd"/>
      <w:r>
        <w:rPr>
          <w:sz w:val="20"/>
          <w:szCs w:val="20"/>
        </w:rPr>
        <w:t xml:space="preserve"> data </w:t>
      </w:r>
      <w:proofErr w:type="spellStart"/>
      <w:r>
        <w:rPr>
          <w:sz w:val="20"/>
          <w:szCs w:val="20"/>
        </w:rPr>
        <w:t>for</w:t>
      </w:r>
      <w:proofErr w:type="spellEnd"/>
      <w:r>
        <w:rPr>
          <w:sz w:val="20"/>
          <w:szCs w:val="20"/>
        </w:rPr>
        <w:t xml:space="preserve"> </w:t>
      </w:r>
      <w:proofErr w:type="spellStart"/>
      <w:r>
        <w:rPr>
          <w:sz w:val="20"/>
          <w:szCs w:val="20"/>
        </w:rPr>
        <w:t>dementia</w:t>
      </w:r>
      <w:proofErr w:type="spellEnd"/>
      <w:r>
        <w:rPr>
          <w:sz w:val="20"/>
          <w:szCs w:val="20"/>
        </w:rPr>
        <w:t xml:space="preserve"> </w:t>
      </w:r>
      <w:proofErr w:type="spellStart"/>
      <w:r>
        <w:rPr>
          <w:sz w:val="20"/>
          <w:szCs w:val="20"/>
        </w:rPr>
        <w:t>prediction</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10(1), 20410. https://doi.org/10.1038/s41598-020-77220-w *</w:t>
      </w:r>
    </w:p>
    <w:p w14:paraId="56C380C6" w14:textId="77777777" w:rsidR="00B51F6D" w:rsidRDefault="00B51F6D" w:rsidP="00B51F6D">
      <w:pPr>
        <w:ind w:left="720" w:hanging="360"/>
      </w:pPr>
      <w:r>
        <w:rPr>
          <w:b/>
          <w:bCs/>
          <w:color w:val="1F3864"/>
          <w:sz w:val="20"/>
          <w:szCs w:val="20"/>
        </w:rPr>
        <w:t xml:space="preserve">[12] </w:t>
      </w:r>
      <w:r>
        <w:rPr>
          <w:sz w:val="20"/>
          <w:szCs w:val="20"/>
        </w:rPr>
        <w:t xml:space="preserve">Van Belle, V., </w:t>
      </w:r>
      <w:proofErr w:type="spellStart"/>
      <w:r>
        <w:rPr>
          <w:sz w:val="20"/>
          <w:szCs w:val="20"/>
        </w:rPr>
        <w:t>Pelckmans</w:t>
      </w:r>
      <w:proofErr w:type="spellEnd"/>
      <w:r>
        <w:rPr>
          <w:sz w:val="20"/>
          <w:szCs w:val="20"/>
        </w:rPr>
        <w:t xml:space="preserve">, K., Van </w:t>
      </w:r>
      <w:proofErr w:type="spellStart"/>
      <w:r>
        <w:rPr>
          <w:sz w:val="20"/>
          <w:szCs w:val="20"/>
        </w:rPr>
        <w:t>Huffel</w:t>
      </w:r>
      <w:proofErr w:type="spellEnd"/>
      <w:r>
        <w:rPr>
          <w:sz w:val="20"/>
          <w:szCs w:val="20"/>
        </w:rPr>
        <w:t xml:space="preserve">, S., &amp; </w:t>
      </w:r>
      <w:proofErr w:type="spellStart"/>
      <w:r>
        <w:rPr>
          <w:sz w:val="20"/>
          <w:szCs w:val="20"/>
        </w:rPr>
        <w:t>Suykens</w:t>
      </w:r>
      <w:proofErr w:type="spellEnd"/>
      <w:r>
        <w:rPr>
          <w:sz w:val="20"/>
          <w:szCs w:val="20"/>
        </w:rPr>
        <w:t xml:space="preserve">, J. A. (2011). </w:t>
      </w:r>
      <w:proofErr w:type="spellStart"/>
      <w:r>
        <w:rPr>
          <w:sz w:val="20"/>
          <w:szCs w:val="20"/>
        </w:rPr>
        <w:t>Improved</w:t>
      </w:r>
      <w:proofErr w:type="spellEnd"/>
      <w:r>
        <w:rPr>
          <w:sz w:val="20"/>
          <w:szCs w:val="20"/>
        </w:rPr>
        <w:t xml:space="preserve"> performance </w:t>
      </w:r>
      <w:proofErr w:type="spellStart"/>
      <w:r>
        <w:rPr>
          <w:sz w:val="20"/>
          <w:szCs w:val="20"/>
        </w:rPr>
        <w:t>on</w:t>
      </w:r>
      <w:proofErr w:type="spellEnd"/>
      <w:r>
        <w:rPr>
          <w:sz w:val="20"/>
          <w:szCs w:val="20"/>
        </w:rPr>
        <w:t xml:space="preserve"> </w:t>
      </w:r>
      <w:proofErr w:type="spellStart"/>
      <w:r>
        <w:rPr>
          <w:sz w:val="20"/>
          <w:szCs w:val="20"/>
        </w:rPr>
        <w:t>high</w:t>
      </w:r>
      <w:proofErr w:type="spellEnd"/>
      <w:r>
        <w:rPr>
          <w:sz w:val="20"/>
          <w:szCs w:val="20"/>
        </w:rPr>
        <w:t xml:space="preserve">-dimensional </w:t>
      </w:r>
      <w:proofErr w:type="spellStart"/>
      <w:r>
        <w:rPr>
          <w:sz w:val="20"/>
          <w:szCs w:val="20"/>
        </w:rPr>
        <w:t>survival</w:t>
      </w:r>
      <w:proofErr w:type="spellEnd"/>
      <w:r>
        <w:rPr>
          <w:sz w:val="20"/>
          <w:szCs w:val="20"/>
        </w:rPr>
        <w:t xml:space="preserve"> data </w:t>
      </w:r>
      <w:proofErr w:type="spellStart"/>
      <w:r>
        <w:rPr>
          <w:sz w:val="20"/>
          <w:szCs w:val="20"/>
        </w:rPr>
        <w:t>by</w:t>
      </w:r>
      <w:proofErr w:type="spellEnd"/>
      <w:r>
        <w:rPr>
          <w:sz w:val="20"/>
          <w:szCs w:val="20"/>
        </w:rPr>
        <w:t xml:space="preserve"> </w:t>
      </w:r>
      <w:proofErr w:type="spellStart"/>
      <w:r>
        <w:rPr>
          <w:sz w:val="20"/>
          <w:szCs w:val="20"/>
        </w:rPr>
        <w:t>application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-SVM. </w:t>
      </w:r>
      <w:proofErr w:type="spellStart"/>
      <w:r>
        <w:rPr>
          <w:sz w:val="20"/>
          <w:szCs w:val="20"/>
        </w:rPr>
        <w:t>Bioinformatics</w:t>
      </w:r>
      <w:proofErr w:type="spellEnd"/>
      <w:r>
        <w:rPr>
          <w:sz w:val="20"/>
          <w:szCs w:val="20"/>
        </w:rPr>
        <w:t>, 27(1), 87-94. https://doi.org/10.1093/bioinformatics/btq617</w:t>
      </w:r>
    </w:p>
    <w:p w14:paraId="2530083E" w14:textId="77777777" w:rsidR="00B51F6D" w:rsidRDefault="00B51F6D" w:rsidP="00B51F6D">
      <w:pPr>
        <w:ind w:left="720" w:hanging="360"/>
      </w:pPr>
      <w:r>
        <w:rPr>
          <w:b/>
          <w:bCs/>
          <w:color w:val="1F3864"/>
          <w:sz w:val="20"/>
          <w:szCs w:val="20"/>
        </w:rPr>
        <w:t xml:space="preserve">[13] </w:t>
      </w:r>
      <w:proofErr w:type="spellStart"/>
      <w:r>
        <w:rPr>
          <w:sz w:val="20"/>
          <w:szCs w:val="20"/>
        </w:rPr>
        <w:t>Katzman</w:t>
      </w:r>
      <w:proofErr w:type="spellEnd"/>
      <w:r>
        <w:rPr>
          <w:sz w:val="20"/>
          <w:szCs w:val="20"/>
        </w:rPr>
        <w:t xml:space="preserve">, J. L., </w:t>
      </w:r>
      <w:proofErr w:type="spellStart"/>
      <w:r>
        <w:rPr>
          <w:sz w:val="20"/>
          <w:szCs w:val="20"/>
        </w:rPr>
        <w:t>Shaham</w:t>
      </w:r>
      <w:proofErr w:type="spellEnd"/>
      <w:r>
        <w:rPr>
          <w:sz w:val="20"/>
          <w:szCs w:val="20"/>
        </w:rPr>
        <w:t xml:space="preserve">, U., </w:t>
      </w:r>
      <w:proofErr w:type="spellStart"/>
      <w:r>
        <w:rPr>
          <w:sz w:val="20"/>
          <w:szCs w:val="20"/>
        </w:rPr>
        <w:t>Cloninger</w:t>
      </w:r>
      <w:proofErr w:type="spellEnd"/>
      <w:r>
        <w:rPr>
          <w:sz w:val="20"/>
          <w:szCs w:val="20"/>
        </w:rPr>
        <w:t xml:space="preserve">, A., Bates, J., </w:t>
      </w:r>
      <w:proofErr w:type="spellStart"/>
      <w:r>
        <w:rPr>
          <w:sz w:val="20"/>
          <w:szCs w:val="20"/>
        </w:rPr>
        <w:t>Jiang</w:t>
      </w:r>
      <w:proofErr w:type="spellEnd"/>
      <w:r>
        <w:rPr>
          <w:sz w:val="20"/>
          <w:szCs w:val="20"/>
        </w:rPr>
        <w:t xml:space="preserve">, T., &amp; </w:t>
      </w:r>
      <w:proofErr w:type="spellStart"/>
      <w:r>
        <w:rPr>
          <w:sz w:val="20"/>
          <w:szCs w:val="20"/>
        </w:rPr>
        <w:t>Kluger</w:t>
      </w:r>
      <w:proofErr w:type="spellEnd"/>
      <w:r>
        <w:rPr>
          <w:sz w:val="20"/>
          <w:szCs w:val="20"/>
        </w:rPr>
        <w:t xml:space="preserve">, Y. (2018). </w:t>
      </w:r>
      <w:proofErr w:type="spellStart"/>
      <w:r>
        <w:rPr>
          <w:sz w:val="20"/>
          <w:szCs w:val="20"/>
        </w:rPr>
        <w:t>DeepSurv</w:t>
      </w:r>
      <w:proofErr w:type="spellEnd"/>
      <w:r>
        <w:rPr>
          <w:sz w:val="20"/>
          <w:szCs w:val="20"/>
        </w:rPr>
        <w:t xml:space="preserve">: </w:t>
      </w:r>
      <w:proofErr w:type="spellStart"/>
      <w:r>
        <w:rPr>
          <w:sz w:val="20"/>
          <w:szCs w:val="20"/>
        </w:rPr>
        <w:t>personalized</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recommender</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using</w:t>
      </w:r>
      <w:proofErr w:type="spellEnd"/>
      <w:r>
        <w:rPr>
          <w:sz w:val="20"/>
          <w:szCs w:val="20"/>
        </w:rPr>
        <w:t xml:space="preserve"> a Cox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w:t>
      </w:r>
      <w:proofErr w:type="spellStart"/>
      <w:r>
        <w:rPr>
          <w:sz w:val="20"/>
          <w:szCs w:val="20"/>
        </w:rPr>
        <w:t>deep</w:t>
      </w:r>
      <w:proofErr w:type="spellEnd"/>
      <w:r>
        <w:rPr>
          <w:sz w:val="20"/>
          <w:szCs w:val="20"/>
        </w:rPr>
        <w:t xml:space="preserve"> neural </w:t>
      </w:r>
      <w:proofErr w:type="spellStart"/>
      <w:r>
        <w:rPr>
          <w:sz w:val="20"/>
          <w:szCs w:val="20"/>
        </w:rPr>
        <w:t>network</w:t>
      </w:r>
      <w:proofErr w:type="spellEnd"/>
      <w:r>
        <w:rPr>
          <w:sz w:val="20"/>
          <w:szCs w:val="20"/>
        </w:rPr>
        <w:t xml:space="preserve">. BMC Medical </w:t>
      </w:r>
      <w:proofErr w:type="spellStart"/>
      <w:r>
        <w:rPr>
          <w:sz w:val="20"/>
          <w:szCs w:val="20"/>
        </w:rPr>
        <w:t>Research</w:t>
      </w:r>
      <w:proofErr w:type="spellEnd"/>
      <w:r>
        <w:rPr>
          <w:sz w:val="20"/>
          <w:szCs w:val="20"/>
        </w:rPr>
        <w:t xml:space="preserve"> </w:t>
      </w:r>
      <w:proofErr w:type="spellStart"/>
      <w:r>
        <w:rPr>
          <w:sz w:val="20"/>
          <w:szCs w:val="20"/>
        </w:rPr>
        <w:t>Methodology</w:t>
      </w:r>
      <w:proofErr w:type="spellEnd"/>
      <w:r>
        <w:rPr>
          <w:sz w:val="20"/>
          <w:szCs w:val="20"/>
        </w:rPr>
        <w:t>, 18(1), 24. https://doi.org/10.1186/s12874-018-0482-1 *</w:t>
      </w:r>
    </w:p>
    <w:p w14:paraId="3EB903F9" w14:textId="77777777" w:rsidR="00B51F6D" w:rsidRDefault="00B51F6D" w:rsidP="00B51F6D">
      <w:pPr>
        <w:ind w:left="720" w:hanging="360"/>
      </w:pPr>
      <w:r>
        <w:rPr>
          <w:b/>
          <w:bCs/>
          <w:color w:val="1F3864"/>
          <w:sz w:val="20"/>
          <w:szCs w:val="20"/>
        </w:rPr>
        <w:t xml:space="preserve">[14] </w:t>
      </w:r>
      <w:r>
        <w:rPr>
          <w:sz w:val="20"/>
          <w:szCs w:val="20"/>
        </w:rPr>
        <w:t>Huang, Z., Johnson, T. S., Han, Z., et al. (2020). Deep learning-</w:t>
      </w:r>
      <w:proofErr w:type="spellStart"/>
      <w:r>
        <w:rPr>
          <w:sz w:val="20"/>
          <w:szCs w:val="20"/>
        </w:rPr>
        <w:t>based</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survival</w:t>
      </w:r>
      <w:proofErr w:type="spellEnd"/>
      <w:r>
        <w:rPr>
          <w:sz w:val="20"/>
          <w:szCs w:val="20"/>
        </w:rPr>
        <w:t xml:space="preserve"> prognosis </w:t>
      </w:r>
      <w:proofErr w:type="spellStart"/>
      <w:r>
        <w:rPr>
          <w:sz w:val="20"/>
          <w:szCs w:val="20"/>
        </w:rPr>
        <w:t>from</w:t>
      </w:r>
      <w:proofErr w:type="spellEnd"/>
      <w:r>
        <w:rPr>
          <w:sz w:val="20"/>
          <w:szCs w:val="20"/>
        </w:rPr>
        <w:t xml:space="preserve"> RNA-</w:t>
      </w:r>
      <w:proofErr w:type="spellStart"/>
      <w:r>
        <w:rPr>
          <w:sz w:val="20"/>
          <w:szCs w:val="20"/>
        </w:rPr>
        <w:t>seq</w:t>
      </w:r>
      <w:proofErr w:type="spellEnd"/>
      <w:r>
        <w:rPr>
          <w:sz w:val="20"/>
          <w:szCs w:val="20"/>
        </w:rPr>
        <w:t xml:space="preserve"> data: </w:t>
      </w:r>
      <w:proofErr w:type="spellStart"/>
      <w:r>
        <w:rPr>
          <w:sz w:val="20"/>
          <w:szCs w:val="20"/>
        </w:rPr>
        <w:t>approaches</w:t>
      </w:r>
      <w:proofErr w:type="spellEnd"/>
      <w:r>
        <w:rPr>
          <w:sz w:val="20"/>
          <w:szCs w:val="20"/>
        </w:rPr>
        <w:t xml:space="preserve"> and </w:t>
      </w:r>
      <w:proofErr w:type="spellStart"/>
      <w:r>
        <w:rPr>
          <w:sz w:val="20"/>
          <w:szCs w:val="20"/>
        </w:rPr>
        <w:t>evaluations</w:t>
      </w:r>
      <w:proofErr w:type="spellEnd"/>
      <w:r>
        <w:rPr>
          <w:sz w:val="20"/>
          <w:szCs w:val="20"/>
        </w:rPr>
        <w:t xml:space="preserve">. BMC Medical </w:t>
      </w:r>
      <w:proofErr w:type="spellStart"/>
      <w:r>
        <w:rPr>
          <w:sz w:val="20"/>
          <w:szCs w:val="20"/>
        </w:rPr>
        <w:t>Genomics</w:t>
      </w:r>
      <w:proofErr w:type="spellEnd"/>
      <w:r>
        <w:rPr>
          <w:sz w:val="20"/>
          <w:szCs w:val="20"/>
        </w:rPr>
        <w:t>, 13(</w:t>
      </w:r>
      <w:proofErr w:type="spellStart"/>
      <w:r>
        <w:rPr>
          <w:sz w:val="20"/>
          <w:szCs w:val="20"/>
        </w:rPr>
        <w:t>Suppl</w:t>
      </w:r>
      <w:proofErr w:type="spellEnd"/>
      <w:r>
        <w:rPr>
          <w:sz w:val="20"/>
          <w:szCs w:val="20"/>
        </w:rPr>
        <w:t xml:space="preserve"> 5), 41. https://doi.org/10.1186/s12920-020-0686-1 *</w:t>
      </w:r>
    </w:p>
    <w:p w14:paraId="5ADA2BF1" w14:textId="77777777" w:rsidR="00B51F6D" w:rsidRDefault="00B51F6D" w:rsidP="00B51F6D">
      <w:pPr>
        <w:ind w:left="720" w:hanging="360"/>
      </w:pPr>
      <w:r>
        <w:rPr>
          <w:b/>
          <w:bCs/>
          <w:color w:val="1F3864"/>
          <w:sz w:val="20"/>
          <w:szCs w:val="20"/>
        </w:rPr>
        <w:t xml:space="preserve">[15] </w:t>
      </w:r>
      <w:proofErr w:type="spellStart"/>
      <w:r>
        <w:rPr>
          <w:sz w:val="20"/>
          <w:szCs w:val="20"/>
        </w:rPr>
        <w:t>Yousefi</w:t>
      </w:r>
      <w:proofErr w:type="spellEnd"/>
      <w:r>
        <w:rPr>
          <w:sz w:val="20"/>
          <w:szCs w:val="20"/>
        </w:rPr>
        <w:t xml:space="preserve">, S., </w:t>
      </w:r>
      <w:proofErr w:type="spellStart"/>
      <w:r>
        <w:rPr>
          <w:sz w:val="20"/>
          <w:szCs w:val="20"/>
        </w:rPr>
        <w:t>Amrollahi</w:t>
      </w:r>
      <w:proofErr w:type="spellEnd"/>
      <w:r>
        <w:rPr>
          <w:sz w:val="20"/>
          <w:szCs w:val="20"/>
        </w:rPr>
        <w:t xml:space="preserve">, F., </w:t>
      </w:r>
      <w:proofErr w:type="spellStart"/>
      <w:r>
        <w:rPr>
          <w:sz w:val="20"/>
          <w:szCs w:val="20"/>
        </w:rPr>
        <w:t>Amgad</w:t>
      </w:r>
      <w:proofErr w:type="spellEnd"/>
      <w:r>
        <w:rPr>
          <w:sz w:val="20"/>
          <w:szCs w:val="20"/>
        </w:rPr>
        <w:t xml:space="preserve">, M., et al. (2017). </w:t>
      </w:r>
      <w:proofErr w:type="spellStart"/>
      <w:r>
        <w:rPr>
          <w:sz w:val="20"/>
          <w:szCs w:val="20"/>
        </w:rPr>
        <w:t>Predicting</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outcomes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large</w:t>
      </w:r>
      <w:proofErr w:type="spellEnd"/>
      <w:r>
        <w:rPr>
          <w:sz w:val="20"/>
          <w:szCs w:val="20"/>
        </w:rPr>
        <w:t xml:space="preserve"> </w:t>
      </w:r>
      <w:proofErr w:type="spellStart"/>
      <w:r>
        <w:rPr>
          <w:sz w:val="20"/>
          <w:szCs w:val="20"/>
        </w:rPr>
        <w:t>scale</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genomic</w:t>
      </w:r>
      <w:proofErr w:type="spellEnd"/>
      <w:r>
        <w:rPr>
          <w:sz w:val="20"/>
          <w:szCs w:val="20"/>
        </w:rPr>
        <w:t xml:space="preserve"> </w:t>
      </w:r>
      <w:proofErr w:type="spellStart"/>
      <w:r>
        <w:rPr>
          <w:sz w:val="20"/>
          <w:szCs w:val="20"/>
        </w:rPr>
        <w:t>profiles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deep</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7(1), 11707. https://doi.org/10.1038/s41598-017-11817-6</w:t>
      </w:r>
    </w:p>
    <w:p w14:paraId="7ED49723" w14:textId="77777777" w:rsidR="00B51F6D" w:rsidRDefault="00B51F6D" w:rsidP="00B51F6D">
      <w:pPr>
        <w:ind w:left="720" w:hanging="360"/>
      </w:pPr>
      <w:r>
        <w:rPr>
          <w:b/>
          <w:bCs/>
          <w:color w:val="1F3864"/>
          <w:sz w:val="20"/>
          <w:szCs w:val="20"/>
        </w:rPr>
        <w:t xml:space="preserve">[16] </w:t>
      </w:r>
      <w:r>
        <w:rPr>
          <w:sz w:val="20"/>
          <w:szCs w:val="20"/>
        </w:rPr>
        <w:t xml:space="preserve">Müller, P., </w:t>
      </w:r>
      <w:proofErr w:type="spellStart"/>
      <w:r>
        <w:rPr>
          <w:sz w:val="20"/>
          <w:szCs w:val="20"/>
        </w:rPr>
        <w:t>Gosiewska</w:t>
      </w:r>
      <w:proofErr w:type="spellEnd"/>
      <w:r>
        <w:rPr>
          <w:sz w:val="20"/>
          <w:szCs w:val="20"/>
        </w:rPr>
        <w:t xml:space="preserve">, A., &amp; </w:t>
      </w:r>
      <w:proofErr w:type="spellStart"/>
      <w:r>
        <w:rPr>
          <w:sz w:val="20"/>
          <w:szCs w:val="20"/>
        </w:rPr>
        <w:t>Biecek</w:t>
      </w:r>
      <w:proofErr w:type="spellEnd"/>
      <w:r>
        <w:rPr>
          <w:sz w:val="20"/>
          <w:szCs w:val="20"/>
        </w:rPr>
        <w:t xml:space="preserve">, P. (2021). SHAPR: </w:t>
      </w:r>
      <w:proofErr w:type="spellStart"/>
      <w:r>
        <w:rPr>
          <w:sz w:val="20"/>
          <w:szCs w:val="20"/>
        </w:rPr>
        <w:t>Using</w:t>
      </w:r>
      <w:proofErr w:type="spellEnd"/>
      <w:r>
        <w:rPr>
          <w:sz w:val="20"/>
          <w:szCs w:val="20"/>
        </w:rPr>
        <w:t xml:space="preserve"> neural </w:t>
      </w:r>
      <w:proofErr w:type="spellStart"/>
      <w:r>
        <w:rPr>
          <w:sz w:val="20"/>
          <w:szCs w:val="20"/>
        </w:rPr>
        <w:t>networks</w:t>
      </w:r>
      <w:proofErr w:type="spellEnd"/>
      <w:r>
        <w:rPr>
          <w:sz w:val="20"/>
          <w:szCs w:val="20"/>
        </w:rPr>
        <w:t xml:space="preserve"> and </w:t>
      </w:r>
      <w:proofErr w:type="spellStart"/>
      <w:r>
        <w:rPr>
          <w:sz w:val="20"/>
          <w:szCs w:val="20"/>
        </w:rPr>
        <w:t>optimised</w:t>
      </w:r>
      <w:proofErr w:type="spellEnd"/>
      <w:r>
        <w:rPr>
          <w:sz w:val="20"/>
          <w:szCs w:val="20"/>
        </w:rPr>
        <w:t xml:space="preserve"> </w:t>
      </w:r>
      <w:proofErr w:type="spellStart"/>
      <w:r>
        <w:rPr>
          <w:sz w:val="20"/>
          <w:szCs w:val="20"/>
        </w:rPr>
        <w:t>resampling</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improved</w:t>
      </w:r>
      <w:proofErr w:type="spellEnd"/>
      <w:r>
        <w:rPr>
          <w:sz w:val="20"/>
          <w:szCs w:val="20"/>
        </w:rPr>
        <w:t xml:space="preserve"> </w:t>
      </w:r>
      <w:proofErr w:type="spellStart"/>
      <w:r>
        <w:rPr>
          <w:sz w:val="20"/>
          <w:szCs w:val="20"/>
        </w:rPr>
        <w:t>survival</w:t>
      </w:r>
      <w:proofErr w:type="spellEnd"/>
      <w:r>
        <w:rPr>
          <w:sz w:val="20"/>
          <w:szCs w:val="20"/>
        </w:rPr>
        <w:t xml:space="preserve"> </w:t>
      </w:r>
      <w:proofErr w:type="spellStart"/>
      <w:r>
        <w:rPr>
          <w:sz w:val="20"/>
          <w:szCs w:val="20"/>
        </w:rPr>
        <w:t>prediction</w:t>
      </w:r>
      <w:proofErr w:type="spellEnd"/>
      <w:r>
        <w:rPr>
          <w:sz w:val="20"/>
          <w:szCs w:val="20"/>
        </w:rPr>
        <w:t>. arXiv:2104.13643. https://arxiv.org/abs/2104.13643</w:t>
      </w:r>
    </w:p>
    <w:p w14:paraId="3CB70AB5" w14:textId="77777777" w:rsidR="00B51F6D" w:rsidRDefault="00B51F6D" w:rsidP="00B51F6D">
      <w:pPr>
        <w:ind w:left="720" w:hanging="360"/>
      </w:pPr>
      <w:r>
        <w:rPr>
          <w:b/>
          <w:bCs/>
          <w:color w:val="1F3864"/>
          <w:sz w:val="20"/>
          <w:szCs w:val="20"/>
        </w:rPr>
        <w:lastRenderedPageBreak/>
        <w:t xml:space="preserve">[17] </w:t>
      </w:r>
      <w:proofErr w:type="spellStart"/>
      <w:r>
        <w:rPr>
          <w:sz w:val="20"/>
          <w:szCs w:val="20"/>
        </w:rPr>
        <w:t>Tong</w:t>
      </w:r>
      <w:proofErr w:type="spellEnd"/>
      <w:r>
        <w:rPr>
          <w:sz w:val="20"/>
          <w:szCs w:val="20"/>
        </w:rPr>
        <w:t xml:space="preserve">, L., Mitchel, J., </w:t>
      </w:r>
      <w:proofErr w:type="spellStart"/>
      <w:r>
        <w:rPr>
          <w:sz w:val="20"/>
          <w:szCs w:val="20"/>
        </w:rPr>
        <w:t>Chatlin</w:t>
      </w:r>
      <w:proofErr w:type="spellEnd"/>
      <w:r>
        <w:rPr>
          <w:sz w:val="20"/>
          <w:szCs w:val="20"/>
        </w:rPr>
        <w:t xml:space="preserve">, K., &amp; Wang, M. D. (2021). Deep learning </w:t>
      </w:r>
      <w:proofErr w:type="spellStart"/>
      <w:r>
        <w:rPr>
          <w:sz w:val="20"/>
          <w:szCs w:val="20"/>
        </w:rPr>
        <w:t>based</w:t>
      </w:r>
      <w:proofErr w:type="spellEnd"/>
      <w:r>
        <w:rPr>
          <w:sz w:val="20"/>
          <w:szCs w:val="20"/>
        </w:rPr>
        <w:t xml:space="preserve"> </w:t>
      </w:r>
      <w:proofErr w:type="spellStart"/>
      <w:r>
        <w:rPr>
          <w:sz w:val="20"/>
          <w:szCs w:val="20"/>
        </w:rPr>
        <w:t>feature-level</w:t>
      </w:r>
      <w:proofErr w:type="spellEnd"/>
      <w:r>
        <w:rPr>
          <w:sz w:val="20"/>
          <w:szCs w:val="20"/>
        </w:rPr>
        <w:t xml:space="preserve"> </w:t>
      </w:r>
      <w:proofErr w:type="spellStart"/>
      <w:r>
        <w:rPr>
          <w:sz w:val="20"/>
          <w:szCs w:val="20"/>
        </w:rPr>
        <w:t>integration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multi-omics</w:t>
      </w:r>
      <w:proofErr w:type="spellEnd"/>
      <w:r>
        <w:rPr>
          <w:sz w:val="20"/>
          <w:szCs w:val="20"/>
        </w:rPr>
        <w:t xml:space="preserve"> data </w:t>
      </w:r>
      <w:proofErr w:type="spellStart"/>
      <w:r>
        <w:rPr>
          <w:sz w:val="20"/>
          <w:szCs w:val="20"/>
        </w:rPr>
        <w:t>for</w:t>
      </w:r>
      <w:proofErr w:type="spellEnd"/>
      <w:r>
        <w:rPr>
          <w:sz w:val="20"/>
          <w:szCs w:val="20"/>
        </w:rPr>
        <w:t xml:space="preserve"> </w:t>
      </w:r>
      <w:proofErr w:type="spellStart"/>
      <w:r>
        <w:rPr>
          <w:sz w:val="20"/>
          <w:szCs w:val="20"/>
        </w:rPr>
        <w:t>accurate</w:t>
      </w:r>
      <w:proofErr w:type="spellEnd"/>
      <w:r>
        <w:rPr>
          <w:sz w:val="20"/>
          <w:szCs w:val="20"/>
        </w:rPr>
        <w:t xml:space="preserve"> </w:t>
      </w:r>
      <w:proofErr w:type="spellStart"/>
      <w:r>
        <w:rPr>
          <w:sz w:val="20"/>
          <w:szCs w:val="20"/>
        </w:rPr>
        <w:t>cancer</w:t>
      </w:r>
      <w:proofErr w:type="spellEnd"/>
      <w:r>
        <w:rPr>
          <w:sz w:val="20"/>
          <w:szCs w:val="20"/>
        </w:rPr>
        <w:t xml:space="preserve"> prognosis </w:t>
      </w:r>
      <w:proofErr w:type="spellStart"/>
      <w:r>
        <w:rPr>
          <w:sz w:val="20"/>
          <w:szCs w:val="20"/>
        </w:rPr>
        <w:t>prediction</w:t>
      </w:r>
      <w:proofErr w:type="spellEnd"/>
      <w:r>
        <w:rPr>
          <w:sz w:val="20"/>
          <w:szCs w:val="20"/>
        </w:rPr>
        <w:t xml:space="preserve">. </w:t>
      </w:r>
      <w:proofErr w:type="spellStart"/>
      <w:r>
        <w:rPr>
          <w:sz w:val="20"/>
          <w:szCs w:val="20"/>
        </w:rPr>
        <w:t>Computers</w:t>
      </w:r>
      <w:proofErr w:type="spellEnd"/>
      <w:r>
        <w:rPr>
          <w:sz w:val="20"/>
          <w:szCs w:val="20"/>
        </w:rPr>
        <w:t xml:space="preserve"> in </w:t>
      </w:r>
      <w:proofErr w:type="spellStart"/>
      <w:r>
        <w:rPr>
          <w:sz w:val="20"/>
          <w:szCs w:val="20"/>
        </w:rPr>
        <w:t>Biology</w:t>
      </w:r>
      <w:proofErr w:type="spellEnd"/>
      <w:r>
        <w:rPr>
          <w:sz w:val="20"/>
          <w:szCs w:val="20"/>
        </w:rPr>
        <w:t xml:space="preserve"> and Medicine, 134, 104481. https://doi.org/10.1016/j.compbiomed.2021.104481 *</w:t>
      </w:r>
    </w:p>
    <w:p w14:paraId="5522984C" w14:textId="77777777" w:rsidR="00B51F6D" w:rsidRDefault="00B51F6D" w:rsidP="00B51F6D">
      <w:pPr>
        <w:ind w:left="720" w:hanging="360"/>
      </w:pPr>
      <w:r>
        <w:rPr>
          <w:b/>
          <w:bCs/>
          <w:color w:val="1F3864"/>
          <w:sz w:val="20"/>
          <w:szCs w:val="20"/>
        </w:rPr>
        <w:t xml:space="preserve">[18] </w:t>
      </w:r>
      <w:r>
        <w:rPr>
          <w:sz w:val="20"/>
          <w:szCs w:val="20"/>
        </w:rPr>
        <w:t xml:space="preserve">Chen, R. J., Lu, M. Y., Wang, J., et al. (2021). </w:t>
      </w:r>
      <w:proofErr w:type="spellStart"/>
      <w:r>
        <w:rPr>
          <w:sz w:val="20"/>
          <w:szCs w:val="20"/>
        </w:rPr>
        <w:t>Pathomic</w:t>
      </w:r>
      <w:proofErr w:type="spellEnd"/>
      <w:r>
        <w:rPr>
          <w:sz w:val="20"/>
          <w:szCs w:val="20"/>
        </w:rPr>
        <w:t xml:space="preserve"> </w:t>
      </w:r>
      <w:proofErr w:type="spellStart"/>
      <w:r>
        <w:rPr>
          <w:sz w:val="20"/>
          <w:szCs w:val="20"/>
        </w:rPr>
        <w:t>fusion</w:t>
      </w:r>
      <w:proofErr w:type="spellEnd"/>
      <w:r>
        <w:rPr>
          <w:sz w:val="20"/>
          <w:szCs w:val="20"/>
        </w:rPr>
        <w:t xml:space="preserve">: </w:t>
      </w:r>
      <w:proofErr w:type="spellStart"/>
      <w:r>
        <w:rPr>
          <w:sz w:val="20"/>
          <w:szCs w:val="20"/>
        </w:rPr>
        <w:t>an</w:t>
      </w:r>
      <w:proofErr w:type="spellEnd"/>
      <w:r>
        <w:rPr>
          <w:sz w:val="20"/>
          <w:szCs w:val="20"/>
        </w:rPr>
        <w:t xml:space="preserve"> </w:t>
      </w:r>
      <w:proofErr w:type="spellStart"/>
      <w:r>
        <w:rPr>
          <w:sz w:val="20"/>
          <w:szCs w:val="20"/>
        </w:rPr>
        <w:t>integrated</w:t>
      </w:r>
      <w:proofErr w:type="spellEnd"/>
      <w:r>
        <w:rPr>
          <w:sz w:val="20"/>
          <w:szCs w:val="20"/>
        </w:rPr>
        <w:t xml:space="preserve"> </w:t>
      </w:r>
      <w:proofErr w:type="spellStart"/>
      <w:r>
        <w:rPr>
          <w:sz w:val="20"/>
          <w:szCs w:val="20"/>
        </w:rPr>
        <w:t>framework</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fusing</w:t>
      </w:r>
      <w:proofErr w:type="spellEnd"/>
      <w:r>
        <w:rPr>
          <w:sz w:val="20"/>
          <w:szCs w:val="20"/>
        </w:rPr>
        <w:t xml:space="preserve"> </w:t>
      </w:r>
      <w:proofErr w:type="spellStart"/>
      <w:r>
        <w:rPr>
          <w:sz w:val="20"/>
          <w:szCs w:val="20"/>
        </w:rPr>
        <w:t>histopathology</w:t>
      </w:r>
      <w:proofErr w:type="spellEnd"/>
      <w:r>
        <w:rPr>
          <w:sz w:val="20"/>
          <w:szCs w:val="20"/>
        </w:rPr>
        <w:t xml:space="preserve"> and </w:t>
      </w:r>
      <w:proofErr w:type="spellStart"/>
      <w:r>
        <w:rPr>
          <w:sz w:val="20"/>
          <w:szCs w:val="20"/>
        </w:rPr>
        <w:t>genomic</w:t>
      </w:r>
      <w:proofErr w:type="spellEnd"/>
      <w:r>
        <w:rPr>
          <w:sz w:val="20"/>
          <w:szCs w:val="20"/>
        </w:rPr>
        <w:t xml:space="preserve"> </w:t>
      </w:r>
      <w:proofErr w:type="spellStart"/>
      <w:r>
        <w:rPr>
          <w:sz w:val="20"/>
          <w:szCs w:val="20"/>
        </w:rPr>
        <w:t>features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cancer</w:t>
      </w:r>
      <w:proofErr w:type="spellEnd"/>
      <w:r>
        <w:rPr>
          <w:sz w:val="20"/>
          <w:szCs w:val="20"/>
        </w:rPr>
        <w:t xml:space="preserve"> diagnosis and prognosis. IEEE </w:t>
      </w:r>
      <w:proofErr w:type="spellStart"/>
      <w:r>
        <w:rPr>
          <w:sz w:val="20"/>
          <w:szCs w:val="20"/>
        </w:rPr>
        <w:t>Transactions</w:t>
      </w:r>
      <w:proofErr w:type="spellEnd"/>
      <w:r>
        <w:rPr>
          <w:sz w:val="20"/>
          <w:szCs w:val="20"/>
        </w:rPr>
        <w:t xml:space="preserve"> </w:t>
      </w:r>
      <w:proofErr w:type="spellStart"/>
      <w:r>
        <w:rPr>
          <w:sz w:val="20"/>
          <w:szCs w:val="20"/>
        </w:rPr>
        <w:t>on</w:t>
      </w:r>
      <w:proofErr w:type="spellEnd"/>
      <w:r>
        <w:rPr>
          <w:sz w:val="20"/>
          <w:szCs w:val="20"/>
        </w:rPr>
        <w:t xml:space="preserve"> Medical </w:t>
      </w:r>
      <w:proofErr w:type="spellStart"/>
      <w:r>
        <w:rPr>
          <w:sz w:val="20"/>
          <w:szCs w:val="20"/>
        </w:rPr>
        <w:t>Imaging</w:t>
      </w:r>
      <w:proofErr w:type="spellEnd"/>
      <w:r>
        <w:rPr>
          <w:sz w:val="20"/>
          <w:szCs w:val="20"/>
        </w:rPr>
        <w:t>, 41(4), 757-770. https://doi.org/10.1109/TMI.2020.3021387</w:t>
      </w:r>
    </w:p>
    <w:p w14:paraId="2B396D95" w14:textId="77777777" w:rsidR="00B51F6D" w:rsidRDefault="00B51F6D" w:rsidP="00B51F6D">
      <w:pPr>
        <w:ind w:left="720" w:hanging="360"/>
      </w:pPr>
      <w:r>
        <w:rPr>
          <w:b/>
          <w:bCs/>
          <w:color w:val="1F3864"/>
          <w:sz w:val="20"/>
          <w:szCs w:val="20"/>
        </w:rPr>
        <w:t xml:space="preserve">[19]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(2013). </w:t>
      </w:r>
      <w:proofErr w:type="spellStart"/>
      <w:r>
        <w:rPr>
          <w:sz w:val="20"/>
          <w:szCs w:val="20"/>
        </w:rPr>
        <w:t>The</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Pan-</w:t>
      </w:r>
      <w:proofErr w:type="spellStart"/>
      <w:r>
        <w:rPr>
          <w:sz w:val="20"/>
          <w:szCs w:val="20"/>
        </w:rPr>
        <w:t>Cancer</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Nature</w:t>
      </w:r>
      <w:proofErr w:type="spellEnd"/>
      <w:r>
        <w:rPr>
          <w:sz w:val="20"/>
          <w:szCs w:val="20"/>
        </w:rPr>
        <w:t xml:space="preserve"> </w:t>
      </w:r>
      <w:proofErr w:type="spellStart"/>
      <w:r>
        <w:rPr>
          <w:sz w:val="20"/>
          <w:szCs w:val="20"/>
        </w:rPr>
        <w:t>Genetics</w:t>
      </w:r>
      <w:proofErr w:type="spellEnd"/>
      <w:r>
        <w:rPr>
          <w:sz w:val="20"/>
          <w:szCs w:val="20"/>
        </w:rPr>
        <w:t>, 45(10), 1113-1120. https://doi.org/10.1038/ng.2764</w:t>
      </w:r>
    </w:p>
    <w:p w14:paraId="552DBC07" w14:textId="77777777" w:rsidR="00B51F6D" w:rsidRDefault="00B51F6D" w:rsidP="00B51F6D">
      <w:pPr>
        <w:ind w:left="720" w:hanging="360"/>
      </w:pPr>
      <w:r>
        <w:rPr>
          <w:b/>
          <w:bCs/>
          <w:color w:val="1F3864"/>
          <w:sz w:val="20"/>
          <w:szCs w:val="20"/>
        </w:rPr>
        <w:t xml:space="preserve">[20] </w:t>
      </w:r>
      <w:r>
        <w:rPr>
          <w:sz w:val="20"/>
          <w:szCs w:val="20"/>
        </w:rPr>
        <w:t xml:space="preserve">Jensen, M. A., Ferretti, V., Grossman, R. L., &amp; </w:t>
      </w:r>
      <w:proofErr w:type="spellStart"/>
      <w:r>
        <w:rPr>
          <w:sz w:val="20"/>
          <w:szCs w:val="20"/>
        </w:rPr>
        <w:t>Staudt</w:t>
      </w:r>
      <w:proofErr w:type="spellEnd"/>
      <w:r>
        <w:rPr>
          <w:sz w:val="20"/>
          <w:szCs w:val="20"/>
        </w:rPr>
        <w:t xml:space="preserve">, L. M. (2017). </w:t>
      </w:r>
      <w:proofErr w:type="spellStart"/>
      <w:r>
        <w:rPr>
          <w:sz w:val="20"/>
          <w:szCs w:val="20"/>
        </w:rPr>
        <w:t>The</w:t>
      </w:r>
      <w:proofErr w:type="spellEnd"/>
      <w:r>
        <w:rPr>
          <w:sz w:val="20"/>
          <w:szCs w:val="20"/>
        </w:rPr>
        <w:t xml:space="preserve"> NCI </w:t>
      </w:r>
      <w:proofErr w:type="spellStart"/>
      <w:r>
        <w:rPr>
          <w:sz w:val="20"/>
          <w:szCs w:val="20"/>
        </w:rPr>
        <w:t>Genomic</w:t>
      </w:r>
      <w:proofErr w:type="spellEnd"/>
      <w:r>
        <w:rPr>
          <w:sz w:val="20"/>
          <w:szCs w:val="20"/>
        </w:rPr>
        <w:t xml:space="preserve"> Data Commons as </w:t>
      </w:r>
      <w:proofErr w:type="spellStart"/>
      <w:r>
        <w:rPr>
          <w:sz w:val="20"/>
          <w:szCs w:val="20"/>
        </w:rPr>
        <w:t>an</w:t>
      </w:r>
      <w:proofErr w:type="spellEnd"/>
      <w:r>
        <w:rPr>
          <w:sz w:val="20"/>
          <w:szCs w:val="20"/>
        </w:rPr>
        <w:t xml:space="preserve"> </w:t>
      </w:r>
      <w:proofErr w:type="spellStart"/>
      <w:r>
        <w:rPr>
          <w:sz w:val="20"/>
          <w:szCs w:val="20"/>
        </w:rPr>
        <w:t>engine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precision</w:t>
      </w:r>
      <w:proofErr w:type="spellEnd"/>
      <w:r>
        <w:rPr>
          <w:sz w:val="20"/>
          <w:szCs w:val="20"/>
        </w:rPr>
        <w:t xml:space="preserve"> medicine. </w:t>
      </w:r>
      <w:proofErr w:type="spellStart"/>
      <w:r>
        <w:rPr>
          <w:sz w:val="20"/>
          <w:szCs w:val="20"/>
        </w:rPr>
        <w:t>Blood</w:t>
      </w:r>
      <w:proofErr w:type="spellEnd"/>
      <w:r>
        <w:rPr>
          <w:sz w:val="20"/>
          <w:szCs w:val="20"/>
        </w:rPr>
        <w:t>, 130(4), 453-459. https://doi.org/10.1182/blood-2017-03-735654</w:t>
      </w:r>
    </w:p>
    <w:p w14:paraId="56933CA5" w14:textId="77777777" w:rsidR="00B51F6D" w:rsidRDefault="00B51F6D" w:rsidP="00B51F6D">
      <w:pPr>
        <w:ind w:left="720" w:hanging="360"/>
      </w:pPr>
      <w:r>
        <w:rPr>
          <w:b/>
          <w:bCs/>
          <w:color w:val="1F3864"/>
          <w:sz w:val="20"/>
          <w:szCs w:val="20"/>
        </w:rPr>
        <w:t xml:space="preserve">[21] </w:t>
      </w:r>
      <w:r>
        <w:rPr>
          <w:sz w:val="20"/>
          <w:szCs w:val="20"/>
        </w:rPr>
        <w:t xml:space="preserve">Curtis, C., </w:t>
      </w:r>
      <w:proofErr w:type="spellStart"/>
      <w:r>
        <w:rPr>
          <w:sz w:val="20"/>
          <w:szCs w:val="20"/>
        </w:rPr>
        <w:t>Shah</w:t>
      </w:r>
      <w:proofErr w:type="spellEnd"/>
      <w:r>
        <w:rPr>
          <w:sz w:val="20"/>
          <w:szCs w:val="20"/>
        </w:rPr>
        <w:t xml:space="preserve">, S. P., Chin, S. F., et al. (2012). </w:t>
      </w:r>
      <w:proofErr w:type="spellStart"/>
      <w:r>
        <w:rPr>
          <w:sz w:val="20"/>
          <w:szCs w:val="20"/>
        </w:rPr>
        <w:t>The</w:t>
      </w:r>
      <w:proofErr w:type="spellEnd"/>
      <w:r>
        <w:rPr>
          <w:sz w:val="20"/>
          <w:szCs w:val="20"/>
        </w:rPr>
        <w:t xml:space="preserve"> </w:t>
      </w:r>
      <w:proofErr w:type="spellStart"/>
      <w:r>
        <w:rPr>
          <w:sz w:val="20"/>
          <w:szCs w:val="20"/>
        </w:rPr>
        <w:t>genomic</w:t>
      </w:r>
      <w:proofErr w:type="spellEnd"/>
      <w:r>
        <w:rPr>
          <w:sz w:val="20"/>
          <w:szCs w:val="20"/>
        </w:rPr>
        <w:t xml:space="preserve"> and </w:t>
      </w:r>
      <w:proofErr w:type="spellStart"/>
      <w:r>
        <w:rPr>
          <w:sz w:val="20"/>
          <w:szCs w:val="20"/>
        </w:rPr>
        <w:t>transcriptomic</w:t>
      </w:r>
      <w:proofErr w:type="spellEnd"/>
      <w:r>
        <w:rPr>
          <w:sz w:val="20"/>
          <w:szCs w:val="20"/>
        </w:rPr>
        <w:t xml:space="preserve"> </w:t>
      </w:r>
      <w:proofErr w:type="spellStart"/>
      <w:r>
        <w:rPr>
          <w:sz w:val="20"/>
          <w:szCs w:val="20"/>
        </w:rPr>
        <w:t>architecture</w:t>
      </w:r>
      <w:proofErr w:type="spellEnd"/>
      <w:r>
        <w:rPr>
          <w:sz w:val="20"/>
          <w:szCs w:val="20"/>
        </w:rPr>
        <w:t xml:space="preserve"> </w:t>
      </w:r>
      <w:proofErr w:type="spellStart"/>
      <w:r>
        <w:rPr>
          <w:sz w:val="20"/>
          <w:szCs w:val="20"/>
        </w:rPr>
        <w:t>of</w:t>
      </w:r>
      <w:proofErr w:type="spellEnd"/>
      <w:r>
        <w:rPr>
          <w:sz w:val="20"/>
          <w:szCs w:val="20"/>
        </w:rPr>
        <w:t xml:space="preserve"> 2,000 </w:t>
      </w:r>
      <w:proofErr w:type="spellStart"/>
      <w:r>
        <w:rPr>
          <w:sz w:val="20"/>
          <w:szCs w:val="20"/>
        </w:rPr>
        <w:t>breast</w:t>
      </w:r>
      <w:proofErr w:type="spellEnd"/>
      <w:r>
        <w:rPr>
          <w:sz w:val="20"/>
          <w:szCs w:val="20"/>
        </w:rPr>
        <w:t xml:space="preserve"> </w:t>
      </w:r>
      <w:proofErr w:type="spellStart"/>
      <w:r>
        <w:rPr>
          <w:sz w:val="20"/>
          <w:szCs w:val="20"/>
        </w:rPr>
        <w:t>tumours</w:t>
      </w:r>
      <w:proofErr w:type="spellEnd"/>
      <w:r>
        <w:rPr>
          <w:sz w:val="20"/>
          <w:szCs w:val="20"/>
        </w:rPr>
        <w:t xml:space="preserve"> </w:t>
      </w:r>
      <w:proofErr w:type="spellStart"/>
      <w:r>
        <w:rPr>
          <w:sz w:val="20"/>
          <w:szCs w:val="20"/>
        </w:rPr>
        <w:t>reveals</w:t>
      </w:r>
      <w:proofErr w:type="spellEnd"/>
      <w:r>
        <w:rPr>
          <w:sz w:val="20"/>
          <w:szCs w:val="20"/>
        </w:rPr>
        <w:t xml:space="preserve"> novel </w:t>
      </w:r>
      <w:proofErr w:type="spellStart"/>
      <w:r>
        <w:rPr>
          <w:sz w:val="20"/>
          <w:szCs w:val="20"/>
        </w:rPr>
        <w:t>subgroups</w:t>
      </w:r>
      <w:proofErr w:type="spellEnd"/>
      <w:r>
        <w:rPr>
          <w:sz w:val="20"/>
          <w:szCs w:val="20"/>
        </w:rPr>
        <w:t xml:space="preserve">. </w:t>
      </w:r>
      <w:proofErr w:type="spellStart"/>
      <w:r>
        <w:rPr>
          <w:sz w:val="20"/>
          <w:szCs w:val="20"/>
        </w:rPr>
        <w:t>Nature</w:t>
      </w:r>
      <w:proofErr w:type="spellEnd"/>
      <w:r>
        <w:rPr>
          <w:sz w:val="20"/>
          <w:szCs w:val="20"/>
        </w:rPr>
        <w:t>, 486(7403), 346-352. https://doi.org/10.1038/nature10983 *</w:t>
      </w:r>
    </w:p>
    <w:p w14:paraId="698A798E" w14:textId="77777777" w:rsidR="00B51F6D" w:rsidRDefault="00B51F6D" w:rsidP="00B51F6D">
      <w:pPr>
        <w:ind w:left="720" w:hanging="360"/>
      </w:pPr>
      <w:r>
        <w:rPr>
          <w:b/>
          <w:bCs/>
          <w:color w:val="1F3864"/>
          <w:sz w:val="20"/>
          <w:szCs w:val="20"/>
        </w:rPr>
        <w:t xml:space="preserve">[22] </w:t>
      </w:r>
      <w:proofErr w:type="spellStart"/>
      <w:r>
        <w:rPr>
          <w:sz w:val="20"/>
          <w:szCs w:val="20"/>
        </w:rPr>
        <w:t>Perou</w:t>
      </w:r>
      <w:proofErr w:type="spellEnd"/>
      <w:r>
        <w:rPr>
          <w:sz w:val="20"/>
          <w:szCs w:val="20"/>
        </w:rPr>
        <w:t xml:space="preserve">, C. M., </w:t>
      </w:r>
      <w:proofErr w:type="spellStart"/>
      <w:r>
        <w:rPr>
          <w:sz w:val="20"/>
          <w:szCs w:val="20"/>
        </w:rPr>
        <w:t>Sørlie</w:t>
      </w:r>
      <w:proofErr w:type="spellEnd"/>
      <w:r>
        <w:rPr>
          <w:sz w:val="20"/>
          <w:szCs w:val="20"/>
        </w:rPr>
        <w:t xml:space="preserve">, T., </w:t>
      </w:r>
      <w:proofErr w:type="spellStart"/>
      <w:r>
        <w:rPr>
          <w:sz w:val="20"/>
          <w:szCs w:val="20"/>
        </w:rPr>
        <w:t>Eisen</w:t>
      </w:r>
      <w:proofErr w:type="spellEnd"/>
      <w:r>
        <w:rPr>
          <w:sz w:val="20"/>
          <w:szCs w:val="20"/>
        </w:rPr>
        <w:t xml:space="preserve">, M. B., et al. (2000). Molecular </w:t>
      </w:r>
      <w:proofErr w:type="spellStart"/>
      <w:r>
        <w:rPr>
          <w:sz w:val="20"/>
          <w:szCs w:val="20"/>
        </w:rPr>
        <w:t>portraits</w:t>
      </w:r>
      <w:proofErr w:type="spellEnd"/>
      <w:r>
        <w:rPr>
          <w:sz w:val="20"/>
          <w:szCs w:val="20"/>
        </w:rPr>
        <w:t xml:space="preserve"> </w:t>
      </w:r>
      <w:proofErr w:type="spellStart"/>
      <w:r>
        <w:rPr>
          <w:sz w:val="20"/>
          <w:szCs w:val="20"/>
        </w:rPr>
        <w:t>of</w:t>
      </w:r>
      <w:proofErr w:type="spellEnd"/>
      <w:r>
        <w:rPr>
          <w:sz w:val="20"/>
          <w:szCs w:val="20"/>
        </w:rPr>
        <w:t xml:space="preserve"> human </w:t>
      </w:r>
      <w:proofErr w:type="spellStart"/>
      <w:r>
        <w:rPr>
          <w:sz w:val="20"/>
          <w:szCs w:val="20"/>
        </w:rPr>
        <w:t>breast</w:t>
      </w:r>
      <w:proofErr w:type="spellEnd"/>
      <w:r>
        <w:rPr>
          <w:sz w:val="20"/>
          <w:szCs w:val="20"/>
        </w:rPr>
        <w:t xml:space="preserve"> </w:t>
      </w:r>
      <w:proofErr w:type="spellStart"/>
      <w:r>
        <w:rPr>
          <w:sz w:val="20"/>
          <w:szCs w:val="20"/>
        </w:rPr>
        <w:t>tumours</w:t>
      </w:r>
      <w:proofErr w:type="spellEnd"/>
      <w:r>
        <w:rPr>
          <w:sz w:val="20"/>
          <w:szCs w:val="20"/>
        </w:rPr>
        <w:t xml:space="preserve">. </w:t>
      </w:r>
      <w:proofErr w:type="spellStart"/>
      <w:r>
        <w:rPr>
          <w:sz w:val="20"/>
          <w:szCs w:val="20"/>
        </w:rPr>
        <w:t>Nature</w:t>
      </w:r>
      <w:proofErr w:type="spellEnd"/>
      <w:r>
        <w:rPr>
          <w:sz w:val="20"/>
          <w:szCs w:val="20"/>
        </w:rPr>
        <w:t>, 406(6797), 747-752. https://doi.org/10.1038/35021093</w:t>
      </w:r>
    </w:p>
    <w:p w14:paraId="006620D8" w14:textId="77777777" w:rsidR="00B51F6D" w:rsidRDefault="00B51F6D" w:rsidP="00B51F6D">
      <w:pPr>
        <w:ind w:left="720" w:hanging="360"/>
      </w:pPr>
      <w:r>
        <w:rPr>
          <w:b/>
          <w:bCs/>
          <w:color w:val="1F3864"/>
          <w:sz w:val="20"/>
          <w:szCs w:val="20"/>
        </w:rPr>
        <w:t xml:space="preserve">[23] </w:t>
      </w:r>
      <w:proofErr w:type="spellStart"/>
      <w:r>
        <w:rPr>
          <w:sz w:val="20"/>
          <w:szCs w:val="20"/>
        </w:rPr>
        <w:t>Leek</w:t>
      </w:r>
      <w:proofErr w:type="spellEnd"/>
      <w:r>
        <w:rPr>
          <w:sz w:val="20"/>
          <w:szCs w:val="20"/>
        </w:rPr>
        <w:t xml:space="preserve">, J. T., Johnson, W. E., Parker, H. S., Jaffe, A. E., &amp; Storey, J. D. (2012). </w:t>
      </w:r>
      <w:proofErr w:type="spellStart"/>
      <w:r>
        <w:rPr>
          <w:sz w:val="20"/>
          <w:szCs w:val="20"/>
        </w:rPr>
        <w:t>The</w:t>
      </w:r>
      <w:proofErr w:type="spellEnd"/>
      <w:r>
        <w:rPr>
          <w:sz w:val="20"/>
          <w:szCs w:val="20"/>
        </w:rPr>
        <w:t xml:space="preserve"> </w:t>
      </w:r>
      <w:proofErr w:type="spellStart"/>
      <w:r>
        <w:rPr>
          <w:sz w:val="20"/>
          <w:szCs w:val="20"/>
        </w:rPr>
        <w:t>sva</w:t>
      </w:r>
      <w:proofErr w:type="spellEnd"/>
      <w:r>
        <w:rPr>
          <w:sz w:val="20"/>
          <w:szCs w:val="20"/>
        </w:rPr>
        <w:t xml:space="preserve"> </w:t>
      </w:r>
      <w:proofErr w:type="spellStart"/>
      <w:r>
        <w:rPr>
          <w:sz w:val="20"/>
          <w:szCs w:val="20"/>
        </w:rPr>
        <w:t>package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removing</w:t>
      </w:r>
      <w:proofErr w:type="spellEnd"/>
      <w:r>
        <w:rPr>
          <w:sz w:val="20"/>
          <w:szCs w:val="20"/>
        </w:rPr>
        <w:t xml:space="preserve"> </w:t>
      </w:r>
      <w:proofErr w:type="spellStart"/>
      <w:r>
        <w:rPr>
          <w:sz w:val="20"/>
          <w:szCs w:val="20"/>
        </w:rPr>
        <w:t>batch</w:t>
      </w:r>
      <w:proofErr w:type="spellEnd"/>
      <w:r>
        <w:rPr>
          <w:sz w:val="20"/>
          <w:szCs w:val="20"/>
        </w:rPr>
        <w:t xml:space="preserve"> </w:t>
      </w:r>
      <w:proofErr w:type="spellStart"/>
      <w:r>
        <w:rPr>
          <w:sz w:val="20"/>
          <w:szCs w:val="20"/>
        </w:rPr>
        <w:t>effects</w:t>
      </w:r>
      <w:proofErr w:type="spellEnd"/>
      <w:r>
        <w:rPr>
          <w:sz w:val="20"/>
          <w:szCs w:val="20"/>
        </w:rPr>
        <w:t xml:space="preserve"> and </w:t>
      </w:r>
      <w:proofErr w:type="spellStart"/>
      <w:r>
        <w:rPr>
          <w:sz w:val="20"/>
          <w:szCs w:val="20"/>
        </w:rPr>
        <w:t>other</w:t>
      </w:r>
      <w:proofErr w:type="spellEnd"/>
      <w:r>
        <w:rPr>
          <w:sz w:val="20"/>
          <w:szCs w:val="20"/>
        </w:rPr>
        <w:t xml:space="preserve"> </w:t>
      </w:r>
      <w:proofErr w:type="spellStart"/>
      <w:r>
        <w:rPr>
          <w:sz w:val="20"/>
          <w:szCs w:val="20"/>
        </w:rPr>
        <w:t>unwanted</w:t>
      </w:r>
      <w:proofErr w:type="spellEnd"/>
      <w:r>
        <w:rPr>
          <w:sz w:val="20"/>
          <w:szCs w:val="20"/>
        </w:rPr>
        <w:t xml:space="preserve"> </w:t>
      </w:r>
      <w:proofErr w:type="spellStart"/>
      <w:r>
        <w:rPr>
          <w:sz w:val="20"/>
          <w:szCs w:val="20"/>
        </w:rPr>
        <w:t>variation</w:t>
      </w:r>
      <w:proofErr w:type="spellEnd"/>
      <w:r>
        <w:rPr>
          <w:sz w:val="20"/>
          <w:szCs w:val="20"/>
        </w:rPr>
        <w:t xml:space="preserve"> in </w:t>
      </w:r>
      <w:proofErr w:type="spellStart"/>
      <w:r>
        <w:rPr>
          <w:sz w:val="20"/>
          <w:szCs w:val="20"/>
        </w:rPr>
        <w:t>high-throughput</w:t>
      </w:r>
      <w:proofErr w:type="spellEnd"/>
      <w:r>
        <w:rPr>
          <w:sz w:val="20"/>
          <w:szCs w:val="20"/>
        </w:rPr>
        <w:t xml:space="preserve"> </w:t>
      </w:r>
      <w:proofErr w:type="spellStart"/>
      <w:r>
        <w:rPr>
          <w:sz w:val="20"/>
          <w:szCs w:val="20"/>
        </w:rPr>
        <w:t>experiments</w:t>
      </w:r>
      <w:proofErr w:type="spellEnd"/>
      <w:r>
        <w:rPr>
          <w:sz w:val="20"/>
          <w:szCs w:val="20"/>
        </w:rPr>
        <w:t xml:space="preserve">. </w:t>
      </w:r>
      <w:proofErr w:type="spellStart"/>
      <w:r>
        <w:rPr>
          <w:sz w:val="20"/>
          <w:szCs w:val="20"/>
        </w:rPr>
        <w:t>Bioinformatics</w:t>
      </w:r>
      <w:proofErr w:type="spellEnd"/>
      <w:r>
        <w:rPr>
          <w:sz w:val="20"/>
          <w:szCs w:val="20"/>
        </w:rPr>
        <w:t>, 28(6), 882-883. https://doi.org/10.1093/bioinformatics/bts034</w:t>
      </w:r>
    </w:p>
    <w:p w14:paraId="6906B34B" w14:textId="77777777" w:rsidR="00B51F6D" w:rsidRDefault="00B51F6D" w:rsidP="00B51F6D">
      <w:pPr>
        <w:ind w:left="720" w:hanging="360"/>
      </w:pPr>
      <w:r>
        <w:rPr>
          <w:b/>
          <w:bCs/>
          <w:color w:val="1F3864"/>
          <w:sz w:val="20"/>
          <w:szCs w:val="20"/>
        </w:rPr>
        <w:t xml:space="preserve">[24] </w:t>
      </w:r>
      <w:proofErr w:type="spellStart"/>
      <w:r>
        <w:rPr>
          <w:sz w:val="20"/>
          <w:szCs w:val="20"/>
        </w:rPr>
        <w:t>Cardarella</w:t>
      </w:r>
      <w:proofErr w:type="spellEnd"/>
      <w:r>
        <w:rPr>
          <w:sz w:val="20"/>
          <w:szCs w:val="20"/>
        </w:rPr>
        <w:t xml:space="preserve">, S., &amp; Johnson, B. E. (2013). </w:t>
      </w:r>
      <w:proofErr w:type="spellStart"/>
      <w:r>
        <w:rPr>
          <w:sz w:val="20"/>
          <w:szCs w:val="20"/>
        </w:rPr>
        <w:t>The</w:t>
      </w:r>
      <w:proofErr w:type="spellEnd"/>
      <w:r>
        <w:rPr>
          <w:sz w:val="20"/>
          <w:szCs w:val="20"/>
        </w:rPr>
        <w:t xml:space="preserve"> </w:t>
      </w:r>
      <w:proofErr w:type="spellStart"/>
      <w:r>
        <w:rPr>
          <w:sz w:val="20"/>
          <w:szCs w:val="20"/>
        </w:rPr>
        <w:t>impact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genomic</w:t>
      </w:r>
      <w:proofErr w:type="spellEnd"/>
      <w:r>
        <w:rPr>
          <w:sz w:val="20"/>
          <w:szCs w:val="20"/>
        </w:rPr>
        <w:t xml:space="preserve"> </w:t>
      </w:r>
      <w:proofErr w:type="spellStart"/>
      <w:r>
        <w:rPr>
          <w:sz w:val="20"/>
          <w:szCs w:val="20"/>
        </w:rPr>
        <w:t>changes</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w:t>
      </w:r>
      <w:proofErr w:type="spellEnd"/>
      <w:r>
        <w:rPr>
          <w:sz w:val="20"/>
          <w:szCs w:val="20"/>
        </w:rPr>
        <w:t xml:space="preserve">. American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Respiratory</w:t>
      </w:r>
      <w:proofErr w:type="spellEnd"/>
      <w:r>
        <w:rPr>
          <w:sz w:val="20"/>
          <w:szCs w:val="20"/>
        </w:rPr>
        <w:t xml:space="preserve"> and </w:t>
      </w:r>
      <w:proofErr w:type="spellStart"/>
      <w:r>
        <w:rPr>
          <w:sz w:val="20"/>
          <w:szCs w:val="20"/>
        </w:rPr>
        <w:t>Critical</w:t>
      </w:r>
      <w:proofErr w:type="spellEnd"/>
      <w:r>
        <w:rPr>
          <w:sz w:val="20"/>
          <w:szCs w:val="20"/>
        </w:rPr>
        <w:t xml:space="preserve"> Care Medicine, 188(7), 770-775. https://doi.org/10.1164/rccm.201305-0843PP</w:t>
      </w:r>
    </w:p>
    <w:p w14:paraId="41192042" w14:textId="77777777" w:rsidR="00B51F6D" w:rsidRDefault="00B51F6D" w:rsidP="00B51F6D">
      <w:pPr>
        <w:ind w:left="720" w:hanging="360"/>
      </w:pPr>
      <w:r>
        <w:rPr>
          <w:b/>
          <w:bCs/>
          <w:color w:val="1F3864"/>
          <w:sz w:val="20"/>
          <w:szCs w:val="20"/>
        </w:rPr>
        <w:t xml:space="preserve">[25] </w:t>
      </w:r>
      <w:proofErr w:type="spellStart"/>
      <w:r>
        <w:rPr>
          <w:sz w:val="20"/>
          <w:szCs w:val="20"/>
        </w:rPr>
        <w:t>Sørlie</w:t>
      </w:r>
      <w:proofErr w:type="spellEnd"/>
      <w:r>
        <w:rPr>
          <w:sz w:val="20"/>
          <w:szCs w:val="20"/>
        </w:rPr>
        <w:t xml:space="preserve">, T., </w:t>
      </w:r>
      <w:proofErr w:type="spellStart"/>
      <w:r>
        <w:rPr>
          <w:sz w:val="20"/>
          <w:szCs w:val="20"/>
        </w:rPr>
        <w:t>Perou</w:t>
      </w:r>
      <w:proofErr w:type="spellEnd"/>
      <w:r>
        <w:rPr>
          <w:sz w:val="20"/>
          <w:szCs w:val="20"/>
        </w:rPr>
        <w:t xml:space="preserve">, C. M., </w:t>
      </w:r>
      <w:proofErr w:type="spellStart"/>
      <w:r>
        <w:rPr>
          <w:sz w:val="20"/>
          <w:szCs w:val="20"/>
        </w:rPr>
        <w:t>Tibshirani</w:t>
      </w:r>
      <w:proofErr w:type="spellEnd"/>
      <w:r>
        <w:rPr>
          <w:sz w:val="20"/>
          <w:szCs w:val="20"/>
        </w:rPr>
        <w:t xml:space="preserve">, R., et al. (2001). Gene </w:t>
      </w:r>
      <w:proofErr w:type="spellStart"/>
      <w:r>
        <w:rPr>
          <w:sz w:val="20"/>
          <w:szCs w:val="20"/>
        </w:rPr>
        <w:t>expression</w:t>
      </w:r>
      <w:proofErr w:type="spellEnd"/>
      <w:r>
        <w:rPr>
          <w:sz w:val="20"/>
          <w:szCs w:val="20"/>
        </w:rPr>
        <w:t xml:space="preserve"> </w:t>
      </w:r>
      <w:proofErr w:type="spellStart"/>
      <w:r>
        <w:rPr>
          <w:sz w:val="20"/>
          <w:szCs w:val="20"/>
        </w:rPr>
        <w:t>patterns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breast</w:t>
      </w:r>
      <w:proofErr w:type="spellEnd"/>
      <w:r>
        <w:rPr>
          <w:sz w:val="20"/>
          <w:szCs w:val="20"/>
        </w:rPr>
        <w:t xml:space="preserve"> carcinomas </w:t>
      </w:r>
      <w:proofErr w:type="spellStart"/>
      <w:r>
        <w:rPr>
          <w:sz w:val="20"/>
          <w:szCs w:val="20"/>
        </w:rPr>
        <w:t>distinguish</w:t>
      </w:r>
      <w:proofErr w:type="spellEnd"/>
      <w:r>
        <w:rPr>
          <w:sz w:val="20"/>
          <w:szCs w:val="20"/>
        </w:rPr>
        <w:t xml:space="preserve"> tumor </w:t>
      </w:r>
      <w:proofErr w:type="spellStart"/>
      <w:r>
        <w:rPr>
          <w:sz w:val="20"/>
          <w:szCs w:val="20"/>
        </w:rPr>
        <w:t>subclasses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implications</w:t>
      </w:r>
      <w:proofErr w:type="spellEnd"/>
      <w:r>
        <w:rPr>
          <w:sz w:val="20"/>
          <w:szCs w:val="20"/>
        </w:rPr>
        <w:t xml:space="preserve">. </w:t>
      </w:r>
      <w:proofErr w:type="spellStart"/>
      <w:r>
        <w:rPr>
          <w:sz w:val="20"/>
          <w:szCs w:val="20"/>
        </w:rPr>
        <w:t>Proceedings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National</w:t>
      </w:r>
      <w:proofErr w:type="spellEnd"/>
      <w:r>
        <w:rPr>
          <w:sz w:val="20"/>
          <w:szCs w:val="20"/>
        </w:rPr>
        <w:t xml:space="preserve"> </w:t>
      </w:r>
      <w:proofErr w:type="spellStart"/>
      <w:r>
        <w:rPr>
          <w:sz w:val="20"/>
          <w:szCs w:val="20"/>
        </w:rPr>
        <w:t>Academy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Sciences</w:t>
      </w:r>
      <w:proofErr w:type="spellEnd"/>
      <w:r>
        <w:rPr>
          <w:sz w:val="20"/>
          <w:szCs w:val="20"/>
        </w:rPr>
        <w:t>, 98(19), 10869-10874. https://doi.org/10.1073/pnas.191367098</w:t>
      </w:r>
    </w:p>
    <w:p w14:paraId="7BF76E4C" w14:textId="77777777" w:rsidR="00B51F6D" w:rsidRDefault="00B51F6D" w:rsidP="00B51F6D">
      <w:pPr>
        <w:ind w:left="720" w:hanging="360"/>
      </w:pPr>
      <w:r>
        <w:rPr>
          <w:b/>
          <w:bCs/>
          <w:color w:val="1F3864"/>
          <w:sz w:val="20"/>
          <w:szCs w:val="20"/>
        </w:rPr>
        <w:t xml:space="preserve">[26] </w:t>
      </w:r>
      <w:proofErr w:type="spellStart"/>
      <w:r>
        <w:rPr>
          <w:sz w:val="20"/>
          <w:szCs w:val="20"/>
        </w:rPr>
        <w:t>Paik</w:t>
      </w:r>
      <w:proofErr w:type="spellEnd"/>
      <w:r>
        <w:rPr>
          <w:sz w:val="20"/>
          <w:szCs w:val="20"/>
        </w:rPr>
        <w:t xml:space="preserve">, S., </w:t>
      </w:r>
      <w:proofErr w:type="spellStart"/>
      <w:r>
        <w:rPr>
          <w:sz w:val="20"/>
          <w:szCs w:val="20"/>
        </w:rPr>
        <w:t>Shak</w:t>
      </w:r>
      <w:proofErr w:type="spellEnd"/>
      <w:r>
        <w:rPr>
          <w:sz w:val="20"/>
          <w:szCs w:val="20"/>
        </w:rPr>
        <w:t xml:space="preserve">, S., Tang, G., et al. (2004). A </w:t>
      </w:r>
      <w:proofErr w:type="spellStart"/>
      <w:r>
        <w:rPr>
          <w:sz w:val="20"/>
          <w:szCs w:val="20"/>
        </w:rPr>
        <w:t>multigene</w:t>
      </w:r>
      <w:proofErr w:type="spellEnd"/>
      <w:r>
        <w:rPr>
          <w:sz w:val="20"/>
          <w:szCs w:val="20"/>
        </w:rPr>
        <w:t xml:space="preserve"> </w:t>
      </w:r>
      <w:proofErr w:type="spellStart"/>
      <w:r>
        <w:rPr>
          <w:sz w:val="20"/>
          <w:szCs w:val="20"/>
        </w:rPr>
        <w:t>assay</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predict</w:t>
      </w:r>
      <w:proofErr w:type="spellEnd"/>
      <w:r>
        <w:rPr>
          <w:sz w:val="20"/>
          <w:szCs w:val="20"/>
        </w:rPr>
        <w:t xml:space="preserve"> </w:t>
      </w:r>
      <w:proofErr w:type="spellStart"/>
      <w:r>
        <w:rPr>
          <w:sz w:val="20"/>
          <w:szCs w:val="20"/>
        </w:rPr>
        <w:t>recurrence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tamoxifen-treated</w:t>
      </w:r>
      <w:proofErr w:type="spellEnd"/>
      <w:r>
        <w:rPr>
          <w:sz w:val="20"/>
          <w:szCs w:val="20"/>
        </w:rPr>
        <w:t xml:space="preserve">, </w:t>
      </w:r>
      <w:proofErr w:type="spellStart"/>
      <w:r>
        <w:rPr>
          <w:sz w:val="20"/>
          <w:szCs w:val="20"/>
        </w:rPr>
        <w:t>node</w:t>
      </w:r>
      <w:proofErr w:type="spellEnd"/>
      <w:r>
        <w:rPr>
          <w:sz w:val="20"/>
          <w:szCs w:val="20"/>
        </w:rPr>
        <w:t xml:space="preserve">-negative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351(27), 2817-2826. https://doi.org/10.1056/NEJMoa041588</w:t>
      </w:r>
    </w:p>
    <w:p w14:paraId="5E4F5025" w14:textId="77777777" w:rsidR="00B51F6D" w:rsidRDefault="00B51F6D" w:rsidP="00B51F6D">
      <w:pPr>
        <w:ind w:left="720" w:hanging="360"/>
      </w:pPr>
      <w:r>
        <w:rPr>
          <w:b/>
          <w:bCs/>
          <w:color w:val="1F3864"/>
          <w:sz w:val="20"/>
          <w:szCs w:val="20"/>
        </w:rPr>
        <w:t xml:space="preserve">[27] </w:t>
      </w:r>
      <w:r>
        <w:rPr>
          <w:sz w:val="20"/>
          <w:szCs w:val="20"/>
        </w:rPr>
        <w:t xml:space="preserve">van 't </w:t>
      </w:r>
      <w:proofErr w:type="spellStart"/>
      <w:r>
        <w:rPr>
          <w:sz w:val="20"/>
          <w:szCs w:val="20"/>
        </w:rPr>
        <w:t>Veer</w:t>
      </w:r>
      <w:proofErr w:type="spellEnd"/>
      <w:r>
        <w:rPr>
          <w:sz w:val="20"/>
          <w:szCs w:val="20"/>
        </w:rPr>
        <w:t xml:space="preserve">, L. J., </w:t>
      </w:r>
      <w:proofErr w:type="spellStart"/>
      <w:r>
        <w:rPr>
          <w:sz w:val="20"/>
          <w:szCs w:val="20"/>
        </w:rPr>
        <w:t>Dai</w:t>
      </w:r>
      <w:proofErr w:type="spellEnd"/>
      <w:r>
        <w:rPr>
          <w:sz w:val="20"/>
          <w:szCs w:val="20"/>
        </w:rPr>
        <w:t xml:space="preserve">, H., Van De </w:t>
      </w:r>
      <w:proofErr w:type="spellStart"/>
      <w:r>
        <w:rPr>
          <w:sz w:val="20"/>
          <w:szCs w:val="20"/>
        </w:rPr>
        <w:t>Vijver</w:t>
      </w:r>
      <w:proofErr w:type="spellEnd"/>
      <w:r>
        <w:rPr>
          <w:sz w:val="20"/>
          <w:szCs w:val="20"/>
        </w:rPr>
        <w:t xml:space="preserve">, M. J., et al. (2002). Gene </w:t>
      </w:r>
      <w:proofErr w:type="spellStart"/>
      <w:r>
        <w:rPr>
          <w:sz w:val="20"/>
          <w:szCs w:val="20"/>
        </w:rPr>
        <w:t>expression</w:t>
      </w:r>
      <w:proofErr w:type="spellEnd"/>
      <w:r>
        <w:rPr>
          <w:sz w:val="20"/>
          <w:szCs w:val="20"/>
        </w:rPr>
        <w:t xml:space="preserve"> </w:t>
      </w:r>
      <w:proofErr w:type="spellStart"/>
      <w:r>
        <w:rPr>
          <w:sz w:val="20"/>
          <w:szCs w:val="20"/>
        </w:rPr>
        <w:t>profiling</w:t>
      </w:r>
      <w:proofErr w:type="spellEnd"/>
      <w:r>
        <w:rPr>
          <w:sz w:val="20"/>
          <w:szCs w:val="20"/>
        </w:rPr>
        <w:t xml:space="preserve"> </w:t>
      </w:r>
      <w:proofErr w:type="spellStart"/>
      <w:r>
        <w:rPr>
          <w:sz w:val="20"/>
          <w:szCs w:val="20"/>
        </w:rPr>
        <w:t>predicts</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outcome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Nature</w:t>
      </w:r>
      <w:proofErr w:type="spellEnd"/>
      <w:r>
        <w:rPr>
          <w:sz w:val="20"/>
          <w:szCs w:val="20"/>
        </w:rPr>
        <w:t>, 415(6871), 530-536. https://doi.org/10.1038/415530a</w:t>
      </w:r>
    </w:p>
    <w:p w14:paraId="23C28312" w14:textId="77777777" w:rsidR="00B51F6D" w:rsidRDefault="00B51F6D" w:rsidP="00B51F6D">
      <w:pPr>
        <w:ind w:left="720" w:hanging="360"/>
      </w:pPr>
      <w:r>
        <w:rPr>
          <w:b/>
          <w:bCs/>
          <w:color w:val="1F3864"/>
          <w:sz w:val="20"/>
          <w:szCs w:val="20"/>
        </w:rPr>
        <w:t xml:space="preserve">[28] </w:t>
      </w:r>
      <w:proofErr w:type="spellStart"/>
      <w:r>
        <w:rPr>
          <w:sz w:val="20"/>
          <w:szCs w:val="20"/>
        </w:rPr>
        <w:t>Sparano</w:t>
      </w:r>
      <w:proofErr w:type="spellEnd"/>
      <w:r>
        <w:rPr>
          <w:sz w:val="20"/>
          <w:szCs w:val="20"/>
        </w:rPr>
        <w:t xml:space="preserve">, J. A., Gray, R. J., </w:t>
      </w:r>
      <w:proofErr w:type="spellStart"/>
      <w:r>
        <w:rPr>
          <w:sz w:val="20"/>
          <w:szCs w:val="20"/>
        </w:rPr>
        <w:t>Makower</w:t>
      </w:r>
      <w:proofErr w:type="spellEnd"/>
      <w:r>
        <w:rPr>
          <w:sz w:val="20"/>
          <w:szCs w:val="20"/>
        </w:rPr>
        <w:t xml:space="preserve">, D. F., et al. (2018). </w:t>
      </w:r>
      <w:proofErr w:type="spellStart"/>
      <w:r>
        <w:rPr>
          <w:sz w:val="20"/>
          <w:szCs w:val="20"/>
        </w:rPr>
        <w:t>Adjuvant</w:t>
      </w:r>
      <w:proofErr w:type="spellEnd"/>
      <w:r>
        <w:rPr>
          <w:sz w:val="20"/>
          <w:szCs w:val="20"/>
        </w:rPr>
        <w:t xml:space="preserve"> </w:t>
      </w:r>
      <w:proofErr w:type="spellStart"/>
      <w:r>
        <w:rPr>
          <w:sz w:val="20"/>
          <w:szCs w:val="20"/>
        </w:rPr>
        <w:t>chemotherapy</w:t>
      </w:r>
      <w:proofErr w:type="spellEnd"/>
      <w:r>
        <w:rPr>
          <w:sz w:val="20"/>
          <w:szCs w:val="20"/>
        </w:rPr>
        <w:t xml:space="preserve"> </w:t>
      </w:r>
      <w:proofErr w:type="spellStart"/>
      <w:r>
        <w:rPr>
          <w:sz w:val="20"/>
          <w:szCs w:val="20"/>
        </w:rPr>
        <w:t>guided</w:t>
      </w:r>
      <w:proofErr w:type="spellEnd"/>
      <w:r>
        <w:rPr>
          <w:sz w:val="20"/>
          <w:szCs w:val="20"/>
        </w:rPr>
        <w:t xml:space="preserve"> </w:t>
      </w:r>
      <w:proofErr w:type="spellStart"/>
      <w:r>
        <w:rPr>
          <w:sz w:val="20"/>
          <w:szCs w:val="20"/>
        </w:rPr>
        <w:t>by</w:t>
      </w:r>
      <w:proofErr w:type="spellEnd"/>
      <w:r>
        <w:rPr>
          <w:sz w:val="20"/>
          <w:szCs w:val="20"/>
        </w:rPr>
        <w:t xml:space="preserve"> a 21-gene </w:t>
      </w:r>
      <w:proofErr w:type="spellStart"/>
      <w:r>
        <w:rPr>
          <w:sz w:val="20"/>
          <w:szCs w:val="20"/>
        </w:rPr>
        <w:t>expression</w:t>
      </w:r>
      <w:proofErr w:type="spellEnd"/>
      <w:r>
        <w:rPr>
          <w:sz w:val="20"/>
          <w:szCs w:val="20"/>
        </w:rPr>
        <w:t xml:space="preserve"> </w:t>
      </w:r>
      <w:proofErr w:type="spellStart"/>
      <w:r>
        <w:rPr>
          <w:sz w:val="20"/>
          <w:szCs w:val="20"/>
        </w:rPr>
        <w:t>assay</w:t>
      </w:r>
      <w:proofErr w:type="spellEnd"/>
      <w:r>
        <w:rPr>
          <w:sz w:val="20"/>
          <w:szCs w:val="20"/>
        </w:rPr>
        <w:t xml:space="preserve"> in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379(2), 111-121. https://doi.org/10.1056/NEJMoa1804710</w:t>
      </w:r>
    </w:p>
    <w:p w14:paraId="782B0507" w14:textId="77777777" w:rsidR="00B51F6D" w:rsidRDefault="00B51F6D" w:rsidP="00B51F6D">
      <w:pPr>
        <w:ind w:left="720" w:hanging="360"/>
      </w:pPr>
      <w:r>
        <w:rPr>
          <w:b/>
          <w:bCs/>
          <w:color w:val="1F3864"/>
          <w:sz w:val="20"/>
          <w:szCs w:val="20"/>
        </w:rPr>
        <w:t xml:space="preserve">[29] </w:t>
      </w:r>
      <w:r>
        <w:rPr>
          <w:sz w:val="20"/>
          <w:szCs w:val="20"/>
        </w:rPr>
        <w:t xml:space="preserve">Cardoso, F., van 't </w:t>
      </w:r>
      <w:proofErr w:type="spellStart"/>
      <w:r>
        <w:rPr>
          <w:sz w:val="20"/>
          <w:szCs w:val="20"/>
        </w:rPr>
        <w:t>Veer</w:t>
      </w:r>
      <w:proofErr w:type="spellEnd"/>
      <w:r>
        <w:rPr>
          <w:sz w:val="20"/>
          <w:szCs w:val="20"/>
        </w:rPr>
        <w:t xml:space="preserve">, L. J., </w:t>
      </w:r>
      <w:proofErr w:type="spellStart"/>
      <w:r>
        <w:rPr>
          <w:sz w:val="20"/>
          <w:szCs w:val="20"/>
        </w:rPr>
        <w:t>Bogaerts</w:t>
      </w:r>
      <w:proofErr w:type="spellEnd"/>
      <w:r>
        <w:rPr>
          <w:sz w:val="20"/>
          <w:szCs w:val="20"/>
        </w:rPr>
        <w:t xml:space="preserve">, J., et al. (2016). 70-gene </w:t>
      </w:r>
      <w:proofErr w:type="spellStart"/>
      <w:r>
        <w:rPr>
          <w:sz w:val="20"/>
          <w:szCs w:val="20"/>
        </w:rPr>
        <w:t>signature</w:t>
      </w:r>
      <w:proofErr w:type="spellEnd"/>
      <w:r>
        <w:rPr>
          <w:sz w:val="20"/>
          <w:szCs w:val="20"/>
        </w:rPr>
        <w:t xml:space="preserve"> as </w:t>
      </w:r>
      <w:proofErr w:type="spellStart"/>
      <w:r>
        <w:rPr>
          <w:sz w:val="20"/>
          <w:szCs w:val="20"/>
        </w:rPr>
        <w:t>an</w:t>
      </w:r>
      <w:proofErr w:type="spellEnd"/>
      <w:r>
        <w:rPr>
          <w:sz w:val="20"/>
          <w:szCs w:val="20"/>
        </w:rPr>
        <w:t xml:space="preserve"> </w:t>
      </w:r>
      <w:proofErr w:type="spellStart"/>
      <w:r>
        <w:rPr>
          <w:sz w:val="20"/>
          <w:szCs w:val="20"/>
        </w:rPr>
        <w:t>aid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decisions</w:t>
      </w:r>
      <w:proofErr w:type="spellEnd"/>
      <w:r>
        <w:rPr>
          <w:sz w:val="20"/>
          <w:szCs w:val="20"/>
        </w:rPr>
        <w:t xml:space="preserve"> in </w:t>
      </w:r>
      <w:proofErr w:type="spellStart"/>
      <w:r>
        <w:rPr>
          <w:sz w:val="20"/>
          <w:szCs w:val="20"/>
        </w:rPr>
        <w:t>early-stage</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New </w:t>
      </w:r>
      <w:proofErr w:type="spellStart"/>
      <w:r>
        <w:rPr>
          <w:sz w:val="20"/>
          <w:szCs w:val="20"/>
        </w:rPr>
        <w:t>England</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Medicine, 375(8), 717-729. https://doi.org/10.1056/NEJMoa1602253</w:t>
      </w:r>
    </w:p>
    <w:p w14:paraId="256CE64A" w14:textId="77777777" w:rsidR="00B51F6D" w:rsidRDefault="00B51F6D" w:rsidP="00B51F6D">
      <w:pPr>
        <w:ind w:left="720" w:hanging="360"/>
      </w:pPr>
      <w:r>
        <w:rPr>
          <w:b/>
          <w:bCs/>
          <w:color w:val="1F3864"/>
          <w:sz w:val="20"/>
          <w:szCs w:val="20"/>
        </w:rPr>
        <w:t xml:space="preserve">[30] </w:t>
      </w:r>
      <w:proofErr w:type="spellStart"/>
      <w:r>
        <w:rPr>
          <w:sz w:val="20"/>
          <w:szCs w:val="20"/>
        </w:rPr>
        <w:t>Meng</w:t>
      </w:r>
      <w:proofErr w:type="spellEnd"/>
      <w:r>
        <w:rPr>
          <w:sz w:val="20"/>
          <w:szCs w:val="20"/>
        </w:rPr>
        <w:t xml:space="preserve">, X., </w:t>
      </w:r>
      <w:proofErr w:type="spellStart"/>
      <w:r>
        <w:rPr>
          <w:sz w:val="20"/>
          <w:szCs w:val="20"/>
        </w:rPr>
        <w:t>Xing</w:t>
      </w:r>
      <w:proofErr w:type="spellEnd"/>
      <w:r>
        <w:rPr>
          <w:sz w:val="20"/>
          <w:szCs w:val="20"/>
        </w:rPr>
        <w:t xml:space="preserve">, X., Cao, S., et al. (2021). </w:t>
      </w:r>
      <w:proofErr w:type="spellStart"/>
      <w:r>
        <w:rPr>
          <w:sz w:val="20"/>
          <w:szCs w:val="20"/>
        </w:rPr>
        <w:t>Predicting</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5-year </w:t>
      </w:r>
      <w:proofErr w:type="spellStart"/>
      <w:r>
        <w:rPr>
          <w:sz w:val="20"/>
          <w:szCs w:val="20"/>
        </w:rPr>
        <w:t>survival</w:t>
      </w:r>
      <w:proofErr w:type="spellEnd"/>
      <w:r>
        <w:rPr>
          <w:sz w:val="20"/>
          <w:szCs w:val="20"/>
        </w:rPr>
        <w:t xml:space="preserve"> </w:t>
      </w:r>
      <w:proofErr w:type="spellStart"/>
      <w:r>
        <w:rPr>
          <w:sz w:val="20"/>
          <w:szCs w:val="20"/>
        </w:rPr>
        <w:t>using</w:t>
      </w:r>
      <w:proofErr w:type="spellEnd"/>
      <w:r>
        <w:rPr>
          <w:sz w:val="20"/>
          <w:szCs w:val="20"/>
        </w:rPr>
        <w:t xml:space="preserve"> machine learning: A </w:t>
      </w:r>
      <w:proofErr w:type="spellStart"/>
      <w:r>
        <w:rPr>
          <w:sz w:val="20"/>
          <w:szCs w:val="20"/>
        </w:rPr>
        <w:t>systematic</w:t>
      </w:r>
      <w:proofErr w:type="spellEnd"/>
      <w:r>
        <w:rPr>
          <w:sz w:val="20"/>
          <w:szCs w:val="20"/>
        </w:rPr>
        <w:t xml:space="preserve"> </w:t>
      </w:r>
      <w:proofErr w:type="spellStart"/>
      <w:r>
        <w:rPr>
          <w:sz w:val="20"/>
          <w:szCs w:val="20"/>
        </w:rPr>
        <w:t>review</w:t>
      </w:r>
      <w:proofErr w:type="spellEnd"/>
      <w:r>
        <w:rPr>
          <w:sz w:val="20"/>
          <w:szCs w:val="20"/>
        </w:rPr>
        <w:t>. PLOS ONE, 16(4), e0250370. https://doi.org/10.1371/journal.pone.0250370 *</w:t>
      </w:r>
    </w:p>
    <w:p w14:paraId="5DCB6B64" w14:textId="77777777" w:rsidR="00B51F6D" w:rsidRDefault="00B51F6D" w:rsidP="00B51F6D">
      <w:pPr>
        <w:ind w:left="720" w:hanging="360"/>
      </w:pPr>
      <w:r>
        <w:rPr>
          <w:b/>
          <w:bCs/>
          <w:color w:val="1F3864"/>
          <w:sz w:val="20"/>
          <w:szCs w:val="20"/>
        </w:rPr>
        <w:t xml:space="preserve">[31] </w:t>
      </w:r>
      <w:r>
        <w:rPr>
          <w:sz w:val="20"/>
          <w:szCs w:val="20"/>
        </w:rPr>
        <w:t xml:space="preserve">Gao, J., Zhang, P., Ren, Y., et al. (2019). Integrative </w:t>
      </w:r>
      <w:proofErr w:type="spellStart"/>
      <w:r>
        <w:rPr>
          <w:sz w:val="20"/>
          <w:szCs w:val="20"/>
        </w:rPr>
        <w:t>analysis</w:t>
      </w:r>
      <w:proofErr w:type="spellEnd"/>
      <w:r>
        <w:rPr>
          <w:sz w:val="20"/>
          <w:szCs w:val="20"/>
        </w:rPr>
        <w:t xml:space="preserve"> </w:t>
      </w:r>
      <w:proofErr w:type="spellStart"/>
      <w:r>
        <w:rPr>
          <w:sz w:val="20"/>
          <w:szCs w:val="20"/>
        </w:rPr>
        <w:t>of</w:t>
      </w:r>
      <w:proofErr w:type="spellEnd"/>
      <w:r>
        <w:rPr>
          <w:sz w:val="20"/>
          <w:szCs w:val="20"/>
        </w:rPr>
        <w:t xml:space="preserve"> gene </w:t>
      </w:r>
      <w:proofErr w:type="spellStart"/>
      <w:r>
        <w:rPr>
          <w:sz w:val="20"/>
          <w:szCs w:val="20"/>
        </w:rPr>
        <w:t>expression</w:t>
      </w:r>
      <w:proofErr w:type="spellEnd"/>
      <w:r>
        <w:rPr>
          <w:sz w:val="20"/>
          <w:szCs w:val="20"/>
        </w:rPr>
        <w:t xml:space="preserve"> data in TCGA </w:t>
      </w:r>
      <w:proofErr w:type="spellStart"/>
      <w:r>
        <w:rPr>
          <w:sz w:val="20"/>
          <w:szCs w:val="20"/>
        </w:rPr>
        <w:t>for</w:t>
      </w:r>
      <w:proofErr w:type="spellEnd"/>
      <w:r>
        <w:rPr>
          <w:sz w:val="20"/>
          <w:szCs w:val="20"/>
        </w:rPr>
        <w:t xml:space="preserve"> </w:t>
      </w:r>
      <w:proofErr w:type="spellStart"/>
      <w:r>
        <w:rPr>
          <w:sz w:val="20"/>
          <w:szCs w:val="20"/>
        </w:rPr>
        <w:t>predicting</w:t>
      </w:r>
      <w:proofErr w:type="spellEnd"/>
      <w:r>
        <w:rPr>
          <w:sz w:val="20"/>
          <w:szCs w:val="20"/>
        </w:rPr>
        <w:t xml:space="preserve">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prognosis. BMC </w:t>
      </w:r>
      <w:proofErr w:type="spellStart"/>
      <w:r>
        <w:rPr>
          <w:sz w:val="20"/>
          <w:szCs w:val="20"/>
        </w:rPr>
        <w:t>Bioinformatics</w:t>
      </w:r>
      <w:proofErr w:type="spellEnd"/>
      <w:r>
        <w:rPr>
          <w:sz w:val="20"/>
          <w:szCs w:val="20"/>
        </w:rPr>
        <w:t>, 20(1), 582. https://doi.org/10.1186/s12859-019-3190-4</w:t>
      </w:r>
    </w:p>
    <w:p w14:paraId="5FE3B23E" w14:textId="77777777" w:rsidR="00B51F6D" w:rsidRDefault="00B51F6D" w:rsidP="00B51F6D">
      <w:pPr>
        <w:ind w:left="720" w:hanging="360"/>
      </w:pPr>
      <w:r>
        <w:rPr>
          <w:b/>
          <w:bCs/>
          <w:color w:val="1F3864"/>
          <w:sz w:val="20"/>
          <w:szCs w:val="20"/>
        </w:rPr>
        <w:t xml:space="preserve">[32] </w:t>
      </w:r>
      <w:proofErr w:type="spellStart"/>
      <w:r>
        <w:rPr>
          <w:sz w:val="20"/>
          <w:szCs w:val="20"/>
        </w:rPr>
        <w:t>Tapak</w:t>
      </w:r>
      <w:proofErr w:type="spellEnd"/>
      <w:r>
        <w:rPr>
          <w:sz w:val="20"/>
          <w:szCs w:val="20"/>
        </w:rPr>
        <w:t xml:space="preserve">, L., </w:t>
      </w:r>
      <w:proofErr w:type="spellStart"/>
      <w:r>
        <w:rPr>
          <w:sz w:val="20"/>
          <w:szCs w:val="20"/>
        </w:rPr>
        <w:t>Hamidi</w:t>
      </w:r>
      <w:proofErr w:type="spellEnd"/>
      <w:r>
        <w:rPr>
          <w:sz w:val="20"/>
          <w:szCs w:val="20"/>
        </w:rPr>
        <w:t xml:space="preserve">, O., </w:t>
      </w:r>
      <w:proofErr w:type="spellStart"/>
      <w:r>
        <w:rPr>
          <w:sz w:val="20"/>
          <w:szCs w:val="20"/>
        </w:rPr>
        <w:t>Amini</w:t>
      </w:r>
      <w:proofErr w:type="spellEnd"/>
      <w:r>
        <w:rPr>
          <w:sz w:val="20"/>
          <w:szCs w:val="20"/>
        </w:rPr>
        <w:t xml:space="preserve">, P., &amp; Verbeke, G. (2019). </w:t>
      </w:r>
      <w:proofErr w:type="spellStart"/>
      <w:r>
        <w:rPr>
          <w:sz w:val="20"/>
          <w:szCs w:val="20"/>
        </w:rPr>
        <w:t>Prediction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 in </w:t>
      </w:r>
      <w:proofErr w:type="spellStart"/>
      <w:r>
        <w:rPr>
          <w:sz w:val="20"/>
          <w:szCs w:val="20"/>
        </w:rPr>
        <w:t>breast</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via</w:t>
      </w:r>
      <w:proofErr w:type="spellEnd"/>
      <w:r>
        <w:rPr>
          <w:sz w:val="20"/>
          <w:szCs w:val="20"/>
        </w:rPr>
        <w:t xml:space="preserve"> a competitive </w:t>
      </w:r>
      <w:proofErr w:type="spellStart"/>
      <w:r>
        <w:rPr>
          <w:sz w:val="20"/>
          <w:szCs w:val="20"/>
        </w:rPr>
        <w:t>penalized</w:t>
      </w:r>
      <w:proofErr w:type="spellEnd"/>
      <w:r>
        <w:rPr>
          <w:sz w:val="20"/>
          <w:szCs w:val="20"/>
        </w:rPr>
        <w:t xml:space="preserve"> Cox </w:t>
      </w:r>
      <w:proofErr w:type="spellStart"/>
      <w:r>
        <w:rPr>
          <w:sz w:val="20"/>
          <w:szCs w:val="20"/>
        </w:rPr>
        <w:t>model</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presence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correlated</w:t>
      </w:r>
      <w:proofErr w:type="spellEnd"/>
      <w:r>
        <w:rPr>
          <w:sz w:val="20"/>
          <w:szCs w:val="20"/>
        </w:rPr>
        <w:t xml:space="preserve"> gene </w:t>
      </w:r>
      <w:proofErr w:type="spellStart"/>
      <w:r>
        <w:rPr>
          <w:sz w:val="20"/>
          <w:szCs w:val="20"/>
        </w:rPr>
        <w:t>expression</w:t>
      </w:r>
      <w:proofErr w:type="spellEnd"/>
      <w:r>
        <w:rPr>
          <w:sz w:val="20"/>
          <w:szCs w:val="20"/>
        </w:rPr>
        <w:t xml:space="preserve"> data. </w:t>
      </w:r>
      <w:proofErr w:type="spellStart"/>
      <w:r>
        <w:rPr>
          <w:sz w:val="20"/>
          <w:szCs w:val="20"/>
        </w:rPr>
        <w:t>Scientific</w:t>
      </w:r>
      <w:proofErr w:type="spellEnd"/>
      <w:r>
        <w:rPr>
          <w:sz w:val="20"/>
          <w:szCs w:val="20"/>
        </w:rPr>
        <w:t xml:space="preserve"> </w:t>
      </w:r>
      <w:proofErr w:type="spellStart"/>
      <w:r>
        <w:rPr>
          <w:sz w:val="20"/>
          <w:szCs w:val="20"/>
        </w:rPr>
        <w:t>Reports</w:t>
      </w:r>
      <w:proofErr w:type="spellEnd"/>
      <w:r>
        <w:rPr>
          <w:sz w:val="20"/>
          <w:szCs w:val="20"/>
        </w:rPr>
        <w:t>, 9(1), 10841. https://doi.org/10.1038/s41598-019-47181-0</w:t>
      </w:r>
    </w:p>
    <w:p w14:paraId="3D39E956" w14:textId="77777777" w:rsidR="00B51F6D" w:rsidRDefault="00B51F6D" w:rsidP="00B51F6D">
      <w:pPr>
        <w:ind w:left="720" w:hanging="360"/>
      </w:pPr>
      <w:r>
        <w:rPr>
          <w:b/>
          <w:bCs/>
          <w:color w:val="1F3864"/>
          <w:sz w:val="20"/>
          <w:szCs w:val="20"/>
        </w:rPr>
        <w:t xml:space="preserve">[33]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(2014). Comprehensive molecular </w:t>
      </w:r>
      <w:proofErr w:type="spellStart"/>
      <w:r>
        <w:rPr>
          <w:sz w:val="20"/>
          <w:szCs w:val="20"/>
        </w:rPr>
        <w:t>profiling</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adenocarcinoma. </w:t>
      </w:r>
      <w:proofErr w:type="spellStart"/>
      <w:r>
        <w:rPr>
          <w:sz w:val="20"/>
          <w:szCs w:val="20"/>
        </w:rPr>
        <w:t>Nature</w:t>
      </w:r>
      <w:proofErr w:type="spellEnd"/>
      <w:r>
        <w:rPr>
          <w:sz w:val="20"/>
          <w:szCs w:val="20"/>
        </w:rPr>
        <w:t>, 511(7511), 543-550. https://doi.org/10.1038/nature13385</w:t>
      </w:r>
    </w:p>
    <w:p w14:paraId="71B968E6" w14:textId="77777777" w:rsidR="00B51F6D" w:rsidRDefault="00B51F6D" w:rsidP="00B51F6D">
      <w:pPr>
        <w:ind w:left="720" w:hanging="360"/>
      </w:pPr>
      <w:r>
        <w:rPr>
          <w:b/>
          <w:bCs/>
          <w:color w:val="1F3864"/>
          <w:sz w:val="20"/>
          <w:szCs w:val="20"/>
        </w:rPr>
        <w:lastRenderedPageBreak/>
        <w:t xml:space="preserve">[34] </w:t>
      </w:r>
      <w:proofErr w:type="spellStart"/>
      <w:r>
        <w:rPr>
          <w:sz w:val="20"/>
          <w:szCs w:val="20"/>
        </w:rPr>
        <w:t>Cancer</w:t>
      </w:r>
      <w:proofErr w:type="spellEnd"/>
      <w:r>
        <w:rPr>
          <w:sz w:val="20"/>
          <w:szCs w:val="20"/>
        </w:rPr>
        <w:t xml:space="preserve"> </w:t>
      </w:r>
      <w:proofErr w:type="spellStart"/>
      <w:r>
        <w:rPr>
          <w:sz w:val="20"/>
          <w:szCs w:val="20"/>
        </w:rPr>
        <w:t>Genome</w:t>
      </w:r>
      <w:proofErr w:type="spellEnd"/>
      <w:r>
        <w:rPr>
          <w:sz w:val="20"/>
          <w:szCs w:val="20"/>
        </w:rPr>
        <w:t xml:space="preserve"> Atlas </w:t>
      </w:r>
      <w:proofErr w:type="spellStart"/>
      <w:r>
        <w:rPr>
          <w:sz w:val="20"/>
          <w:szCs w:val="20"/>
        </w:rPr>
        <w:t>Research</w:t>
      </w:r>
      <w:proofErr w:type="spellEnd"/>
      <w:r>
        <w:rPr>
          <w:sz w:val="20"/>
          <w:szCs w:val="20"/>
        </w:rPr>
        <w:t xml:space="preserve"> Network. (2012). Comprehensive </w:t>
      </w:r>
      <w:proofErr w:type="spellStart"/>
      <w:r>
        <w:rPr>
          <w:sz w:val="20"/>
          <w:szCs w:val="20"/>
        </w:rPr>
        <w:t>genomic</w:t>
      </w:r>
      <w:proofErr w:type="spellEnd"/>
      <w:r>
        <w:rPr>
          <w:sz w:val="20"/>
          <w:szCs w:val="20"/>
        </w:rPr>
        <w:t xml:space="preserve"> </w:t>
      </w:r>
      <w:proofErr w:type="spellStart"/>
      <w:r>
        <w:rPr>
          <w:sz w:val="20"/>
          <w:szCs w:val="20"/>
        </w:rPr>
        <w:t>characterization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squamous</w:t>
      </w:r>
      <w:proofErr w:type="spellEnd"/>
      <w:r>
        <w:rPr>
          <w:sz w:val="20"/>
          <w:szCs w:val="20"/>
        </w:rPr>
        <w:t xml:space="preserve"> </w:t>
      </w:r>
      <w:proofErr w:type="spellStart"/>
      <w:r>
        <w:rPr>
          <w:sz w:val="20"/>
          <w:szCs w:val="20"/>
        </w:rPr>
        <w:t>cell</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cancers</w:t>
      </w:r>
      <w:proofErr w:type="spellEnd"/>
      <w:r>
        <w:rPr>
          <w:sz w:val="20"/>
          <w:szCs w:val="20"/>
        </w:rPr>
        <w:t xml:space="preserve">. </w:t>
      </w:r>
      <w:proofErr w:type="spellStart"/>
      <w:r>
        <w:rPr>
          <w:sz w:val="20"/>
          <w:szCs w:val="20"/>
        </w:rPr>
        <w:t>Nature</w:t>
      </w:r>
      <w:proofErr w:type="spellEnd"/>
      <w:r>
        <w:rPr>
          <w:sz w:val="20"/>
          <w:szCs w:val="20"/>
        </w:rPr>
        <w:t>, 489(7417), 519-525. https://doi.org/10.1038/nature11404</w:t>
      </w:r>
    </w:p>
    <w:p w14:paraId="70FA2588" w14:textId="77777777" w:rsidR="00B51F6D" w:rsidRDefault="00B51F6D" w:rsidP="00B51F6D">
      <w:pPr>
        <w:ind w:left="720" w:hanging="360"/>
      </w:pPr>
      <w:r>
        <w:rPr>
          <w:b/>
          <w:bCs/>
          <w:color w:val="1F3864"/>
          <w:sz w:val="20"/>
          <w:szCs w:val="20"/>
        </w:rPr>
        <w:t xml:space="preserve">[35] </w:t>
      </w:r>
      <w:r>
        <w:rPr>
          <w:sz w:val="20"/>
          <w:szCs w:val="20"/>
        </w:rPr>
        <w:t xml:space="preserve">Lu, M., </w:t>
      </w:r>
      <w:proofErr w:type="spellStart"/>
      <w:r>
        <w:rPr>
          <w:sz w:val="20"/>
          <w:szCs w:val="20"/>
        </w:rPr>
        <w:t>Guo</w:t>
      </w:r>
      <w:proofErr w:type="spellEnd"/>
      <w:r>
        <w:rPr>
          <w:sz w:val="20"/>
          <w:szCs w:val="20"/>
        </w:rPr>
        <w:t xml:space="preserve">, H., </w:t>
      </w:r>
      <w:proofErr w:type="spellStart"/>
      <w:r>
        <w:rPr>
          <w:sz w:val="20"/>
          <w:szCs w:val="20"/>
        </w:rPr>
        <w:t>Xu</w:t>
      </w:r>
      <w:proofErr w:type="spellEnd"/>
      <w:r>
        <w:rPr>
          <w:sz w:val="20"/>
          <w:szCs w:val="20"/>
        </w:rPr>
        <w:t xml:space="preserve">, M., et al. (2020). </w:t>
      </w:r>
      <w:proofErr w:type="spellStart"/>
      <w:r>
        <w:rPr>
          <w:sz w:val="20"/>
          <w:szCs w:val="20"/>
        </w:rPr>
        <w:t>Predicting</w:t>
      </w:r>
      <w:proofErr w:type="spellEnd"/>
      <w:r>
        <w:rPr>
          <w:sz w:val="20"/>
          <w:szCs w:val="20"/>
        </w:rPr>
        <w:t xml:space="preserve"> </w:t>
      </w:r>
      <w:proofErr w:type="spellStart"/>
      <w:r>
        <w:rPr>
          <w:sz w:val="20"/>
          <w:szCs w:val="20"/>
        </w:rPr>
        <w:t>the</w:t>
      </w:r>
      <w:proofErr w:type="spellEnd"/>
      <w:r>
        <w:rPr>
          <w:sz w:val="20"/>
          <w:szCs w:val="20"/>
        </w:rPr>
        <w:t xml:space="preserve"> prognosis </w:t>
      </w:r>
      <w:proofErr w:type="spellStart"/>
      <w:r>
        <w:rPr>
          <w:sz w:val="20"/>
          <w:szCs w:val="20"/>
        </w:rPr>
        <w:t>of</w:t>
      </w:r>
      <w:proofErr w:type="spellEnd"/>
      <w:r>
        <w:rPr>
          <w:sz w:val="20"/>
          <w:szCs w:val="20"/>
        </w:rPr>
        <w:t xml:space="preserve"> </w:t>
      </w:r>
      <w:proofErr w:type="spellStart"/>
      <w:r>
        <w:rPr>
          <w:sz w:val="20"/>
          <w:szCs w:val="20"/>
        </w:rPr>
        <w:t>lung</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using</w:t>
      </w:r>
      <w:proofErr w:type="spellEnd"/>
      <w:r>
        <w:rPr>
          <w:sz w:val="20"/>
          <w:szCs w:val="20"/>
        </w:rPr>
        <w:t xml:space="preserve"> a machine learning </w:t>
      </w:r>
      <w:proofErr w:type="spellStart"/>
      <w:r>
        <w:rPr>
          <w:sz w:val="20"/>
          <w:szCs w:val="20"/>
        </w:rPr>
        <w:t>method</w:t>
      </w:r>
      <w:proofErr w:type="spellEnd"/>
      <w:r>
        <w:rPr>
          <w:sz w:val="20"/>
          <w:szCs w:val="20"/>
        </w:rPr>
        <w:t xml:space="preserve"> </w:t>
      </w:r>
      <w:proofErr w:type="spellStart"/>
      <w:r>
        <w:rPr>
          <w:sz w:val="20"/>
          <w:szCs w:val="20"/>
        </w:rPr>
        <w:t>with</w:t>
      </w:r>
      <w:proofErr w:type="spellEnd"/>
      <w:r>
        <w:rPr>
          <w:sz w:val="20"/>
          <w:szCs w:val="20"/>
        </w:rPr>
        <w:t xml:space="preserve"> data </w:t>
      </w:r>
      <w:proofErr w:type="spellStart"/>
      <w:r>
        <w:rPr>
          <w:sz w:val="20"/>
          <w:szCs w:val="20"/>
        </w:rPr>
        <w:t>from</w:t>
      </w:r>
      <w:proofErr w:type="spellEnd"/>
      <w:r>
        <w:rPr>
          <w:sz w:val="20"/>
          <w:szCs w:val="20"/>
        </w:rPr>
        <w:t xml:space="preserve"> TCGA. </w:t>
      </w:r>
      <w:proofErr w:type="spellStart"/>
      <w:r>
        <w:rPr>
          <w:sz w:val="20"/>
          <w:szCs w:val="20"/>
        </w:rPr>
        <w:t>Journal</w:t>
      </w:r>
      <w:proofErr w:type="spellEnd"/>
      <w:r>
        <w:rPr>
          <w:sz w:val="20"/>
          <w:szCs w:val="20"/>
        </w:rPr>
        <w:t xml:space="preserve"> of </w:t>
      </w:r>
      <w:proofErr w:type="spellStart"/>
      <w:r>
        <w:rPr>
          <w:sz w:val="20"/>
          <w:szCs w:val="20"/>
        </w:rPr>
        <w:t>Clinical</w:t>
      </w:r>
      <w:proofErr w:type="spellEnd"/>
      <w:r>
        <w:rPr>
          <w:sz w:val="20"/>
          <w:szCs w:val="20"/>
        </w:rPr>
        <w:t xml:space="preserve"> Medicine, 9(11), 3406. https://doi.org/10.3390/jcm9113406</w:t>
      </w:r>
    </w:p>
    <w:p w14:paraId="477EB47D" w14:textId="77777777" w:rsidR="00B51F6D" w:rsidRDefault="00B51F6D" w:rsidP="00B51F6D">
      <w:pPr>
        <w:ind w:left="720" w:hanging="360"/>
      </w:pPr>
      <w:r>
        <w:rPr>
          <w:b/>
          <w:bCs/>
          <w:color w:val="1F3864"/>
          <w:sz w:val="20"/>
          <w:szCs w:val="20"/>
        </w:rPr>
        <w:t xml:space="preserve">[36] </w:t>
      </w:r>
      <w:proofErr w:type="spellStart"/>
      <w:r>
        <w:rPr>
          <w:sz w:val="20"/>
          <w:szCs w:val="20"/>
        </w:rPr>
        <w:t>Dhiman</w:t>
      </w:r>
      <w:proofErr w:type="spellEnd"/>
      <w:r>
        <w:rPr>
          <w:sz w:val="20"/>
          <w:szCs w:val="20"/>
        </w:rPr>
        <w:t xml:space="preserve">, P., Ma, J., Navarro, C. L. A., et al. (2022). </w:t>
      </w:r>
      <w:proofErr w:type="spellStart"/>
      <w:r>
        <w:rPr>
          <w:sz w:val="20"/>
          <w:szCs w:val="20"/>
        </w:rPr>
        <w:t>Reporting</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prediction</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based</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modern</w:t>
      </w:r>
      <w:proofErr w:type="spellEnd"/>
      <w:r>
        <w:rPr>
          <w:sz w:val="20"/>
          <w:szCs w:val="20"/>
        </w:rPr>
        <w:t xml:space="preserve"> </w:t>
      </w:r>
      <w:proofErr w:type="spellStart"/>
      <w:r>
        <w:rPr>
          <w:sz w:val="20"/>
          <w:szCs w:val="20"/>
        </w:rPr>
        <w:t>statistical</w:t>
      </w:r>
      <w:proofErr w:type="spellEnd"/>
      <w:r>
        <w:rPr>
          <w:sz w:val="20"/>
          <w:szCs w:val="20"/>
        </w:rPr>
        <w:t xml:space="preserve"> and machine learning </w:t>
      </w:r>
      <w:proofErr w:type="spellStart"/>
      <w:r>
        <w:rPr>
          <w:sz w:val="20"/>
          <w:szCs w:val="20"/>
        </w:rPr>
        <w:t>methods</w:t>
      </w:r>
      <w:proofErr w:type="spellEnd"/>
      <w:r>
        <w:rPr>
          <w:sz w:val="20"/>
          <w:szCs w:val="20"/>
        </w:rPr>
        <w:t xml:space="preserve"> in </w:t>
      </w:r>
      <w:proofErr w:type="spellStart"/>
      <w:r>
        <w:rPr>
          <w:sz w:val="20"/>
          <w:szCs w:val="20"/>
        </w:rPr>
        <w:t>oncology</w:t>
      </w:r>
      <w:proofErr w:type="spellEnd"/>
      <w:r>
        <w:rPr>
          <w:sz w:val="20"/>
          <w:szCs w:val="20"/>
        </w:rPr>
        <w:t xml:space="preserve">: </w:t>
      </w:r>
      <w:proofErr w:type="spellStart"/>
      <w:r>
        <w:rPr>
          <w:sz w:val="20"/>
          <w:szCs w:val="20"/>
        </w:rPr>
        <w:t>poor</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persists</w:t>
      </w:r>
      <w:proofErr w:type="spellEnd"/>
      <w:r>
        <w:rPr>
          <w:sz w:val="20"/>
          <w:szCs w:val="20"/>
        </w:rPr>
        <w:t xml:space="preserve">. </w:t>
      </w:r>
      <w:proofErr w:type="spellStart"/>
      <w:r>
        <w:rPr>
          <w:sz w:val="20"/>
          <w:szCs w:val="20"/>
        </w:rPr>
        <w:t>Journal</w:t>
      </w:r>
      <w:proofErr w:type="spellEnd"/>
      <w:r>
        <w:rPr>
          <w:sz w:val="20"/>
          <w:szCs w:val="20"/>
        </w:rPr>
        <w:t xml:space="preserve"> of </w:t>
      </w:r>
      <w:proofErr w:type="spellStart"/>
      <w:r>
        <w:rPr>
          <w:sz w:val="20"/>
          <w:szCs w:val="20"/>
        </w:rPr>
        <w:t>Clinical</w:t>
      </w:r>
      <w:proofErr w:type="spellEnd"/>
      <w:r>
        <w:rPr>
          <w:sz w:val="20"/>
          <w:szCs w:val="20"/>
        </w:rPr>
        <w:t xml:space="preserve"> </w:t>
      </w:r>
      <w:proofErr w:type="spellStart"/>
      <w:r>
        <w:rPr>
          <w:sz w:val="20"/>
          <w:szCs w:val="20"/>
        </w:rPr>
        <w:t>Epidemiology</w:t>
      </w:r>
      <w:proofErr w:type="spellEnd"/>
      <w:r>
        <w:rPr>
          <w:sz w:val="20"/>
          <w:szCs w:val="20"/>
        </w:rPr>
        <w:t>, 138, 133-145. https://doi.org/10.1016/j.jclinepi.2021.06.023 *</w:t>
      </w:r>
    </w:p>
    <w:p w14:paraId="62DEF068" w14:textId="77777777" w:rsidR="00B51F6D" w:rsidRDefault="00B51F6D" w:rsidP="00B51F6D">
      <w:pPr>
        <w:ind w:left="720" w:hanging="360"/>
      </w:pPr>
      <w:r>
        <w:rPr>
          <w:b/>
          <w:bCs/>
          <w:color w:val="1F3864"/>
          <w:sz w:val="20"/>
          <w:szCs w:val="20"/>
        </w:rPr>
        <w:t xml:space="preserve">[37] </w:t>
      </w:r>
      <w:proofErr w:type="spellStart"/>
      <w:r>
        <w:rPr>
          <w:sz w:val="20"/>
          <w:szCs w:val="20"/>
        </w:rPr>
        <w:t>Steyerberg</w:t>
      </w:r>
      <w:proofErr w:type="spellEnd"/>
      <w:r>
        <w:rPr>
          <w:sz w:val="20"/>
          <w:szCs w:val="20"/>
        </w:rPr>
        <w:t xml:space="preserve">, E. W., &amp; </w:t>
      </w:r>
      <w:proofErr w:type="spellStart"/>
      <w:r>
        <w:rPr>
          <w:sz w:val="20"/>
          <w:szCs w:val="20"/>
        </w:rPr>
        <w:t>Harrell</w:t>
      </w:r>
      <w:proofErr w:type="spellEnd"/>
      <w:r>
        <w:rPr>
          <w:sz w:val="20"/>
          <w:szCs w:val="20"/>
        </w:rPr>
        <w:t xml:space="preserve">, F. E. (2021). </w:t>
      </w:r>
      <w:proofErr w:type="spellStart"/>
      <w:r>
        <w:rPr>
          <w:sz w:val="20"/>
          <w:szCs w:val="20"/>
        </w:rPr>
        <w:t>External</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proofErr w:type="gramStart"/>
      <w:r>
        <w:rPr>
          <w:sz w:val="20"/>
          <w:szCs w:val="20"/>
        </w:rPr>
        <w:t>what</w:t>
      </w:r>
      <w:proofErr w:type="spellEnd"/>
      <w:r>
        <w:rPr>
          <w:sz w:val="20"/>
          <w:szCs w:val="20"/>
        </w:rPr>
        <w:t xml:space="preserve">, </w:t>
      </w:r>
      <w:proofErr w:type="spellStart"/>
      <w:r>
        <w:rPr>
          <w:sz w:val="20"/>
          <w:szCs w:val="20"/>
        </w:rPr>
        <w:t>why</w:t>
      </w:r>
      <w:proofErr w:type="spellEnd"/>
      <w:r>
        <w:rPr>
          <w:sz w:val="20"/>
          <w:szCs w:val="20"/>
        </w:rPr>
        <w:t xml:space="preserve">, </w:t>
      </w:r>
      <w:proofErr w:type="spellStart"/>
      <w:r>
        <w:rPr>
          <w:sz w:val="20"/>
          <w:szCs w:val="20"/>
        </w:rPr>
        <w:t>how</w:t>
      </w:r>
      <w:proofErr w:type="spellEnd"/>
      <w:r>
        <w:rPr>
          <w:sz w:val="20"/>
          <w:szCs w:val="20"/>
        </w:rPr>
        <w:t xml:space="preserve">, </w:t>
      </w:r>
      <w:proofErr w:type="spellStart"/>
      <w:r>
        <w:rPr>
          <w:sz w:val="20"/>
          <w:szCs w:val="20"/>
        </w:rPr>
        <w:t>when</w:t>
      </w:r>
      <w:proofErr w:type="spellEnd"/>
      <w:r>
        <w:rPr>
          <w:sz w:val="20"/>
          <w:szCs w:val="20"/>
        </w:rPr>
        <w:t xml:space="preserve"> and </w:t>
      </w:r>
      <w:proofErr w:type="spellStart"/>
      <w:r>
        <w:rPr>
          <w:sz w:val="20"/>
          <w:szCs w:val="20"/>
        </w:rPr>
        <w:t>where</w:t>
      </w:r>
      <w:proofErr w:type="spellEnd"/>
      <w:r>
        <w:rPr>
          <w:sz w:val="20"/>
          <w:szCs w:val="20"/>
        </w:rPr>
        <w:t>?</w:t>
      </w:r>
      <w:proofErr w:type="gram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Kidney</w:t>
      </w:r>
      <w:proofErr w:type="spellEnd"/>
      <w:r>
        <w:rPr>
          <w:sz w:val="20"/>
          <w:szCs w:val="20"/>
        </w:rPr>
        <w:t xml:space="preserve"> </w:t>
      </w:r>
      <w:proofErr w:type="spellStart"/>
      <w:r>
        <w:rPr>
          <w:sz w:val="20"/>
          <w:szCs w:val="20"/>
        </w:rPr>
        <w:t>Journal</w:t>
      </w:r>
      <w:proofErr w:type="spellEnd"/>
      <w:r>
        <w:rPr>
          <w:sz w:val="20"/>
          <w:szCs w:val="20"/>
        </w:rPr>
        <w:t>, 14(1), 49-58. https://doi.org/10.1093/ckj/sfaa188 *</w:t>
      </w:r>
    </w:p>
    <w:p w14:paraId="1DB9AD2F" w14:textId="77777777" w:rsidR="00B51F6D" w:rsidRDefault="00B51F6D" w:rsidP="00B51F6D">
      <w:pPr>
        <w:ind w:left="720" w:hanging="360"/>
      </w:pPr>
      <w:r>
        <w:rPr>
          <w:b/>
          <w:bCs/>
          <w:color w:val="1F3864"/>
          <w:sz w:val="20"/>
          <w:szCs w:val="20"/>
        </w:rPr>
        <w:t xml:space="preserve">[38] </w:t>
      </w:r>
      <w:proofErr w:type="spellStart"/>
      <w:r>
        <w:rPr>
          <w:sz w:val="20"/>
          <w:szCs w:val="20"/>
        </w:rPr>
        <w:t>Hänzelmann</w:t>
      </w:r>
      <w:proofErr w:type="spellEnd"/>
      <w:r>
        <w:rPr>
          <w:sz w:val="20"/>
          <w:szCs w:val="20"/>
        </w:rPr>
        <w:t xml:space="preserve">, S., Castelo, R., &amp; </w:t>
      </w:r>
      <w:proofErr w:type="spellStart"/>
      <w:r>
        <w:rPr>
          <w:sz w:val="20"/>
          <w:szCs w:val="20"/>
        </w:rPr>
        <w:t>Guinney</w:t>
      </w:r>
      <w:proofErr w:type="spellEnd"/>
      <w:r>
        <w:rPr>
          <w:sz w:val="20"/>
          <w:szCs w:val="20"/>
        </w:rPr>
        <w:t xml:space="preserve">, J. (2013). GSVA: gene set </w:t>
      </w:r>
      <w:proofErr w:type="spellStart"/>
      <w:r>
        <w:rPr>
          <w:sz w:val="20"/>
          <w:szCs w:val="20"/>
        </w:rPr>
        <w:t>variation</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microarray</w:t>
      </w:r>
      <w:proofErr w:type="spellEnd"/>
      <w:r>
        <w:rPr>
          <w:sz w:val="20"/>
          <w:szCs w:val="20"/>
        </w:rPr>
        <w:t xml:space="preserve"> and RNA-</w:t>
      </w:r>
      <w:proofErr w:type="spellStart"/>
      <w:r>
        <w:rPr>
          <w:sz w:val="20"/>
          <w:szCs w:val="20"/>
        </w:rPr>
        <w:t>seq</w:t>
      </w:r>
      <w:proofErr w:type="spellEnd"/>
      <w:r>
        <w:rPr>
          <w:sz w:val="20"/>
          <w:szCs w:val="20"/>
        </w:rPr>
        <w:t xml:space="preserve"> data. BMC </w:t>
      </w:r>
      <w:proofErr w:type="spellStart"/>
      <w:r>
        <w:rPr>
          <w:sz w:val="20"/>
          <w:szCs w:val="20"/>
        </w:rPr>
        <w:t>Bioinformatics</w:t>
      </w:r>
      <w:proofErr w:type="spellEnd"/>
      <w:r>
        <w:rPr>
          <w:sz w:val="20"/>
          <w:szCs w:val="20"/>
        </w:rPr>
        <w:t>, 14(1), 7. https://doi.org/10.1186/1471-2105-14-7</w:t>
      </w:r>
    </w:p>
    <w:p w14:paraId="7735B106" w14:textId="77777777" w:rsidR="00B51F6D" w:rsidRDefault="00B51F6D" w:rsidP="00B51F6D">
      <w:pPr>
        <w:ind w:left="720" w:hanging="360"/>
      </w:pPr>
      <w:r>
        <w:rPr>
          <w:b/>
          <w:bCs/>
          <w:color w:val="1F3864"/>
          <w:sz w:val="20"/>
          <w:szCs w:val="20"/>
        </w:rPr>
        <w:t xml:space="preserve">[39] </w:t>
      </w:r>
      <w:r>
        <w:rPr>
          <w:sz w:val="20"/>
          <w:szCs w:val="20"/>
        </w:rPr>
        <w:t xml:space="preserve">Johnson, W. E., Li, C., &amp; </w:t>
      </w:r>
      <w:proofErr w:type="spellStart"/>
      <w:r>
        <w:rPr>
          <w:sz w:val="20"/>
          <w:szCs w:val="20"/>
        </w:rPr>
        <w:t>Rabinovic</w:t>
      </w:r>
      <w:proofErr w:type="spellEnd"/>
      <w:r>
        <w:rPr>
          <w:sz w:val="20"/>
          <w:szCs w:val="20"/>
        </w:rPr>
        <w:t xml:space="preserve">, A. (2007). </w:t>
      </w:r>
      <w:proofErr w:type="spellStart"/>
      <w:r>
        <w:rPr>
          <w:sz w:val="20"/>
          <w:szCs w:val="20"/>
        </w:rPr>
        <w:t>Adjusting</w:t>
      </w:r>
      <w:proofErr w:type="spellEnd"/>
      <w:r>
        <w:rPr>
          <w:sz w:val="20"/>
          <w:szCs w:val="20"/>
        </w:rPr>
        <w:t xml:space="preserve"> </w:t>
      </w:r>
      <w:proofErr w:type="spellStart"/>
      <w:r>
        <w:rPr>
          <w:sz w:val="20"/>
          <w:szCs w:val="20"/>
        </w:rPr>
        <w:t>batch</w:t>
      </w:r>
      <w:proofErr w:type="spellEnd"/>
      <w:r>
        <w:rPr>
          <w:sz w:val="20"/>
          <w:szCs w:val="20"/>
        </w:rPr>
        <w:t xml:space="preserve"> </w:t>
      </w:r>
      <w:proofErr w:type="spellStart"/>
      <w:r>
        <w:rPr>
          <w:sz w:val="20"/>
          <w:szCs w:val="20"/>
        </w:rPr>
        <w:t>effects</w:t>
      </w:r>
      <w:proofErr w:type="spellEnd"/>
      <w:r>
        <w:rPr>
          <w:sz w:val="20"/>
          <w:szCs w:val="20"/>
        </w:rPr>
        <w:t xml:space="preserve"> in </w:t>
      </w:r>
      <w:proofErr w:type="spellStart"/>
      <w:r>
        <w:rPr>
          <w:sz w:val="20"/>
          <w:szCs w:val="20"/>
        </w:rPr>
        <w:t>microarray</w:t>
      </w:r>
      <w:proofErr w:type="spellEnd"/>
      <w:r>
        <w:rPr>
          <w:sz w:val="20"/>
          <w:szCs w:val="20"/>
        </w:rPr>
        <w:t xml:space="preserve"> </w:t>
      </w:r>
      <w:proofErr w:type="spellStart"/>
      <w:r>
        <w:rPr>
          <w:sz w:val="20"/>
          <w:szCs w:val="20"/>
        </w:rPr>
        <w:t>expression</w:t>
      </w:r>
      <w:proofErr w:type="spellEnd"/>
      <w:r>
        <w:rPr>
          <w:sz w:val="20"/>
          <w:szCs w:val="20"/>
        </w:rPr>
        <w:t xml:space="preserve"> data </w:t>
      </w:r>
      <w:proofErr w:type="spellStart"/>
      <w:r>
        <w:rPr>
          <w:sz w:val="20"/>
          <w:szCs w:val="20"/>
        </w:rPr>
        <w:t>using</w:t>
      </w:r>
      <w:proofErr w:type="spellEnd"/>
      <w:r>
        <w:rPr>
          <w:sz w:val="20"/>
          <w:szCs w:val="20"/>
        </w:rPr>
        <w:t xml:space="preserve"> </w:t>
      </w:r>
      <w:proofErr w:type="spellStart"/>
      <w:r>
        <w:rPr>
          <w:sz w:val="20"/>
          <w:szCs w:val="20"/>
        </w:rPr>
        <w:t>empirical</w:t>
      </w:r>
      <w:proofErr w:type="spellEnd"/>
      <w:r>
        <w:rPr>
          <w:sz w:val="20"/>
          <w:szCs w:val="20"/>
        </w:rPr>
        <w:t xml:space="preserve"> Bayes </w:t>
      </w:r>
      <w:proofErr w:type="spellStart"/>
      <w:r>
        <w:rPr>
          <w:sz w:val="20"/>
          <w:szCs w:val="20"/>
        </w:rPr>
        <w:t>methods</w:t>
      </w:r>
      <w:proofErr w:type="spellEnd"/>
      <w:r>
        <w:rPr>
          <w:sz w:val="20"/>
          <w:szCs w:val="20"/>
        </w:rPr>
        <w:t xml:space="preserve">. </w:t>
      </w:r>
      <w:proofErr w:type="spellStart"/>
      <w:r>
        <w:rPr>
          <w:sz w:val="20"/>
          <w:szCs w:val="20"/>
        </w:rPr>
        <w:t>Biostatistics</w:t>
      </w:r>
      <w:proofErr w:type="spellEnd"/>
      <w:r>
        <w:rPr>
          <w:sz w:val="20"/>
          <w:szCs w:val="20"/>
        </w:rPr>
        <w:t>, 8(1), 118-127. https://doi.org/10.1093/biostatistics/kxj037</w:t>
      </w:r>
    </w:p>
    <w:p w14:paraId="61D521EC" w14:textId="77777777" w:rsidR="00B51F6D" w:rsidRDefault="00B51F6D" w:rsidP="00B51F6D">
      <w:pPr>
        <w:ind w:left="720" w:hanging="360"/>
      </w:pPr>
      <w:r>
        <w:rPr>
          <w:b/>
          <w:bCs/>
          <w:color w:val="1F3864"/>
          <w:sz w:val="20"/>
          <w:szCs w:val="20"/>
        </w:rPr>
        <w:t xml:space="preserve">[40] </w:t>
      </w:r>
      <w:proofErr w:type="spellStart"/>
      <w:r>
        <w:rPr>
          <w:sz w:val="20"/>
          <w:szCs w:val="20"/>
        </w:rPr>
        <w:t>Harrell</w:t>
      </w:r>
      <w:proofErr w:type="spellEnd"/>
      <w:r>
        <w:rPr>
          <w:sz w:val="20"/>
          <w:szCs w:val="20"/>
        </w:rPr>
        <w:t xml:space="preserve">, F. E., Lee, K. L., &amp; Mark, D. B. (1996). Multivariable </w:t>
      </w:r>
      <w:proofErr w:type="spellStart"/>
      <w:r>
        <w:rPr>
          <w:sz w:val="20"/>
          <w:szCs w:val="20"/>
        </w:rPr>
        <w:t>prognostic</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issues</w:t>
      </w:r>
      <w:proofErr w:type="spellEnd"/>
      <w:r>
        <w:rPr>
          <w:sz w:val="20"/>
          <w:szCs w:val="20"/>
        </w:rPr>
        <w:t xml:space="preserve"> in </w:t>
      </w:r>
      <w:proofErr w:type="spellStart"/>
      <w:r>
        <w:rPr>
          <w:sz w:val="20"/>
          <w:szCs w:val="20"/>
        </w:rPr>
        <w:t>developing</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evaluating</w:t>
      </w:r>
      <w:proofErr w:type="spellEnd"/>
      <w:r>
        <w:rPr>
          <w:sz w:val="20"/>
          <w:szCs w:val="20"/>
        </w:rPr>
        <w:t xml:space="preserve"> </w:t>
      </w:r>
      <w:proofErr w:type="spellStart"/>
      <w:r>
        <w:rPr>
          <w:sz w:val="20"/>
          <w:szCs w:val="20"/>
        </w:rPr>
        <w:t>assumptions</w:t>
      </w:r>
      <w:proofErr w:type="spellEnd"/>
      <w:r>
        <w:rPr>
          <w:sz w:val="20"/>
          <w:szCs w:val="20"/>
        </w:rPr>
        <w:t xml:space="preserve"> and </w:t>
      </w:r>
      <w:proofErr w:type="spellStart"/>
      <w:r>
        <w:rPr>
          <w:sz w:val="20"/>
          <w:szCs w:val="20"/>
        </w:rPr>
        <w:t>adequacy</w:t>
      </w:r>
      <w:proofErr w:type="spellEnd"/>
      <w:r>
        <w:rPr>
          <w:sz w:val="20"/>
          <w:szCs w:val="20"/>
        </w:rPr>
        <w:t xml:space="preserve">, and </w:t>
      </w:r>
      <w:proofErr w:type="spellStart"/>
      <w:r>
        <w:rPr>
          <w:sz w:val="20"/>
          <w:szCs w:val="20"/>
        </w:rPr>
        <w:t>measuring</w:t>
      </w:r>
      <w:proofErr w:type="spellEnd"/>
      <w:r>
        <w:rPr>
          <w:sz w:val="20"/>
          <w:szCs w:val="20"/>
        </w:rPr>
        <w:t xml:space="preserve"> and </w:t>
      </w:r>
      <w:proofErr w:type="spellStart"/>
      <w:r>
        <w:rPr>
          <w:sz w:val="20"/>
          <w:szCs w:val="20"/>
        </w:rPr>
        <w:t>reducing</w:t>
      </w:r>
      <w:proofErr w:type="spellEnd"/>
      <w:r>
        <w:rPr>
          <w:sz w:val="20"/>
          <w:szCs w:val="20"/>
        </w:rPr>
        <w:t xml:space="preserve"> </w:t>
      </w:r>
      <w:proofErr w:type="spellStart"/>
      <w:r>
        <w:rPr>
          <w:sz w:val="20"/>
          <w:szCs w:val="20"/>
        </w:rPr>
        <w:t>errors</w:t>
      </w:r>
      <w:proofErr w:type="spellEnd"/>
      <w:r>
        <w:rPr>
          <w:sz w:val="20"/>
          <w:szCs w:val="20"/>
        </w:rPr>
        <w:t xml:space="preserve">. </w:t>
      </w:r>
      <w:proofErr w:type="spellStart"/>
      <w:r>
        <w:rPr>
          <w:sz w:val="20"/>
          <w:szCs w:val="20"/>
        </w:rPr>
        <w:t>Statistics</w:t>
      </w:r>
      <w:proofErr w:type="spellEnd"/>
      <w:r>
        <w:rPr>
          <w:sz w:val="20"/>
          <w:szCs w:val="20"/>
        </w:rPr>
        <w:t xml:space="preserve"> in Medicine, 15(4), 361-387. https://doi.org/10.1002/(SICI)1097-0258(19960229)15:4&lt;</w:t>
      </w:r>
      <w:proofErr w:type="gramStart"/>
      <w:r>
        <w:rPr>
          <w:sz w:val="20"/>
          <w:szCs w:val="20"/>
        </w:rPr>
        <w:t>361::</w:t>
      </w:r>
      <w:proofErr w:type="gramEnd"/>
      <w:r>
        <w:rPr>
          <w:sz w:val="20"/>
          <w:szCs w:val="20"/>
        </w:rPr>
        <w:t>AID-SIM168&gt;3.0.CO;2-4</w:t>
      </w:r>
    </w:p>
    <w:p w14:paraId="4883468E" w14:textId="77777777" w:rsidR="00B51F6D" w:rsidRDefault="00B51F6D" w:rsidP="00B51F6D">
      <w:pPr>
        <w:ind w:left="720" w:hanging="360"/>
      </w:pPr>
      <w:r>
        <w:rPr>
          <w:b/>
          <w:bCs/>
          <w:color w:val="1F3864"/>
          <w:sz w:val="20"/>
          <w:szCs w:val="20"/>
        </w:rPr>
        <w:t xml:space="preserve">[41] </w:t>
      </w:r>
      <w:r>
        <w:rPr>
          <w:sz w:val="20"/>
          <w:szCs w:val="20"/>
        </w:rPr>
        <w:t xml:space="preserve">Graf, E., </w:t>
      </w:r>
      <w:proofErr w:type="spellStart"/>
      <w:r>
        <w:rPr>
          <w:sz w:val="20"/>
          <w:szCs w:val="20"/>
        </w:rPr>
        <w:t>Schmoor</w:t>
      </w:r>
      <w:proofErr w:type="spellEnd"/>
      <w:r>
        <w:rPr>
          <w:sz w:val="20"/>
          <w:szCs w:val="20"/>
        </w:rPr>
        <w:t xml:space="preserve">, C., </w:t>
      </w:r>
      <w:proofErr w:type="spellStart"/>
      <w:r>
        <w:rPr>
          <w:sz w:val="20"/>
          <w:szCs w:val="20"/>
        </w:rPr>
        <w:t>Sauerbrei</w:t>
      </w:r>
      <w:proofErr w:type="spellEnd"/>
      <w:r>
        <w:rPr>
          <w:sz w:val="20"/>
          <w:szCs w:val="20"/>
        </w:rPr>
        <w:t xml:space="preserve">, W., &amp; Schumacher, M. (1999). </w:t>
      </w:r>
      <w:proofErr w:type="spellStart"/>
      <w:r>
        <w:rPr>
          <w:sz w:val="20"/>
          <w:szCs w:val="20"/>
        </w:rPr>
        <w:t>Assessment</w:t>
      </w:r>
      <w:proofErr w:type="spellEnd"/>
      <w:r>
        <w:rPr>
          <w:sz w:val="20"/>
          <w:szCs w:val="20"/>
        </w:rPr>
        <w:t xml:space="preserve"> and </w:t>
      </w:r>
      <w:proofErr w:type="spellStart"/>
      <w:r>
        <w:rPr>
          <w:sz w:val="20"/>
          <w:szCs w:val="20"/>
        </w:rPr>
        <w:t>comparison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classification</w:t>
      </w:r>
      <w:proofErr w:type="spellEnd"/>
      <w:r>
        <w:rPr>
          <w:sz w:val="20"/>
          <w:szCs w:val="20"/>
        </w:rPr>
        <w:t xml:space="preserve"> </w:t>
      </w:r>
      <w:proofErr w:type="spellStart"/>
      <w:r>
        <w:rPr>
          <w:sz w:val="20"/>
          <w:szCs w:val="20"/>
        </w:rPr>
        <w:t>schemes</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survival</w:t>
      </w:r>
      <w:proofErr w:type="spellEnd"/>
      <w:r>
        <w:rPr>
          <w:sz w:val="20"/>
          <w:szCs w:val="20"/>
        </w:rPr>
        <w:t xml:space="preserve"> data. </w:t>
      </w:r>
      <w:proofErr w:type="spellStart"/>
      <w:r>
        <w:rPr>
          <w:sz w:val="20"/>
          <w:szCs w:val="20"/>
        </w:rPr>
        <w:t>Statistics</w:t>
      </w:r>
      <w:proofErr w:type="spellEnd"/>
      <w:r>
        <w:rPr>
          <w:sz w:val="20"/>
          <w:szCs w:val="20"/>
        </w:rPr>
        <w:t xml:space="preserve"> in Medicine, 18(17-18), 2529-2545. https://doi.org/10.1002/(SICI)1097-0258(19990915/30)18:17/18&lt;</w:t>
      </w:r>
      <w:proofErr w:type="gramStart"/>
      <w:r>
        <w:rPr>
          <w:sz w:val="20"/>
          <w:szCs w:val="20"/>
        </w:rPr>
        <w:t>2529::</w:t>
      </w:r>
      <w:proofErr w:type="gramEnd"/>
      <w:r>
        <w:rPr>
          <w:sz w:val="20"/>
          <w:szCs w:val="20"/>
        </w:rPr>
        <w:t>AID-SIM274&gt;3.0.CO;2-5</w:t>
      </w:r>
    </w:p>
    <w:p w14:paraId="6F369E09" w14:textId="77777777" w:rsidR="00B51F6D" w:rsidRDefault="00B51F6D" w:rsidP="00B51F6D">
      <w:pPr>
        <w:ind w:left="720" w:hanging="360"/>
      </w:pPr>
      <w:r>
        <w:rPr>
          <w:b/>
          <w:bCs/>
          <w:color w:val="1F3864"/>
          <w:sz w:val="20"/>
          <w:szCs w:val="20"/>
        </w:rPr>
        <w:t xml:space="preserve">[42] </w:t>
      </w:r>
      <w:r>
        <w:rPr>
          <w:sz w:val="20"/>
          <w:szCs w:val="20"/>
        </w:rPr>
        <w:t xml:space="preserve">Mantel, N. (1966). </w:t>
      </w:r>
      <w:proofErr w:type="spellStart"/>
      <w:r>
        <w:rPr>
          <w:sz w:val="20"/>
          <w:szCs w:val="20"/>
        </w:rPr>
        <w:t>Evaluation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survival</w:t>
      </w:r>
      <w:proofErr w:type="spellEnd"/>
      <w:r>
        <w:rPr>
          <w:sz w:val="20"/>
          <w:szCs w:val="20"/>
        </w:rPr>
        <w:t xml:space="preserve"> data and </w:t>
      </w:r>
      <w:proofErr w:type="spellStart"/>
      <w:r>
        <w:rPr>
          <w:sz w:val="20"/>
          <w:szCs w:val="20"/>
        </w:rPr>
        <w:t>two</w:t>
      </w:r>
      <w:proofErr w:type="spellEnd"/>
      <w:r>
        <w:rPr>
          <w:sz w:val="20"/>
          <w:szCs w:val="20"/>
        </w:rPr>
        <w:t xml:space="preserve"> new </w:t>
      </w:r>
      <w:proofErr w:type="spellStart"/>
      <w:r>
        <w:rPr>
          <w:sz w:val="20"/>
          <w:szCs w:val="20"/>
        </w:rPr>
        <w:t>rank</w:t>
      </w:r>
      <w:proofErr w:type="spellEnd"/>
      <w:r>
        <w:rPr>
          <w:sz w:val="20"/>
          <w:szCs w:val="20"/>
        </w:rPr>
        <w:t xml:space="preserve"> </w:t>
      </w:r>
      <w:proofErr w:type="spellStart"/>
      <w:r>
        <w:rPr>
          <w:sz w:val="20"/>
          <w:szCs w:val="20"/>
        </w:rPr>
        <w:t>order</w:t>
      </w:r>
      <w:proofErr w:type="spellEnd"/>
      <w:r>
        <w:rPr>
          <w:sz w:val="20"/>
          <w:szCs w:val="20"/>
        </w:rPr>
        <w:t xml:space="preserve"> </w:t>
      </w:r>
      <w:proofErr w:type="spellStart"/>
      <w:r>
        <w:rPr>
          <w:sz w:val="20"/>
          <w:szCs w:val="20"/>
        </w:rPr>
        <w:t>statistics</w:t>
      </w:r>
      <w:proofErr w:type="spellEnd"/>
      <w:r>
        <w:rPr>
          <w:sz w:val="20"/>
          <w:szCs w:val="20"/>
        </w:rPr>
        <w:t xml:space="preserve"> </w:t>
      </w:r>
      <w:proofErr w:type="spellStart"/>
      <w:r>
        <w:rPr>
          <w:sz w:val="20"/>
          <w:szCs w:val="20"/>
        </w:rPr>
        <w:t>arising</w:t>
      </w:r>
      <w:proofErr w:type="spellEnd"/>
      <w:r>
        <w:rPr>
          <w:sz w:val="20"/>
          <w:szCs w:val="20"/>
        </w:rPr>
        <w:t xml:space="preserve"> in </w:t>
      </w:r>
      <w:proofErr w:type="spellStart"/>
      <w:r>
        <w:rPr>
          <w:sz w:val="20"/>
          <w:szCs w:val="20"/>
        </w:rPr>
        <w:t>its</w:t>
      </w:r>
      <w:proofErr w:type="spellEnd"/>
      <w:r>
        <w:rPr>
          <w:sz w:val="20"/>
          <w:szCs w:val="20"/>
        </w:rPr>
        <w:t xml:space="preserve"> </w:t>
      </w:r>
      <w:proofErr w:type="spellStart"/>
      <w:r>
        <w:rPr>
          <w:sz w:val="20"/>
          <w:szCs w:val="20"/>
        </w:rPr>
        <w:t>consideration</w:t>
      </w:r>
      <w:proofErr w:type="spellEnd"/>
      <w:r>
        <w:rPr>
          <w:sz w:val="20"/>
          <w:szCs w:val="20"/>
        </w:rPr>
        <w:t xml:space="preserve">. </w:t>
      </w:r>
      <w:proofErr w:type="spellStart"/>
      <w:r>
        <w:rPr>
          <w:sz w:val="20"/>
          <w:szCs w:val="20"/>
        </w:rPr>
        <w:t>Cancer</w:t>
      </w:r>
      <w:proofErr w:type="spellEnd"/>
      <w:r>
        <w:rPr>
          <w:sz w:val="20"/>
          <w:szCs w:val="20"/>
        </w:rPr>
        <w:t xml:space="preserve"> </w:t>
      </w:r>
      <w:proofErr w:type="spellStart"/>
      <w:r>
        <w:rPr>
          <w:sz w:val="20"/>
          <w:szCs w:val="20"/>
        </w:rPr>
        <w:t>Chemotherapy</w:t>
      </w:r>
      <w:proofErr w:type="spellEnd"/>
      <w:r>
        <w:rPr>
          <w:sz w:val="20"/>
          <w:szCs w:val="20"/>
        </w:rPr>
        <w:t xml:space="preserve"> </w:t>
      </w:r>
      <w:proofErr w:type="spellStart"/>
      <w:r>
        <w:rPr>
          <w:sz w:val="20"/>
          <w:szCs w:val="20"/>
        </w:rPr>
        <w:t>Reports</w:t>
      </w:r>
      <w:proofErr w:type="spellEnd"/>
      <w:r>
        <w:rPr>
          <w:sz w:val="20"/>
          <w:szCs w:val="20"/>
        </w:rPr>
        <w:t>, 50(3), 163-170.</w:t>
      </w:r>
    </w:p>
    <w:p w14:paraId="1D59A10E" w14:textId="77777777" w:rsidR="00B51F6D" w:rsidRDefault="00B51F6D" w:rsidP="00B51F6D">
      <w:pPr>
        <w:spacing w:after="100"/>
      </w:pPr>
    </w:p>
    <w:p w14:paraId="02566B25" w14:textId="77777777" w:rsidR="00E00AFC" w:rsidRDefault="00E00AFC" w:rsidP="00B51F6D">
      <w:pPr>
        <w:spacing w:before="200" w:after="200"/>
      </w:pPr>
    </w:p>
    <w:sectPr w:rsidR="00E00AFC" w:rsidSect="00E840D2">
      <w:headerReference w:type="default" r:id="rId13"/>
      <w:footerReference w:type="default" r:id="rId1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05DCD" w14:textId="77777777" w:rsidR="00B607C2" w:rsidRDefault="00B607C2" w:rsidP="00D61758">
      <w:r>
        <w:separator/>
      </w:r>
    </w:p>
  </w:endnote>
  <w:endnote w:type="continuationSeparator" w:id="0">
    <w:p w14:paraId="7BF56EDC" w14:textId="77777777" w:rsidR="00B607C2" w:rsidRDefault="00B607C2"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FCDC8" w14:textId="77777777" w:rsidR="00B607C2" w:rsidRDefault="00B607C2" w:rsidP="00D61758">
      <w:r>
        <w:separator/>
      </w:r>
    </w:p>
  </w:footnote>
  <w:footnote w:type="continuationSeparator" w:id="0">
    <w:p w14:paraId="702D8CDA" w14:textId="77777777" w:rsidR="00B607C2" w:rsidRDefault="00B607C2"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1"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2"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3" w15:restartNumberingAfterBreak="0">
    <w:nsid w:val="2FC1345C"/>
    <w:multiLevelType w:val="hybridMultilevel"/>
    <w:tmpl w:val="C43E2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CF74B29"/>
    <w:multiLevelType w:val="hybridMultilevel"/>
    <w:tmpl w:val="75001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7"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0"/>
    <w:lvlOverride w:ilvl="0">
      <w:startOverride w:val="1"/>
    </w:lvlOverride>
  </w:num>
  <w:num w:numId="5">
    <w:abstractNumId w:val="3"/>
  </w:num>
  <w:num w:numId="6">
    <w:abstractNumId w:val="5"/>
  </w:num>
  <w:num w:numId="7">
    <w:abstractNumId w:val="4"/>
  </w:num>
  <w:num w:numId="8">
    <w:abstractNumId w:val="7"/>
  </w:num>
  <w:num w:numId="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C5D02"/>
    <w:rsid w:val="00121761"/>
    <w:rsid w:val="00127BC6"/>
    <w:rsid w:val="0016460A"/>
    <w:rsid w:val="00175EA2"/>
    <w:rsid w:val="002417BC"/>
    <w:rsid w:val="0026163A"/>
    <w:rsid w:val="00271C63"/>
    <w:rsid w:val="003466DE"/>
    <w:rsid w:val="003500D8"/>
    <w:rsid w:val="00361CB4"/>
    <w:rsid w:val="004331B9"/>
    <w:rsid w:val="004807D4"/>
    <w:rsid w:val="00497E18"/>
    <w:rsid w:val="00682F9D"/>
    <w:rsid w:val="006C3C75"/>
    <w:rsid w:val="007D058C"/>
    <w:rsid w:val="007F7BA6"/>
    <w:rsid w:val="0087702C"/>
    <w:rsid w:val="008F6EDA"/>
    <w:rsid w:val="00980994"/>
    <w:rsid w:val="009A4233"/>
    <w:rsid w:val="009A4C5D"/>
    <w:rsid w:val="00A127CA"/>
    <w:rsid w:val="00A234CC"/>
    <w:rsid w:val="00A242C0"/>
    <w:rsid w:val="00A25FF7"/>
    <w:rsid w:val="00A802BB"/>
    <w:rsid w:val="00AB7473"/>
    <w:rsid w:val="00AD3D98"/>
    <w:rsid w:val="00B51F6D"/>
    <w:rsid w:val="00B607C2"/>
    <w:rsid w:val="00C04440"/>
    <w:rsid w:val="00C57447"/>
    <w:rsid w:val="00C93911"/>
    <w:rsid w:val="00CB7D6B"/>
    <w:rsid w:val="00D61758"/>
    <w:rsid w:val="00DC5360"/>
    <w:rsid w:val="00E00AFC"/>
    <w:rsid w:val="00E840D2"/>
    <w:rsid w:val="00E92D60"/>
    <w:rsid w:val="00EE4EB9"/>
    <w:rsid w:val="00F16B5A"/>
    <w:rsid w:val="00F3044D"/>
    <w:rsid w:val="00F40C0F"/>
    <w:rsid w:val="00F71FEA"/>
    <w:rsid w:val="00FA48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7D058C"/>
    <w:pPr>
      <w:spacing w:before="360" w:after="200"/>
      <w:outlineLvl w:val="0"/>
    </w:pPr>
    <w:rPr>
      <w:rFonts w:asciiTheme="majorHAnsi" w:hAnsiTheme="majorHAnsi"/>
      <w:b/>
      <w:bCs/>
      <w:color w:val="1F3864"/>
      <w:sz w:val="36"/>
      <w:szCs w:val="36"/>
    </w:rPr>
  </w:style>
  <w:style w:type="paragraph" w:styleId="Ttulo2">
    <w:name w:val="heading 2"/>
    <w:uiPriority w:val="9"/>
    <w:unhideWhenUsed/>
    <w:qFormat/>
    <w:rsid w:val="007D058C"/>
    <w:pPr>
      <w:spacing w:before="280" w:after="160"/>
      <w:outlineLvl w:val="1"/>
    </w:pPr>
    <w:rPr>
      <w:rFonts w:asciiTheme="majorHAnsi" w:hAnsiTheme="majorHAnsi"/>
      <w:b/>
      <w:bCs/>
      <w:color w:val="2E5496"/>
      <w:sz w:val="28"/>
      <w:szCs w:val="28"/>
    </w:rPr>
  </w:style>
  <w:style w:type="paragraph" w:styleId="Ttulo3">
    <w:name w:val="heading 3"/>
    <w:uiPriority w:val="9"/>
    <w:unhideWhenUsed/>
    <w:qFormat/>
    <w:pPr>
      <w:spacing w:before="220" w:after="120"/>
      <w:outlineLvl w:val="2"/>
    </w:pPr>
    <w:rPr>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semiHidden/>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reativecommons.org/licenses/by-nc/3.0/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7843</Words>
  <Characters>43141</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50883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quesada ubeda</cp:lastModifiedBy>
  <cp:revision>3</cp:revision>
  <cp:lastPrinted>2026-03-01T20:13:00Z</cp:lastPrinted>
  <dcterms:created xsi:type="dcterms:W3CDTF">2026-03-07T18:06:00Z</dcterms:created>
  <dcterms:modified xsi:type="dcterms:W3CDTF">2026-03-07T18:16:00Z</dcterms:modified>
</cp:coreProperties>
</file>