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asciiTheme="minorHAnsi" w:hAnsiTheme="minorHAnsi" w:cstheme="minorHAnsi"/>
                                <w:b/>
                                <w:color w:val="002060"/>
                                <w:sz w:val="49"/>
                                <w:szCs w:val="49"/>
                              </w:rPr>
                            </w:pPr>
                            <w:r w:rsidRPr="00C36BBD">
                              <w:rPr>
                                <w:rFonts w:asciiTheme="minorHAnsi" w:hAnsiTheme="minorHAnsi"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asciiTheme="minorHAnsi" w:hAnsiTheme="minorHAnsi" w:cstheme="minorHAnsi"/>
                                <w:color w:val="002060"/>
                                <w:sz w:val="49"/>
                                <w:szCs w:val="49"/>
                              </w:rPr>
                              <w:t xml:space="preserve"> </w:t>
                            </w:r>
                            <w:r w:rsidRPr="00C36BBD">
                              <w:rPr>
                                <w:rFonts w:asciiTheme="minorHAnsi" w:hAnsiTheme="minorHAnsi"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asciiTheme="minorHAnsi" w:hAnsiTheme="minorHAnsi" w:cstheme="minorHAnsi"/>
                          <w:b/>
                          <w:color w:val="002060"/>
                          <w:sz w:val="49"/>
                          <w:szCs w:val="49"/>
                        </w:rPr>
                      </w:pPr>
                      <w:r w:rsidRPr="00C36BBD">
                        <w:rPr>
                          <w:rFonts w:asciiTheme="minorHAnsi" w:hAnsiTheme="minorHAnsi"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asciiTheme="minorHAnsi" w:hAnsiTheme="minorHAnsi" w:cstheme="minorHAnsi"/>
                          <w:color w:val="002060"/>
                          <w:sz w:val="49"/>
                          <w:szCs w:val="49"/>
                        </w:rPr>
                        <w:t xml:space="preserve"> </w:t>
                      </w:r>
                      <w:r w:rsidRPr="00C36BBD">
                        <w:rPr>
                          <w:rFonts w:asciiTheme="minorHAnsi" w:hAnsiTheme="minorHAnsi" w:cstheme="minorHAnsi"/>
                          <w:b/>
                          <w:bCs/>
                          <w:color w:val="002060"/>
                          <w:sz w:val="49"/>
                          <w:szCs w:val="49"/>
                        </w:rPr>
                        <w:t>Independientes</w:t>
                      </w:r>
                    </w:p>
                  </w:txbxContent>
                </v:textbox>
                <w10:anchorlock/>
              </v:shape>
            </w:pict>
          </mc:Fallback>
        </mc:AlternateContent>
      </w:r>
    </w:p>
    <w:p w14:paraId="12EF50A9" w14:textId="7637E19C" w:rsidR="00D61758" w:rsidRDefault="00D61758" w:rsidP="00D61758">
      <w:pPr>
        <w:pStyle w:val="Textoindependiente"/>
        <w:spacing w:before="9"/>
        <w:rPr>
          <w:rFonts w:ascii="Times New Roman"/>
          <w:sz w:val="20"/>
        </w:rPr>
      </w:pPr>
      <w:r>
        <w:rPr>
          <w:rFonts w:ascii="Times New Roman"/>
          <w:noProof/>
          <w:sz w:val="20"/>
        </w:rPr>
        <w:drawing>
          <wp:anchor distT="0" distB="0" distL="0" distR="0" simplePos="0" relativeHeight="251659264" behindDoc="1" locked="0" layoutInCell="1" allowOverlap="1" wp14:anchorId="41BAE14A" wp14:editId="5DFD3E70">
            <wp:simplePos x="0" y="0"/>
            <wp:positionH relativeFrom="page">
              <wp:posOffset>657225</wp:posOffset>
            </wp:positionH>
            <wp:positionV relativeFrom="paragraph">
              <wp:posOffset>170815</wp:posOffset>
            </wp:positionV>
            <wp:extent cx="2273935" cy="4657725"/>
            <wp:effectExtent l="0" t="0" r="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73935" cy="4657725"/>
                    </a:xfrm>
                    <a:prstGeom prst="rect">
                      <a:avLst/>
                    </a:prstGeom>
                  </pic:spPr>
                </pic:pic>
              </a:graphicData>
            </a:graphic>
            <wp14:sizeRelV relativeFrom="margin">
              <wp14:pctHeight>0</wp14:pctHeight>
            </wp14:sizeRelV>
          </wp:anchor>
        </w:drawing>
      </w:r>
      <w:r>
        <w:rPr>
          <w:rFonts w:ascii="Times New Roman"/>
          <w:noProof/>
          <w:sz w:val="20"/>
        </w:rPr>
        <mc:AlternateContent>
          <mc:Choice Requires="wps">
            <w:drawing>
              <wp:anchor distT="0" distB="0" distL="0" distR="0" simplePos="0" relativeHeight="251660288" behindDoc="1" locked="0" layoutInCell="1" allowOverlap="1" wp14:anchorId="70D44096" wp14:editId="5C2894F3">
                <wp:simplePos x="0" y="0"/>
                <wp:positionH relativeFrom="page">
                  <wp:posOffset>3228975</wp:posOffset>
                </wp:positionH>
                <wp:positionV relativeFrom="paragraph">
                  <wp:posOffset>170815</wp:posOffset>
                </wp:positionV>
                <wp:extent cx="3931920" cy="46291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46291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asciiTheme="minorHAnsi" w:hAnsiTheme="minorHAnsi" w:cstheme="minorHAnsi"/>
                                <w:b/>
                                <w:color w:val="002060"/>
                                <w:w w:val="120"/>
                                <w:sz w:val="36"/>
                                <w:szCs w:val="24"/>
                              </w:rPr>
                            </w:pPr>
                            <w:r w:rsidRPr="00121761">
                              <w:rPr>
                                <w:rFonts w:asciiTheme="minorHAnsi" w:hAnsiTheme="minorHAnsi" w:cstheme="minorHAnsi"/>
                                <w:b/>
                                <w:color w:val="002060"/>
                                <w:w w:val="120"/>
                                <w:sz w:val="36"/>
                                <w:szCs w:val="24"/>
                              </w:rPr>
                              <w:t>Julio Úbeda Quesada</w:t>
                            </w:r>
                          </w:p>
                          <w:p w14:paraId="4275D494" w14:textId="77777777" w:rsidR="00D61758" w:rsidRPr="00121761" w:rsidRDefault="00D61758" w:rsidP="00D61758">
                            <w:pPr>
                              <w:ind w:left="119"/>
                              <w:rPr>
                                <w:rFonts w:asciiTheme="minorHAnsi" w:hAnsiTheme="minorHAnsi"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asciiTheme="minorHAnsi" w:hAnsiTheme="minorHAnsi" w:cstheme="minorHAnsi"/>
                                <w:color w:val="002060"/>
                                <w:sz w:val="36"/>
                                <w:szCs w:val="24"/>
                              </w:rPr>
                            </w:pPr>
                          </w:p>
                          <w:p w14:paraId="4C63B411" w14:textId="77777777" w:rsidR="00D61758" w:rsidRPr="00121761" w:rsidRDefault="00D61758" w:rsidP="00D61758">
                            <w:pPr>
                              <w:spacing w:before="2"/>
                              <w:ind w:left="119"/>
                              <w:rPr>
                                <w:rFonts w:asciiTheme="minorHAnsi" w:hAnsiTheme="minorHAnsi" w:cstheme="minorHAnsi"/>
                                <w:color w:val="002060"/>
                                <w:sz w:val="36"/>
                                <w:szCs w:val="24"/>
                              </w:rPr>
                            </w:pPr>
                            <w:r w:rsidRPr="00121761">
                              <w:rPr>
                                <w:rFonts w:asciiTheme="minorHAnsi" w:hAnsiTheme="minorHAnsi" w:cstheme="minorHAnsi"/>
                                <w:color w:val="002060"/>
                                <w:sz w:val="36"/>
                                <w:szCs w:val="24"/>
                              </w:rPr>
                              <w:t>Nombre</w:t>
                            </w:r>
                            <w:r w:rsidRPr="00121761">
                              <w:rPr>
                                <w:rFonts w:asciiTheme="minorHAnsi" w:hAnsiTheme="minorHAnsi" w:cstheme="minorHAnsi"/>
                                <w:color w:val="002060"/>
                                <w:spacing w:val="-9"/>
                                <w:sz w:val="36"/>
                                <w:szCs w:val="24"/>
                              </w:rPr>
                              <w:t xml:space="preserve"> </w:t>
                            </w:r>
                            <w:r w:rsidRPr="00121761">
                              <w:rPr>
                                <w:rFonts w:asciiTheme="minorHAnsi" w:hAnsiTheme="minorHAnsi" w:cstheme="minorHAnsi"/>
                                <w:color w:val="002060"/>
                                <w:sz w:val="36"/>
                                <w:szCs w:val="24"/>
                              </w:rPr>
                              <w:t>del</w:t>
                            </w:r>
                            <w:r w:rsidRPr="00121761">
                              <w:rPr>
                                <w:rFonts w:asciiTheme="minorHAnsi" w:hAnsiTheme="minorHAnsi" w:cstheme="minorHAnsi"/>
                                <w:color w:val="002060"/>
                                <w:spacing w:val="-9"/>
                                <w:sz w:val="36"/>
                                <w:szCs w:val="24"/>
                              </w:rPr>
                              <w:t xml:space="preserve"> </w:t>
                            </w:r>
                            <w:r w:rsidRPr="00121761">
                              <w:rPr>
                                <w:rFonts w:asciiTheme="minorHAnsi" w:hAnsiTheme="minorHAnsi" w:cstheme="minorHAnsi"/>
                                <w:color w:val="002060"/>
                                <w:sz w:val="36"/>
                                <w:szCs w:val="24"/>
                              </w:rPr>
                              <w:t>director/a</w:t>
                            </w:r>
                            <w:r w:rsidRPr="00121761">
                              <w:rPr>
                                <w:rFonts w:asciiTheme="minorHAnsi" w:hAnsiTheme="minorHAnsi" w:cstheme="minorHAnsi"/>
                                <w:color w:val="002060"/>
                                <w:spacing w:val="-9"/>
                                <w:sz w:val="36"/>
                                <w:szCs w:val="24"/>
                              </w:rPr>
                              <w:t xml:space="preserve"> </w:t>
                            </w:r>
                            <w:r w:rsidRPr="00121761">
                              <w:rPr>
                                <w:rFonts w:asciiTheme="minorHAnsi" w:hAnsiTheme="minorHAnsi" w:cstheme="minorHAnsi"/>
                                <w:color w:val="002060"/>
                                <w:sz w:val="36"/>
                                <w:szCs w:val="24"/>
                              </w:rPr>
                              <w:t>de</w:t>
                            </w:r>
                            <w:r w:rsidRPr="00121761">
                              <w:rPr>
                                <w:rFonts w:asciiTheme="minorHAnsi" w:hAnsiTheme="minorHAnsi" w:cstheme="minorHAnsi"/>
                                <w:color w:val="002060"/>
                                <w:spacing w:val="-10"/>
                                <w:sz w:val="36"/>
                                <w:szCs w:val="24"/>
                              </w:rPr>
                              <w:t xml:space="preserve"> </w:t>
                            </w:r>
                            <w:r w:rsidRPr="00121761">
                              <w:rPr>
                                <w:rFonts w:asciiTheme="minorHAnsi" w:hAnsiTheme="minorHAnsi" w:cstheme="minorHAnsi"/>
                                <w:color w:val="002060"/>
                                <w:spacing w:val="-5"/>
                                <w:sz w:val="36"/>
                                <w:szCs w:val="24"/>
                              </w:rPr>
                              <w:t>TF:</w:t>
                            </w:r>
                          </w:p>
                          <w:p w14:paraId="27FFC72B" w14:textId="77777777" w:rsidR="00D61758" w:rsidRPr="00121761" w:rsidRDefault="00D61758" w:rsidP="00D61758">
                            <w:pPr>
                              <w:spacing w:before="23"/>
                              <w:ind w:left="119"/>
                              <w:rPr>
                                <w:rFonts w:asciiTheme="minorHAnsi" w:hAnsiTheme="minorHAnsi" w:cstheme="minorHAnsi"/>
                                <w:b/>
                                <w:color w:val="002060"/>
                                <w:sz w:val="36"/>
                                <w:szCs w:val="24"/>
                              </w:rPr>
                            </w:pPr>
                            <w:r w:rsidRPr="00121761">
                              <w:rPr>
                                <w:rFonts w:asciiTheme="minorHAnsi" w:hAnsiTheme="minorHAnsi"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asciiTheme="minorHAnsi" w:hAnsiTheme="minorHAnsi" w:cstheme="minorHAnsi"/>
                                <w:color w:val="002060"/>
                                <w:sz w:val="36"/>
                                <w:szCs w:val="24"/>
                              </w:rPr>
                            </w:pPr>
                            <w:r w:rsidRPr="00121761">
                              <w:rPr>
                                <w:rFonts w:asciiTheme="minorHAnsi" w:hAnsiTheme="minorHAnsi" w:cstheme="minorHAnsi"/>
                                <w:color w:val="002060"/>
                                <w:sz w:val="36"/>
                                <w:szCs w:val="24"/>
                              </w:rPr>
                              <w:t>Nombre</w:t>
                            </w:r>
                            <w:r w:rsidRPr="00121761">
                              <w:rPr>
                                <w:rFonts w:asciiTheme="minorHAnsi" w:hAnsiTheme="minorHAnsi" w:cstheme="minorHAnsi"/>
                                <w:color w:val="002060"/>
                                <w:spacing w:val="-3"/>
                                <w:sz w:val="36"/>
                                <w:szCs w:val="24"/>
                              </w:rPr>
                              <w:t xml:space="preserve"> </w:t>
                            </w:r>
                            <w:r w:rsidRPr="00121761">
                              <w:rPr>
                                <w:rFonts w:asciiTheme="minorHAnsi" w:hAnsiTheme="minorHAnsi" w:cstheme="minorHAnsi"/>
                                <w:color w:val="002060"/>
                                <w:sz w:val="36"/>
                                <w:szCs w:val="24"/>
                              </w:rPr>
                              <w:t>del/de</w:t>
                            </w:r>
                            <w:r w:rsidRPr="00121761">
                              <w:rPr>
                                <w:rFonts w:asciiTheme="minorHAnsi" w:hAnsiTheme="minorHAnsi" w:cstheme="minorHAnsi"/>
                                <w:color w:val="002060"/>
                                <w:spacing w:val="-3"/>
                                <w:sz w:val="36"/>
                                <w:szCs w:val="24"/>
                              </w:rPr>
                              <w:t xml:space="preserve"> </w:t>
                            </w:r>
                            <w:r w:rsidRPr="00121761">
                              <w:rPr>
                                <w:rFonts w:asciiTheme="minorHAnsi" w:hAnsiTheme="minorHAnsi" w:cstheme="minorHAnsi"/>
                                <w:color w:val="002060"/>
                                <w:sz w:val="36"/>
                                <w:szCs w:val="24"/>
                              </w:rPr>
                              <w:t>la</w:t>
                            </w:r>
                            <w:r w:rsidRPr="00121761">
                              <w:rPr>
                                <w:rFonts w:asciiTheme="minorHAnsi" w:hAnsiTheme="minorHAnsi" w:cstheme="minorHAnsi"/>
                                <w:color w:val="002060"/>
                                <w:spacing w:val="-2"/>
                                <w:sz w:val="36"/>
                                <w:szCs w:val="24"/>
                              </w:rPr>
                              <w:t xml:space="preserve"> </w:t>
                            </w:r>
                            <w:r w:rsidRPr="00121761">
                              <w:rPr>
                                <w:rFonts w:asciiTheme="minorHAnsi" w:hAnsiTheme="minorHAnsi"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asciiTheme="minorHAnsi" w:hAnsiTheme="minorHAnsi" w:cstheme="minorHAnsi"/>
                                <w:b/>
                                <w:bCs/>
                                <w:color w:val="002060"/>
                                <w:spacing w:val="-4"/>
                                <w:sz w:val="36"/>
                                <w:szCs w:val="24"/>
                              </w:rPr>
                            </w:pPr>
                            <w:r w:rsidRPr="00121761">
                              <w:rPr>
                                <w:rFonts w:asciiTheme="minorHAnsi" w:hAnsiTheme="minorHAnsi"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asciiTheme="minorHAnsi" w:hAnsiTheme="minorHAnsi" w:cstheme="minorHAnsi"/>
                                <w:color w:val="002060"/>
                                <w:sz w:val="36"/>
                                <w:szCs w:val="24"/>
                              </w:rPr>
                            </w:pPr>
                            <w:r w:rsidRPr="00121761">
                              <w:rPr>
                                <w:rFonts w:asciiTheme="minorHAnsi" w:hAnsiTheme="minorHAnsi" w:cstheme="minorHAnsi"/>
                                <w:color w:val="002060"/>
                                <w:spacing w:val="-4"/>
                                <w:sz w:val="36"/>
                                <w:szCs w:val="24"/>
                              </w:rPr>
                              <w:t xml:space="preserve"> </w:t>
                            </w:r>
                            <w:r w:rsidRPr="00121761">
                              <w:rPr>
                                <w:rFonts w:asciiTheme="minorHAnsi" w:hAnsiTheme="minorHAnsi"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margin-left:254.25pt;margin-top:13.45pt;width:309.6pt;height:364.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asciiTheme="minorHAnsi" w:hAnsiTheme="minorHAnsi" w:cstheme="minorHAnsi"/>
                          <w:b/>
                          <w:color w:val="002060"/>
                          <w:w w:val="120"/>
                          <w:sz w:val="36"/>
                          <w:szCs w:val="24"/>
                        </w:rPr>
                      </w:pPr>
                      <w:r w:rsidRPr="00121761">
                        <w:rPr>
                          <w:rFonts w:asciiTheme="minorHAnsi" w:hAnsiTheme="minorHAnsi" w:cstheme="minorHAnsi"/>
                          <w:b/>
                          <w:color w:val="002060"/>
                          <w:w w:val="120"/>
                          <w:sz w:val="36"/>
                          <w:szCs w:val="24"/>
                        </w:rPr>
                        <w:t>Julio Úbeda Quesada</w:t>
                      </w:r>
                    </w:p>
                    <w:p w14:paraId="4275D494" w14:textId="77777777" w:rsidR="00D61758" w:rsidRPr="00121761" w:rsidRDefault="00D61758" w:rsidP="00D61758">
                      <w:pPr>
                        <w:ind w:left="119"/>
                        <w:rPr>
                          <w:rFonts w:asciiTheme="minorHAnsi" w:hAnsiTheme="minorHAnsi"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asciiTheme="minorHAnsi" w:hAnsiTheme="minorHAnsi" w:cstheme="minorHAnsi"/>
                          <w:color w:val="002060"/>
                          <w:sz w:val="36"/>
                          <w:szCs w:val="24"/>
                        </w:rPr>
                      </w:pPr>
                    </w:p>
                    <w:p w14:paraId="4C63B411" w14:textId="77777777" w:rsidR="00D61758" w:rsidRPr="00121761" w:rsidRDefault="00D61758" w:rsidP="00D61758">
                      <w:pPr>
                        <w:spacing w:before="2"/>
                        <w:ind w:left="119"/>
                        <w:rPr>
                          <w:rFonts w:asciiTheme="minorHAnsi" w:hAnsiTheme="minorHAnsi" w:cstheme="minorHAnsi"/>
                          <w:color w:val="002060"/>
                          <w:sz w:val="36"/>
                          <w:szCs w:val="24"/>
                        </w:rPr>
                      </w:pPr>
                      <w:r w:rsidRPr="00121761">
                        <w:rPr>
                          <w:rFonts w:asciiTheme="minorHAnsi" w:hAnsiTheme="minorHAnsi" w:cstheme="minorHAnsi"/>
                          <w:color w:val="002060"/>
                          <w:sz w:val="36"/>
                          <w:szCs w:val="24"/>
                        </w:rPr>
                        <w:t>Nombre</w:t>
                      </w:r>
                      <w:r w:rsidRPr="00121761">
                        <w:rPr>
                          <w:rFonts w:asciiTheme="minorHAnsi" w:hAnsiTheme="minorHAnsi" w:cstheme="minorHAnsi"/>
                          <w:color w:val="002060"/>
                          <w:spacing w:val="-9"/>
                          <w:sz w:val="36"/>
                          <w:szCs w:val="24"/>
                        </w:rPr>
                        <w:t xml:space="preserve"> </w:t>
                      </w:r>
                      <w:r w:rsidRPr="00121761">
                        <w:rPr>
                          <w:rFonts w:asciiTheme="minorHAnsi" w:hAnsiTheme="minorHAnsi" w:cstheme="minorHAnsi"/>
                          <w:color w:val="002060"/>
                          <w:sz w:val="36"/>
                          <w:szCs w:val="24"/>
                        </w:rPr>
                        <w:t>del</w:t>
                      </w:r>
                      <w:r w:rsidRPr="00121761">
                        <w:rPr>
                          <w:rFonts w:asciiTheme="minorHAnsi" w:hAnsiTheme="minorHAnsi" w:cstheme="minorHAnsi"/>
                          <w:color w:val="002060"/>
                          <w:spacing w:val="-9"/>
                          <w:sz w:val="36"/>
                          <w:szCs w:val="24"/>
                        </w:rPr>
                        <w:t xml:space="preserve"> </w:t>
                      </w:r>
                      <w:r w:rsidRPr="00121761">
                        <w:rPr>
                          <w:rFonts w:asciiTheme="minorHAnsi" w:hAnsiTheme="minorHAnsi" w:cstheme="minorHAnsi"/>
                          <w:color w:val="002060"/>
                          <w:sz w:val="36"/>
                          <w:szCs w:val="24"/>
                        </w:rPr>
                        <w:t>director/a</w:t>
                      </w:r>
                      <w:r w:rsidRPr="00121761">
                        <w:rPr>
                          <w:rFonts w:asciiTheme="minorHAnsi" w:hAnsiTheme="minorHAnsi" w:cstheme="minorHAnsi"/>
                          <w:color w:val="002060"/>
                          <w:spacing w:val="-9"/>
                          <w:sz w:val="36"/>
                          <w:szCs w:val="24"/>
                        </w:rPr>
                        <w:t xml:space="preserve"> </w:t>
                      </w:r>
                      <w:r w:rsidRPr="00121761">
                        <w:rPr>
                          <w:rFonts w:asciiTheme="minorHAnsi" w:hAnsiTheme="minorHAnsi" w:cstheme="minorHAnsi"/>
                          <w:color w:val="002060"/>
                          <w:sz w:val="36"/>
                          <w:szCs w:val="24"/>
                        </w:rPr>
                        <w:t>de</w:t>
                      </w:r>
                      <w:r w:rsidRPr="00121761">
                        <w:rPr>
                          <w:rFonts w:asciiTheme="minorHAnsi" w:hAnsiTheme="minorHAnsi" w:cstheme="minorHAnsi"/>
                          <w:color w:val="002060"/>
                          <w:spacing w:val="-10"/>
                          <w:sz w:val="36"/>
                          <w:szCs w:val="24"/>
                        </w:rPr>
                        <w:t xml:space="preserve"> </w:t>
                      </w:r>
                      <w:r w:rsidRPr="00121761">
                        <w:rPr>
                          <w:rFonts w:asciiTheme="minorHAnsi" w:hAnsiTheme="minorHAnsi" w:cstheme="minorHAnsi"/>
                          <w:color w:val="002060"/>
                          <w:spacing w:val="-5"/>
                          <w:sz w:val="36"/>
                          <w:szCs w:val="24"/>
                        </w:rPr>
                        <w:t>TF:</w:t>
                      </w:r>
                    </w:p>
                    <w:p w14:paraId="27FFC72B" w14:textId="77777777" w:rsidR="00D61758" w:rsidRPr="00121761" w:rsidRDefault="00D61758" w:rsidP="00D61758">
                      <w:pPr>
                        <w:spacing w:before="23"/>
                        <w:ind w:left="119"/>
                        <w:rPr>
                          <w:rFonts w:asciiTheme="minorHAnsi" w:hAnsiTheme="minorHAnsi" w:cstheme="minorHAnsi"/>
                          <w:b/>
                          <w:color w:val="002060"/>
                          <w:sz w:val="36"/>
                          <w:szCs w:val="24"/>
                        </w:rPr>
                      </w:pPr>
                      <w:r w:rsidRPr="00121761">
                        <w:rPr>
                          <w:rFonts w:asciiTheme="minorHAnsi" w:hAnsiTheme="minorHAnsi"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asciiTheme="minorHAnsi" w:hAnsiTheme="minorHAnsi" w:cstheme="minorHAnsi"/>
                          <w:color w:val="002060"/>
                          <w:sz w:val="36"/>
                          <w:szCs w:val="24"/>
                        </w:rPr>
                      </w:pPr>
                      <w:r w:rsidRPr="00121761">
                        <w:rPr>
                          <w:rFonts w:asciiTheme="minorHAnsi" w:hAnsiTheme="minorHAnsi" w:cstheme="minorHAnsi"/>
                          <w:color w:val="002060"/>
                          <w:sz w:val="36"/>
                          <w:szCs w:val="24"/>
                        </w:rPr>
                        <w:t>Nombre</w:t>
                      </w:r>
                      <w:r w:rsidRPr="00121761">
                        <w:rPr>
                          <w:rFonts w:asciiTheme="minorHAnsi" w:hAnsiTheme="minorHAnsi" w:cstheme="minorHAnsi"/>
                          <w:color w:val="002060"/>
                          <w:spacing w:val="-3"/>
                          <w:sz w:val="36"/>
                          <w:szCs w:val="24"/>
                        </w:rPr>
                        <w:t xml:space="preserve"> </w:t>
                      </w:r>
                      <w:r w:rsidRPr="00121761">
                        <w:rPr>
                          <w:rFonts w:asciiTheme="minorHAnsi" w:hAnsiTheme="minorHAnsi" w:cstheme="minorHAnsi"/>
                          <w:color w:val="002060"/>
                          <w:sz w:val="36"/>
                          <w:szCs w:val="24"/>
                        </w:rPr>
                        <w:t>del/de</w:t>
                      </w:r>
                      <w:r w:rsidRPr="00121761">
                        <w:rPr>
                          <w:rFonts w:asciiTheme="minorHAnsi" w:hAnsiTheme="minorHAnsi" w:cstheme="minorHAnsi"/>
                          <w:color w:val="002060"/>
                          <w:spacing w:val="-3"/>
                          <w:sz w:val="36"/>
                          <w:szCs w:val="24"/>
                        </w:rPr>
                        <w:t xml:space="preserve"> </w:t>
                      </w:r>
                      <w:r w:rsidRPr="00121761">
                        <w:rPr>
                          <w:rFonts w:asciiTheme="minorHAnsi" w:hAnsiTheme="minorHAnsi" w:cstheme="minorHAnsi"/>
                          <w:color w:val="002060"/>
                          <w:sz w:val="36"/>
                          <w:szCs w:val="24"/>
                        </w:rPr>
                        <w:t>la</w:t>
                      </w:r>
                      <w:r w:rsidRPr="00121761">
                        <w:rPr>
                          <w:rFonts w:asciiTheme="minorHAnsi" w:hAnsiTheme="minorHAnsi" w:cstheme="minorHAnsi"/>
                          <w:color w:val="002060"/>
                          <w:spacing w:val="-2"/>
                          <w:sz w:val="36"/>
                          <w:szCs w:val="24"/>
                        </w:rPr>
                        <w:t xml:space="preserve"> </w:t>
                      </w:r>
                      <w:r w:rsidRPr="00121761">
                        <w:rPr>
                          <w:rFonts w:asciiTheme="minorHAnsi" w:hAnsiTheme="minorHAnsi"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asciiTheme="minorHAnsi" w:hAnsiTheme="minorHAnsi" w:cstheme="minorHAnsi"/>
                          <w:b/>
                          <w:bCs/>
                          <w:color w:val="002060"/>
                          <w:spacing w:val="-4"/>
                          <w:sz w:val="36"/>
                          <w:szCs w:val="24"/>
                        </w:rPr>
                      </w:pPr>
                      <w:r w:rsidRPr="00121761">
                        <w:rPr>
                          <w:rFonts w:asciiTheme="minorHAnsi" w:hAnsiTheme="minorHAnsi"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asciiTheme="minorHAnsi" w:hAnsiTheme="minorHAnsi" w:cstheme="minorHAnsi"/>
                          <w:color w:val="002060"/>
                          <w:sz w:val="36"/>
                          <w:szCs w:val="24"/>
                        </w:rPr>
                      </w:pPr>
                      <w:r w:rsidRPr="00121761">
                        <w:rPr>
                          <w:rFonts w:asciiTheme="minorHAnsi" w:hAnsiTheme="minorHAnsi" w:cstheme="minorHAnsi"/>
                          <w:color w:val="002060"/>
                          <w:spacing w:val="-4"/>
                          <w:sz w:val="36"/>
                          <w:szCs w:val="24"/>
                        </w:rPr>
                        <w:t xml:space="preserve"> </w:t>
                      </w:r>
                      <w:r w:rsidRPr="00121761">
                        <w:rPr>
                          <w:rFonts w:asciiTheme="minorHAnsi" w:hAnsiTheme="minorHAnsi" w:cstheme="minorHAnsi"/>
                          <w:color w:val="002060"/>
                          <w:sz w:val="36"/>
                          <w:szCs w:val="24"/>
                        </w:rPr>
                        <w:t>26 de febrero de 2026</w:t>
                      </w:r>
                    </w:p>
                  </w:txbxContent>
                </v:textbox>
                <w10:wrap type="topAndBottom" anchorx="page"/>
              </v:shape>
            </w:pict>
          </mc:Fallback>
        </mc:AlternateContent>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D61758" w:rsidP="00D61758">
      <w:pPr>
        <w:pStyle w:val="Textoindependiente"/>
        <w:spacing w:line="291" w:lineRule="exact"/>
        <w:rPr>
          <w:spacing w:val="-2"/>
          <w:w w:val="120"/>
        </w:rPr>
      </w:pPr>
      <w:hyperlink r:id="rId9" w:history="1">
        <w:r w:rsidRPr="00D56E03">
          <w:rPr>
            <w:rStyle w:val="Hipervnculo"/>
            <w:w w:val="115"/>
          </w:rPr>
          <w:t>https://creativecommons.org/licenses/by-</w:t>
        </w:r>
        <w:r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7FB14D4E" w14:textId="4FEFB12E" w:rsidR="00D61758" w:rsidRDefault="00D61758" w:rsidP="00D61758">
      <w:pPr>
        <w:pStyle w:val="Textoindependiente"/>
        <w:spacing w:line="291" w:lineRule="exact"/>
        <w:rPr>
          <w:spacing w:val="-2"/>
          <w:w w:val="120"/>
        </w:rPr>
      </w:pPr>
    </w:p>
    <w:p w14:paraId="396D17B0" w14:textId="29329CF2" w:rsidR="00D61758" w:rsidRDefault="00D61758" w:rsidP="00D61758">
      <w:pPr>
        <w:pStyle w:val="Textoindependiente"/>
        <w:spacing w:line="291" w:lineRule="exact"/>
        <w:rPr>
          <w:spacing w:val="-2"/>
          <w:w w:val="120"/>
        </w:rPr>
      </w:pPr>
    </w:p>
    <w:p w14:paraId="15BBB9DF" w14:textId="5DD65E33" w:rsidR="00D61758" w:rsidRDefault="00D61758" w:rsidP="00D61758">
      <w:pPr>
        <w:pStyle w:val="Textoindependiente"/>
        <w:spacing w:line="291" w:lineRule="exact"/>
        <w:rPr>
          <w:spacing w:val="-2"/>
          <w:w w:val="120"/>
        </w:rPr>
      </w:pPr>
    </w:p>
    <w:p w14:paraId="03E8C198" w14:textId="13578963" w:rsidR="00D61758" w:rsidRDefault="00D61758" w:rsidP="00D61758">
      <w:pPr>
        <w:pStyle w:val="Textoindependiente"/>
        <w:spacing w:line="291" w:lineRule="exact"/>
        <w:rPr>
          <w:spacing w:val="-2"/>
          <w:w w:val="120"/>
        </w:rPr>
      </w:pPr>
    </w:p>
    <w:p w14:paraId="203E520A" w14:textId="11DE1085" w:rsidR="00D61758" w:rsidRDefault="00D61758" w:rsidP="00D61758">
      <w:pPr>
        <w:pStyle w:val="Textoindependiente"/>
        <w:spacing w:line="291" w:lineRule="exact"/>
        <w:rPr>
          <w:spacing w:val="-2"/>
          <w:w w:val="120"/>
        </w:rPr>
      </w:pPr>
    </w:p>
    <w:p w14:paraId="0F2C6B5A" w14:textId="361F158A" w:rsidR="00D61758" w:rsidRDefault="00D61758" w:rsidP="00D61758">
      <w:pPr>
        <w:pStyle w:val="Textoindependiente"/>
        <w:spacing w:line="291" w:lineRule="exact"/>
        <w:rPr>
          <w:spacing w:val="-2"/>
          <w:w w:val="120"/>
        </w:rPr>
      </w:pPr>
    </w:p>
    <w:p w14:paraId="618A31A9" w14:textId="0DA01B21" w:rsidR="00D61758" w:rsidRDefault="00D61758" w:rsidP="00D61758">
      <w:pPr>
        <w:pStyle w:val="Textoindependiente"/>
        <w:spacing w:line="291" w:lineRule="exact"/>
        <w:rPr>
          <w:spacing w:val="-2"/>
          <w:w w:val="120"/>
        </w:rPr>
      </w:pPr>
    </w:p>
    <w:p w14:paraId="523D88B2" w14:textId="1DB1E7FD" w:rsidR="00D61758" w:rsidRDefault="00D61758" w:rsidP="00D61758">
      <w:pPr>
        <w:pStyle w:val="Textoindependiente"/>
        <w:spacing w:line="291" w:lineRule="exact"/>
        <w:rPr>
          <w:spacing w:val="-2"/>
          <w:w w:val="120"/>
        </w:rPr>
      </w:pPr>
    </w:p>
    <w:p w14:paraId="4D1D87C9" w14:textId="00EF10AD" w:rsidR="00D61758" w:rsidRDefault="00D61758" w:rsidP="00D61758">
      <w:pPr>
        <w:pStyle w:val="Textoindependiente"/>
        <w:spacing w:line="291" w:lineRule="exact"/>
        <w:rPr>
          <w:spacing w:val="-2"/>
          <w:w w:val="120"/>
        </w:rPr>
      </w:pPr>
    </w:p>
    <w:p w14:paraId="6E5F6A7A" w14:textId="5D84BBE9" w:rsidR="00D61758" w:rsidRDefault="00D61758" w:rsidP="00D61758">
      <w:pPr>
        <w:pStyle w:val="Textoindependiente"/>
        <w:spacing w:line="291" w:lineRule="exact"/>
        <w:rPr>
          <w:spacing w:val="-2"/>
          <w:w w:val="120"/>
        </w:rPr>
      </w:pPr>
    </w:p>
    <w:p w14:paraId="4829CD1C" w14:textId="06AE817E" w:rsidR="00D61758" w:rsidRDefault="00D61758" w:rsidP="00D61758">
      <w:pPr>
        <w:pStyle w:val="Textoindependiente"/>
        <w:spacing w:line="291" w:lineRule="exact"/>
        <w:rPr>
          <w:spacing w:val="-2"/>
          <w:w w:val="120"/>
        </w:rPr>
      </w:pPr>
    </w:p>
    <w:p w14:paraId="6FAA7BD6" w14:textId="7A5DC25D" w:rsidR="00D61758" w:rsidRDefault="00D61758" w:rsidP="00D61758">
      <w:pPr>
        <w:pStyle w:val="Textoindependiente"/>
        <w:spacing w:line="291" w:lineRule="exact"/>
        <w:rPr>
          <w:spacing w:val="-2"/>
          <w:w w:val="120"/>
        </w:rPr>
      </w:pPr>
    </w:p>
    <w:p w14:paraId="79F67346" w14:textId="77777777" w:rsidR="00D61758" w:rsidRDefault="00D61758" w:rsidP="00D61758">
      <w:pPr>
        <w:pStyle w:val="Textoindependiente"/>
        <w:spacing w:line="291" w:lineRule="exact"/>
      </w:pPr>
    </w:p>
    <w:p w14:paraId="46BD7452" w14:textId="77777777" w:rsidR="00E00AFC" w:rsidRDefault="00E00AFC">
      <w:pPr>
        <w:spacing w:after="120"/>
      </w:pPr>
    </w:p>
    <w:p w14:paraId="7BDEC18E" w14:textId="77777777" w:rsidR="00D61758" w:rsidRDefault="004807D4" w:rsidP="00D61758">
      <w:pPr>
        <w:spacing w:before="307"/>
        <w:ind w:left="578"/>
      </w:pPr>
      <w:r>
        <w:br w:type="page"/>
      </w:r>
      <w:r w:rsidR="00D61758">
        <w:lastRenderedPageBreak/>
        <w:t xml:space="preserve"> </w:t>
      </w:r>
    </w:p>
    <w:p w14:paraId="2EA48C75" w14:textId="77C5D73A" w:rsidR="00D61758" w:rsidRDefault="00D61758" w:rsidP="00D61758">
      <w:pPr>
        <w:spacing w:before="307"/>
        <w:ind w:left="578"/>
        <w:rPr>
          <w:b/>
          <w:sz w:val="34"/>
        </w:rPr>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r>
        <w:rPr>
          <w:b/>
          <w:color w:val="000072"/>
          <w:spacing w:val="17"/>
          <w:w w:val="125"/>
          <w:sz w:val="34"/>
        </w:rPr>
        <w:t xml:space="preserve"> </w:t>
      </w:r>
      <w:r>
        <w:rPr>
          <w:b/>
          <w:color w:val="000072"/>
          <w:spacing w:val="-2"/>
          <w:w w:val="125"/>
          <w:sz w:val="34"/>
        </w:rPr>
        <w:t>Final</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sz w:val="24"/>
              </w:rPr>
            </w:pPr>
            <w:r>
              <w:rPr>
                <w:b/>
                <w:color w:val="000072"/>
                <w:spacing w:val="-13"/>
                <w:w w:val="143"/>
                <w:sz w:val="24"/>
              </w:rPr>
              <w:t>T</w:t>
            </w:r>
            <w:r>
              <w:rPr>
                <w:b/>
                <w:color w:val="000072"/>
                <w:spacing w:val="-88"/>
                <w:w w:val="172"/>
                <w:sz w:val="24"/>
              </w:rPr>
              <w:t>´</w:t>
            </w:r>
            <w:r>
              <w:rPr>
                <w:b/>
                <w:color w:val="000072"/>
                <w:spacing w:val="17"/>
                <w:w w:val="112"/>
                <w:sz w:val="24"/>
              </w:rPr>
              <w:t>ı</w:t>
            </w:r>
            <w:r>
              <w:rPr>
                <w:b/>
                <w:color w:val="000072"/>
                <w:spacing w:val="17"/>
                <w:w w:val="111"/>
                <w:sz w:val="24"/>
              </w:rPr>
              <w:t>t</w:t>
            </w:r>
            <w:r>
              <w:rPr>
                <w:b/>
                <w:color w:val="000072"/>
                <w:spacing w:val="17"/>
                <w:w w:val="99"/>
                <w:sz w:val="24"/>
              </w:rPr>
              <w:t>ulo</w:t>
            </w:r>
            <w:r>
              <w:rPr>
                <w:b/>
                <w:color w:val="000072"/>
                <w:w w:val="120"/>
                <w:sz w:val="24"/>
              </w:rPr>
              <w:t xml:space="preserve"> </w:t>
            </w:r>
            <w:r>
              <w:rPr>
                <w:b/>
                <w:color w:val="000072"/>
                <w:spacing w:val="-2"/>
                <w:w w:val="120"/>
                <w:sz w:val="24"/>
              </w:rPr>
              <w:t>del</w:t>
            </w:r>
            <w:r>
              <w:rPr>
                <w:b/>
                <w:color w:val="000072"/>
                <w:spacing w:val="1"/>
                <w:w w:val="120"/>
                <w:sz w:val="24"/>
              </w:rPr>
              <w:t xml:space="preserve"> </w:t>
            </w:r>
            <w:r>
              <w:rPr>
                <w:b/>
                <w:color w:val="000072"/>
                <w:spacing w:val="-2"/>
                <w:w w:val="120"/>
                <w:sz w:val="24"/>
              </w:rPr>
              <w:t>trabajo:</w:t>
            </w:r>
          </w:p>
        </w:tc>
        <w:tc>
          <w:tcPr>
            <w:tcW w:w="5965" w:type="dxa"/>
            <w:shd w:val="clear" w:color="auto" w:fill="E5E5E5"/>
          </w:tcPr>
          <w:p w14:paraId="603B6A2D" w14:textId="77777777" w:rsidR="00D61758" w:rsidRDefault="00D61758" w:rsidP="00B072CB">
            <w:pPr>
              <w:pStyle w:val="TableParagraph"/>
              <w:spacing w:line="291" w:lineRule="exact"/>
              <w:rPr>
                <w:sz w:val="24"/>
              </w:rPr>
            </w:pPr>
            <w:r w:rsidRPr="00085065">
              <w:rPr>
                <w:w w:val="105"/>
                <w:sz w:val="24"/>
              </w:rPr>
              <w:t>Supervivencia en Cáncer de Mama y Pulmón: Identificación de Biomarcadores Genómicos Pronósticos mediante Modelos Estadísticos Avanzados y Validación Cruzada en Cohortes Independientes</w:t>
            </w:r>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sz w:val="24"/>
              </w:rPr>
            </w:pPr>
            <w:r>
              <w:rPr>
                <w:b/>
                <w:color w:val="000072"/>
                <w:w w:val="115"/>
                <w:sz w:val="24"/>
              </w:rPr>
              <w:t>Nombre</w:t>
            </w:r>
            <w:r>
              <w:rPr>
                <w:b/>
                <w:color w:val="000072"/>
                <w:spacing w:val="21"/>
                <w:w w:val="115"/>
                <w:sz w:val="24"/>
              </w:rPr>
              <w:t xml:space="preserve"> </w:t>
            </w:r>
            <w:r>
              <w:rPr>
                <w:b/>
                <w:color w:val="000072"/>
                <w:w w:val="115"/>
                <w:sz w:val="24"/>
              </w:rPr>
              <w:t>del</w:t>
            </w:r>
            <w:r>
              <w:rPr>
                <w:b/>
                <w:color w:val="000072"/>
                <w:spacing w:val="21"/>
                <w:w w:val="115"/>
                <w:sz w:val="24"/>
              </w:rPr>
              <w:t xml:space="preserve"> </w:t>
            </w:r>
            <w:r>
              <w:rPr>
                <w:b/>
                <w:color w:val="000072"/>
                <w:spacing w:val="-2"/>
                <w:w w:val="115"/>
                <w:sz w:val="24"/>
              </w:rPr>
              <w:t>autor/a:</w:t>
            </w:r>
          </w:p>
        </w:tc>
        <w:tc>
          <w:tcPr>
            <w:tcW w:w="5965" w:type="dxa"/>
            <w:shd w:val="clear" w:color="auto" w:fill="E5E5E5"/>
          </w:tcPr>
          <w:p w14:paraId="762FE17C" w14:textId="77777777" w:rsidR="00D61758" w:rsidRDefault="00D61758" w:rsidP="00B072CB">
            <w:pPr>
              <w:pStyle w:val="TableParagraph"/>
              <w:rPr>
                <w:sz w:val="24"/>
              </w:rPr>
            </w:pPr>
            <w:r>
              <w:rPr>
                <w:w w:val="105"/>
                <w:sz w:val="24"/>
              </w:rPr>
              <w:t>Julio Úbeda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sz w:val="24"/>
              </w:rPr>
            </w:pPr>
            <w:r>
              <w:rPr>
                <w:b/>
                <w:color w:val="000072"/>
                <w:spacing w:val="-2"/>
                <w:w w:val="120"/>
                <w:sz w:val="24"/>
              </w:rPr>
              <w:t>Nombre</w:t>
            </w:r>
            <w:r>
              <w:rPr>
                <w:b/>
                <w:color w:val="000072"/>
                <w:spacing w:val="3"/>
                <w:w w:val="120"/>
                <w:sz w:val="24"/>
              </w:rPr>
              <w:t xml:space="preserve"> </w:t>
            </w:r>
            <w:r>
              <w:rPr>
                <w:b/>
                <w:color w:val="000072"/>
                <w:spacing w:val="-2"/>
                <w:w w:val="120"/>
                <w:sz w:val="24"/>
              </w:rPr>
              <w:t>del</w:t>
            </w:r>
            <w:r>
              <w:rPr>
                <w:b/>
                <w:color w:val="000072"/>
                <w:spacing w:val="3"/>
                <w:w w:val="120"/>
                <w:sz w:val="24"/>
              </w:rPr>
              <w:t xml:space="preserve"> </w:t>
            </w:r>
            <w:r>
              <w:rPr>
                <w:b/>
                <w:color w:val="000072"/>
                <w:spacing w:val="-2"/>
                <w:w w:val="120"/>
                <w:sz w:val="24"/>
              </w:rPr>
              <w:t>director/a</w:t>
            </w:r>
            <w:r>
              <w:rPr>
                <w:b/>
                <w:color w:val="000072"/>
                <w:spacing w:val="4"/>
                <w:w w:val="120"/>
                <w:sz w:val="24"/>
              </w:rPr>
              <w:t xml:space="preserve"> </w:t>
            </w:r>
            <w:r>
              <w:rPr>
                <w:b/>
                <w:color w:val="000072"/>
                <w:spacing w:val="-2"/>
                <w:w w:val="120"/>
                <w:sz w:val="24"/>
              </w:rPr>
              <w:t>de</w:t>
            </w:r>
            <w:r>
              <w:rPr>
                <w:b/>
                <w:color w:val="000072"/>
                <w:spacing w:val="3"/>
                <w:w w:val="120"/>
                <w:sz w:val="24"/>
              </w:rPr>
              <w:t xml:space="preserve"> </w:t>
            </w:r>
            <w:r>
              <w:rPr>
                <w:b/>
                <w:color w:val="000072"/>
                <w:spacing w:val="-5"/>
                <w:w w:val="120"/>
                <w:sz w:val="24"/>
              </w:rPr>
              <w:t>TF:</w:t>
            </w:r>
          </w:p>
        </w:tc>
        <w:tc>
          <w:tcPr>
            <w:tcW w:w="5965" w:type="dxa"/>
            <w:shd w:val="clear" w:color="auto" w:fill="E5E5E5"/>
          </w:tcPr>
          <w:p w14:paraId="29FB048D" w14:textId="77777777" w:rsidR="00D61758" w:rsidRDefault="00D61758" w:rsidP="00B072CB">
            <w:pPr>
              <w:pStyle w:val="TableParagraph"/>
              <w:rPr>
                <w:sz w:val="24"/>
              </w:rPr>
            </w:pPr>
            <w:r w:rsidRPr="00085065">
              <w:rPr>
                <w:w w:val="105"/>
                <w:sz w:val="24"/>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sz w:val="24"/>
              </w:rPr>
            </w:pPr>
            <w:r>
              <w:rPr>
                <w:b/>
                <w:color w:val="000072"/>
                <w:spacing w:val="-2"/>
                <w:w w:val="120"/>
                <w:sz w:val="24"/>
              </w:rPr>
              <w:t>Nombre</w:t>
            </w:r>
            <w:r>
              <w:rPr>
                <w:b/>
                <w:color w:val="000072"/>
                <w:w w:val="120"/>
                <w:sz w:val="24"/>
              </w:rPr>
              <w:t xml:space="preserve"> </w:t>
            </w:r>
            <w:r>
              <w:rPr>
                <w:b/>
                <w:color w:val="000072"/>
                <w:spacing w:val="-2"/>
                <w:w w:val="120"/>
                <w:sz w:val="24"/>
              </w:rPr>
              <w:t>del/de</w:t>
            </w:r>
            <w:r>
              <w:rPr>
                <w:b/>
                <w:color w:val="000072"/>
                <w:spacing w:val="1"/>
                <w:w w:val="120"/>
                <w:sz w:val="24"/>
              </w:rPr>
              <w:t xml:space="preserve"> </w:t>
            </w:r>
            <w:r>
              <w:rPr>
                <w:b/>
                <w:color w:val="000072"/>
                <w:spacing w:val="-2"/>
                <w:w w:val="120"/>
                <w:sz w:val="24"/>
              </w:rPr>
              <w:t>la</w:t>
            </w:r>
            <w:r>
              <w:rPr>
                <w:b/>
                <w:color w:val="000072"/>
                <w:spacing w:val="1"/>
                <w:w w:val="120"/>
                <w:sz w:val="24"/>
              </w:rPr>
              <w:t xml:space="preserve"> </w:t>
            </w:r>
            <w:r>
              <w:rPr>
                <w:b/>
                <w:color w:val="000072"/>
                <w:spacing w:val="-4"/>
                <w:w w:val="120"/>
                <w:sz w:val="24"/>
              </w:rPr>
              <w:t>PRA:</w:t>
            </w:r>
          </w:p>
        </w:tc>
        <w:tc>
          <w:tcPr>
            <w:tcW w:w="5965" w:type="dxa"/>
            <w:shd w:val="clear" w:color="auto" w:fill="E5E5E5"/>
          </w:tcPr>
          <w:p w14:paraId="75281533" w14:textId="77777777" w:rsidR="00D61758" w:rsidRDefault="00D61758" w:rsidP="00B072CB">
            <w:pPr>
              <w:pStyle w:val="TableParagraph"/>
              <w:rPr>
                <w:sz w:val="24"/>
              </w:rPr>
            </w:pPr>
            <w:r w:rsidRPr="00085065">
              <w:rPr>
                <w:sz w:val="24"/>
              </w:rPr>
              <w:t>Laia Subirats Maté</w:t>
            </w:r>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sz w:val="24"/>
              </w:rPr>
            </w:pPr>
            <w:r>
              <w:rPr>
                <w:b/>
                <w:color w:val="000072"/>
                <w:w w:val="115"/>
                <w:sz w:val="24"/>
              </w:rPr>
              <w:t>Fecha</w:t>
            </w:r>
            <w:r>
              <w:rPr>
                <w:b/>
                <w:color w:val="000072"/>
                <w:spacing w:val="15"/>
                <w:w w:val="115"/>
                <w:sz w:val="24"/>
              </w:rPr>
              <w:t xml:space="preserve"> </w:t>
            </w:r>
            <w:r>
              <w:rPr>
                <w:b/>
                <w:color w:val="000072"/>
                <w:w w:val="115"/>
                <w:sz w:val="24"/>
              </w:rPr>
              <w:t>de</w:t>
            </w:r>
            <w:r>
              <w:rPr>
                <w:b/>
                <w:color w:val="000072"/>
                <w:spacing w:val="16"/>
                <w:w w:val="115"/>
                <w:sz w:val="24"/>
              </w:rPr>
              <w:t xml:space="preserve"> </w:t>
            </w:r>
            <w:r>
              <w:rPr>
                <w:b/>
                <w:color w:val="000072"/>
                <w:spacing w:val="-2"/>
                <w:w w:val="115"/>
                <w:sz w:val="24"/>
              </w:rPr>
              <w:t>entrega:</w:t>
            </w:r>
          </w:p>
        </w:tc>
        <w:tc>
          <w:tcPr>
            <w:tcW w:w="5965" w:type="dxa"/>
            <w:shd w:val="clear" w:color="auto" w:fill="E5E5E5"/>
          </w:tcPr>
          <w:p w14:paraId="23B1B64A" w14:textId="77777777" w:rsidR="00D61758" w:rsidRDefault="00D61758" w:rsidP="00B072CB">
            <w:pPr>
              <w:pStyle w:val="TableParagraph"/>
              <w:rPr>
                <w:sz w:val="24"/>
              </w:rPr>
            </w:pPr>
            <w:r>
              <w:rPr>
                <w:sz w:val="24"/>
              </w:rPr>
              <w:t>26</w:t>
            </w:r>
            <w:r>
              <w:rPr>
                <w:spacing w:val="9"/>
                <w:sz w:val="24"/>
              </w:rPr>
              <w:t xml:space="preserve"> </w:t>
            </w:r>
            <w:r>
              <w:rPr>
                <w:sz w:val="24"/>
              </w:rPr>
              <w:t>de</w:t>
            </w:r>
            <w:r>
              <w:rPr>
                <w:spacing w:val="9"/>
                <w:sz w:val="24"/>
              </w:rPr>
              <w:t xml:space="preserve"> </w:t>
            </w:r>
            <w:r>
              <w:rPr>
                <w:sz w:val="24"/>
              </w:rPr>
              <w:t>febrero</w:t>
            </w:r>
            <w:r>
              <w:rPr>
                <w:spacing w:val="9"/>
                <w:sz w:val="24"/>
              </w:rPr>
              <w:t xml:space="preserve"> </w:t>
            </w:r>
            <w:r>
              <w:rPr>
                <w:sz w:val="24"/>
              </w:rPr>
              <w:t>de</w:t>
            </w:r>
            <w:r>
              <w:rPr>
                <w:spacing w:val="9"/>
                <w:sz w:val="24"/>
              </w:rPr>
              <w:t xml:space="preserve"> </w:t>
            </w:r>
            <w:r>
              <w:rPr>
                <w:spacing w:val="-4"/>
                <w:sz w:val="2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sz w:val="24"/>
              </w:rPr>
            </w:pPr>
            <w:r>
              <w:rPr>
                <w:b/>
                <w:color w:val="000072"/>
                <w:spacing w:val="10"/>
                <w:w w:val="117"/>
                <w:sz w:val="24"/>
              </w:rPr>
              <w:t>Titulaci</w:t>
            </w:r>
            <w:r>
              <w:rPr>
                <w:b/>
                <w:color w:val="000072"/>
                <w:spacing w:val="-125"/>
                <w:w w:val="96"/>
                <w:sz w:val="24"/>
              </w:rPr>
              <w:t>o</w:t>
            </w:r>
            <w:r>
              <w:rPr>
                <w:b/>
                <w:color w:val="000072"/>
                <w:spacing w:val="9"/>
                <w:w w:val="178"/>
                <w:sz w:val="24"/>
              </w:rPr>
              <w:t>´</w:t>
            </w:r>
            <w:r>
              <w:rPr>
                <w:b/>
                <w:color w:val="000072"/>
                <w:spacing w:val="10"/>
                <w:w w:val="108"/>
                <w:sz w:val="24"/>
              </w:rPr>
              <w:t>n</w:t>
            </w:r>
            <w:r>
              <w:rPr>
                <w:b/>
                <w:color w:val="000072"/>
                <w:spacing w:val="1"/>
                <w:w w:val="120"/>
                <w:sz w:val="24"/>
              </w:rPr>
              <w:t xml:space="preserve"> </w:t>
            </w:r>
            <w:r>
              <w:rPr>
                <w:b/>
                <w:color w:val="000072"/>
                <w:spacing w:val="-2"/>
                <w:w w:val="120"/>
                <w:sz w:val="24"/>
              </w:rPr>
              <w:t>o</w:t>
            </w:r>
            <w:r>
              <w:rPr>
                <w:b/>
                <w:color w:val="000072"/>
                <w:spacing w:val="2"/>
                <w:w w:val="120"/>
                <w:sz w:val="24"/>
              </w:rPr>
              <w:t xml:space="preserve"> </w:t>
            </w:r>
            <w:r>
              <w:rPr>
                <w:b/>
                <w:color w:val="000072"/>
                <w:spacing w:val="-2"/>
                <w:w w:val="120"/>
                <w:sz w:val="24"/>
              </w:rPr>
              <w:t>programa:</w:t>
            </w:r>
          </w:p>
        </w:tc>
        <w:tc>
          <w:tcPr>
            <w:tcW w:w="5965" w:type="dxa"/>
            <w:shd w:val="clear" w:color="auto" w:fill="E5E5E5"/>
          </w:tcPr>
          <w:p w14:paraId="34297265" w14:textId="77777777" w:rsidR="00D61758" w:rsidRDefault="00D61758" w:rsidP="00B072CB">
            <w:pPr>
              <w:pStyle w:val="TableParagraph"/>
              <w:rPr>
                <w:sz w:val="24"/>
              </w:rPr>
            </w:pPr>
            <w:r>
              <w:rPr>
                <w:spacing w:val="4"/>
                <w:w w:val="104"/>
                <w:sz w:val="24"/>
              </w:rPr>
              <w:t>M</w:t>
            </w:r>
            <w:r>
              <w:rPr>
                <w:spacing w:val="-113"/>
                <w:w w:val="101"/>
                <w:sz w:val="24"/>
              </w:rPr>
              <w:t>a</w:t>
            </w:r>
            <w:r>
              <w:rPr>
                <w:spacing w:val="4"/>
                <w:w w:val="166"/>
                <w:sz w:val="24"/>
              </w:rPr>
              <w:t>´</w:t>
            </w:r>
            <w:r>
              <w:rPr>
                <w:spacing w:val="4"/>
                <w:w w:val="98"/>
                <w:sz w:val="24"/>
              </w:rPr>
              <w:t>s</w:t>
            </w:r>
            <w:r>
              <w:rPr>
                <w:spacing w:val="4"/>
                <w:sz w:val="24"/>
              </w:rPr>
              <w:t>ter</w:t>
            </w:r>
            <w:r>
              <w:rPr>
                <w:spacing w:val="-2"/>
                <w:w w:val="110"/>
                <w:sz w:val="24"/>
              </w:rPr>
              <w:t xml:space="preserve"> </w:t>
            </w:r>
            <w:r>
              <w:rPr>
                <w:spacing w:val="-12"/>
                <w:w w:val="110"/>
                <w:sz w:val="24"/>
              </w:rPr>
              <w:t>en Ciencia de Datos</w:t>
            </w:r>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sz w:val="24"/>
              </w:rPr>
            </w:pPr>
            <w:r>
              <w:rPr>
                <w:b/>
                <w:color w:val="000072"/>
                <w:spacing w:val="-144"/>
                <w:w w:val="127"/>
                <w:sz w:val="24"/>
              </w:rPr>
              <w:t>A</w:t>
            </w:r>
            <w:r>
              <w:rPr>
                <w:b/>
                <w:color w:val="000072"/>
                <w:spacing w:val="59"/>
                <w:w w:val="174"/>
                <w:position w:val="6"/>
                <w:sz w:val="24"/>
              </w:rPr>
              <w:t>´</w:t>
            </w:r>
            <w:r>
              <w:rPr>
                <w:b/>
                <w:color w:val="000072"/>
                <w:spacing w:val="25"/>
                <w:w w:val="99"/>
                <w:sz w:val="24"/>
              </w:rPr>
              <w:t>rea</w:t>
            </w:r>
            <w:r>
              <w:rPr>
                <w:b/>
                <w:color w:val="000072"/>
                <w:spacing w:val="-4"/>
                <w:w w:val="119"/>
                <w:sz w:val="24"/>
              </w:rPr>
              <w:t xml:space="preserve"> </w:t>
            </w:r>
            <w:r>
              <w:rPr>
                <w:b/>
                <w:color w:val="000072"/>
                <w:spacing w:val="-2"/>
                <w:w w:val="120"/>
                <w:sz w:val="24"/>
              </w:rPr>
              <w:t>del</w:t>
            </w:r>
            <w:r>
              <w:rPr>
                <w:b/>
                <w:color w:val="000072"/>
                <w:spacing w:val="-3"/>
                <w:w w:val="120"/>
                <w:sz w:val="24"/>
              </w:rPr>
              <w:t xml:space="preserve"> </w:t>
            </w:r>
            <w:r>
              <w:rPr>
                <w:b/>
                <w:color w:val="000072"/>
                <w:spacing w:val="-2"/>
                <w:w w:val="120"/>
                <w:sz w:val="24"/>
              </w:rPr>
              <w:t>trabajo</w:t>
            </w:r>
            <w:r>
              <w:rPr>
                <w:b/>
                <w:color w:val="000072"/>
                <w:spacing w:val="-4"/>
                <w:w w:val="120"/>
                <w:sz w:val="24"/>
              </w:rPr>
              <w:t xml:space="preserve"> </w:t>
            </w:r>
            <w:r>
              <w:rPr>
                <w:b/>
                <w:color w:val="000072"/>
                <w:spacing w:val="-2"/>
                <w:w w:val="120"/>
                <w:sz w:val="24"/>
              </w:rPr>
              <w:t>final:</w:t>
            </w:r>
          </w:p>
        </w:tc>
        <w:tc>
          <w:tcPr>
            <w:tcW w:w="5965" w:type="dxa"/>
            <w:shd w:val="clear" w:color="auto" w:fill="E5E5E5"/>
          </w:tcPr>
          <w:p w14:paraId="652CA8E5" w14:textId="77777777" w:rsidR="00D61758" w:rsidRDefault="00D61758" w:rsidP="00B072CB">
            <w:pPr>
              <w:pStyle w:val="TableParagraph"/>
              <w:spacing w:line="289" w:lineRule="exact"/>
              <w:rPr>
                <w:sz w:val="24"/>
              </w:rPr>
            </w:pPr>
            <w:r>
              <w:rPr>
                <w:sz w:val="24"/>
              </w:rPr>
              <w:t>Medicina</w:t>
            </w:r>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sz w:val="24"/>
              </w:rPr>
            </w:pPr>
            <w:r>
              <w:rPr>
                <w:b/>
                <w:color w:val="000072"/>
                <w:w w:val="115"/>
                <w:sz w:val="24"/>
              </w:rPr>
              <w:t>Idioma</w:t>
            </w:r>
            <w:r>
              <w:rPr>
                <w:b/>
                <w:color w:val="000072"/>
                <w:spacing w:val="29"/>
                <w:w w:val="115"/>
                <w:sz w:val="24"/>
              </w:rPr>
              <w:t xml:space="preserve"> </w:t>
            </w:r>
            <w:r>
              <w:rPr>
                <w:b/>
                <w:color w:val="000072"/>
                <w:w w:val="115"/>
                <w:sz w:val="24"/>
              </w:rPr>
              <w:t>del</w:t>
            </w:r>
            <w:r>
              <w:rPr>
                <w:b/>
                <w:color w:val="000072"/>
                <w:spacing w:val="29"/>
                <w:w w:val="115"/>
                <w:sz w:val="24"/>
              </w:rPr>
              <w:t xml:space="preserve"> </w:t>
            </w:r>
            <w:r>
              <w:rPr>
                <w:b/>
                <w:color w:val="000072"/>
                <w:spacing w:val="-2"/>
                <w:w w:val="115"/>
                <w:sz w:val="24"/>
              </w:rPr>
              <w:t>trabajo:</w:t>
            </w:r>
          </w:p>
        </w:tc>
        <w:tc>
          <w:tcPr>
            <w:tcW w:w="5965" w:type="dxa"/>
            <w:shd w:val="clear" w:color="auto" w:fill="E5E5E5"/>
          </w:tcPr>
          <w:p w14:paraId="6886C173" w14:textId="77777777" w:rsidR="00D61758" w:rsidRDefault="00D61758" w:rsidP="00B072CB">
            <w:pPr>
              <w:pStyle w:val="TableParagraph"/>
              <w:rPr>
                <w:sz w:val="24"/>
              </w:rPr>
            </w:pPr>
            <w:r>
              <w:rPr>
                <w:spacing w:val="-2"/>
                <w:w w:val="105"/>
                <w:sz w:val="24"/>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sz w:val="24"/>
              </w:rPr>
            </w:pPr>
            <w:r>
              <w:rPr>
                <w:b/>
                <w:color w:val="000072"/>
                <w:w w:val="115"/>
                <w:sz w:val="24"/>
              </w:rPr>
              <w:t>Palabras</w:t>
            </w:r>
            <w:r>
              <w:rPr>
                <w:b/>
                <w:color w:val="000072"/>
                <w:spacing w:val="47"/>
                <w:w w:val="115"/>
                <w:sz w:val="24"/>
              </w:rPr>
              <w:t xml:space="preserve"> </w:t>
            </w:r>
            <w:r>
              <w:rPr>
                <w:b/>
                <w:color w:val="000072"/>
                <w:spacing w:val="-2"/>
                <w:w w:val="115"/>
                <w:sz w:val="24"/>
              </w:rPr>
              <w:t>clave:</w:t>
            </w:r>
          </w:p>
        </w:tc>
        <w:tc>
          <w:tcPr>
            <w:tcW w:w="5965" w:type="dxa"/>
            <w:shd w:val="clear" w:color="auto" w:fill="E5E5E5"/>
          </w:tcPr>
          <w:p w14:paraId="185A53BE" w14:textId="77777777" w:rsidR="00D61758" w:rsidRDefault="00D61758" w:rsidP="00B072CB">
            <w:pPr>
              <w:pStyle w:val="TableParagraph"/>
              <w:rPr>
                <w:sz w:val="24"/>
              </w:rPr>
            </w:pPr>
            <w:r>
              <w:rPr>
                <w:w w:val="105"/>
                <w:sz w:val="24"/>
              </w:rPr>
              <w:t>Cáncer de mama, cáncer de pulmón, aprendizaje profundo, factores genéticos, análisis de supervivencia</w:t>
            </w:r>
          </w:p>
        </w:tc>
      </w:tr>
    </w:tbl>
    <w:p w14:paraId="53FF8271" w14:textId="77777777" w:rsidR="00D61758" w:rsidRDefault="00D61758" w:rsidP="00D61758">
      <w:pPr>
        <w:pStyle w:val="TableParagraph"/>
        <w:rPr>
          <w:sz w:val="24"/>
        </w:rPr>
        <w:sectPr w:rsidR="00D61758">
          <w:headerReference w:type="default" r:id="rId10"/>
          <w:footerReference w:type="default" r:id="rId11"/>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62CB7A5">
                <wp:extent cx="5588000" cy="4791076"/>
                <wp:effectExtent l="19050" t="19050" r="12700" b="285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791076"/>
                          <a:chOff x="18002" y="18002"/>
                          <a:chExt cx="5588000" cy="373107"/>
                        </a:xfrm>
                      </wpg:grpSpPr>
                      <wps:wsp>
                        <wps:cNvPr id="18" name="Textbox 18"/>
                        <wps:cNvSpPr txBox="1"/>
                        <wps:spPr>
                          <a:xfrm>
                            <a:off x="18002" y="56134"/>
                            <a:ext cx="5588000" cy="334975"/>
                          </a:xfrm>
                          <a:prstGeom prst="rect">
                            <a:avLst/>
                          </a:prstGeom>
                          <a:ln w="36004">
                            <a:solidFill>
                              <a:srgbClr val="000000"/>
                            </a:solidFill>
                            <a:prstDash val="solid"/>
                          </a:ln>
                        </wps:spPr>
                        <wps:txbx>
                          <w:txbxContent>
                            <w:p w14:paraId="342AF518" w14:textId="77777777" w:rsidR="00D61758" w:rsidRDefault="00D61758" w:rsidP="00D61758">
                              <w:pPr>
                                <w:pStyle w:val="NormalWeb"/>
                              </w:pPr>
                              <w:r>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Default="00D61758" w:rsidP="00D61758">
                              <w:pPr>
                                <w:pStyle w:val="NormalWeb"/>
                              </w:pPr>
                              <w:r>
                                <w:t>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The Cancer Genome Atlas (TCGA) y METABRIC (Molecular Taxonomy of Breast Cancer International Consortium). Estas fuentes públicas, bien documentadas y consolidadas en la literatura científica, permiten garantizar la calidad de los datos y facilitar la comparación con estudios previos.</w:t>
                              </w:r>
                            </w:p>
                            <w:p w14:paraId="5907A218" w14:textId="77777777" w:rsidR="00D61758" w:rsidRDefault="00D61758" w:rsidP="00D61758">
                              <w:pPr>
                                <w:pStyle w:val="NormalWeb"/>
                              </w:pPr>
                              <w:r>
                                <w:t>Se implementarán el estimador de Kaplan-Meier, el modelo de riesgos proporcionales de Cox, Random Survival Forest y el modelo de aprendizaje profundo DeepSurv. La evaluación se realizará mediante métricas estándar como el C-index, el Brier Score y el log-rank test, utilizando validación cruzada k-fold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Default="00D61758" w:rsidP="00D61758">
                              <w:pPr>
                                <w:spacing w:line="291" w:lineRule="exact"/>
                                <w:ind w:left="119"/>
                                <w:rPr>
                                  <w:sz w:val="24"/>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Default="00D61758" w:rsidP="00D61758">
                              <w:pPr>
                                <w:spacing w:line="267" w:lineRule="exact"/>
                                <w:ind w:left="119"/>
                                <w:rPr>
                                  <w:b/>
                                  <w:color w:val="000000"/>
                                  <w:sz w:val="24"/>
                                </w:rPr>
                              </w:pPr>
                              <w:r>
                                <w:rPr>
                                  <w:b/>
                                  <w:color w:val="000072"/>
                                  <w:w w:val="115"/>
                                  <w:sz w:val="24"/>
                                </w:rPr>
                                <w:t>Resumen</w:t>
                              </w:r>
                              <w:r>
                                <w:rPr>
                                  <w:b/>
                                  <w:color w:val="000072"/>
                                  <w:spacing w:val="26"/>
                                  <w:w w:val="115"/>
                                  <w:sz w:val="24"/>
                                </w:rPr>
                                <w:t xml:space="preserve"> </w:t>
                              </w:r>
                              <w:r>
                                <w:rPr>
                                  <w:b/>
                                  <w:color w:val="000072"/>
                                  <w:w w:val="115"/>
                                  <w:sz w:val="24"/>
                                </w:rPr>
                                <w:t>del</w:t>
                              </w:r>
                              <w:r>
                                <w:rPr>
                                  <w:b/>
                                  <w:color w:val="000072"/>
                                  <w:spacing w:val="27"/>
                                  <w:w w:val="115"/>
                                  <w:sz w:val="24"/>
                                </w:rPr>
                                <w:t xml:space="preserve"> </w:t>
                              </w:r>
                              <w:r>
                                <w:rPr>
                                  <w:b/>
                                  <w:color w:val="000072"/>
                                  <w:spacing w:val="-2"/>
                                  <w:w w:val="115"/>
                                  <w:sz w:val="24"/>
                                </w:rPr>
                                <w:t>trabajo</w:t>
                              </w:r>
                            </w:p>
                          </w:txbxContent>
                        </wps:txbx>
                        <wps:bodyPr wrap="square" lIns="0" tIns="0" rIns="0" bIns="0" rtlCol="0">
                          <a:noAutofit/>
                        </wps:bodyPr>
                      </wps:wsp>
                    </wpg:wgp>
                  </a:graphicData>
                </a:graphic>
              </wp:inline>
            </w:drawing>
          </mc:Choice>
          <mc:Fallback>
            <w:pict>
              <v:group w14:anchorId="351F2073" id="Group 17" o:spid="_x0000_s1028" style="width:440pt;height:377.25pt;mso-position-horizontal-relative:char;mso-position-vertical-relative:line" coordorigin="180,180" coordsize="55880,3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">
                <v:shape id="Textbox 18" o:spid="_x0000_s1029" type="#_x0000_t202" style="position:absolute;left:180;top:561;width:55880;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Default="00D61758" w:rsidP="00D61758">
                        <w:pPr>
                          <w:pStyle w:val="NormalWeb"/>
                        </w:pPr>
                        <w:r>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Default="00D61758" w:rsidP="00D61758">
                        <w:pPr>
                          <w:pStyle w:val="NormalWeb"/>
                        </w:pPr>
                        <w:r>
                          <w:t>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The Cancer Genome Atlas (TCGA) y METABRIC (Molecular Taxonomy of Breast Cancer International Consortium). Estas fuentes públicas, bien documentadas y consolidadas en la literatura científica, permiten garantizar la calidad de los datos y facilitar la comparación con estudios previos.</w:t>
                        </w:r>
                      </w:p>
                      <w:p w14:paraId="5907A218" w14:textId="77777777" w:rsidR="00D61758" w:rsidRDefault="00D61758" w:rsidP="00D61758">
                        <w:pPr>
                          <w:pStyle w:val="NormalWeb"/>
                        </w:pPr>
                        <w:r>
                          <w:t>Se implementarán el estimador de Kaplan-Meier, el modelo de riesgos proporcionales de Cox, Random Survival Forest y el modelo de aprendizaje profundo DeepSurv. La evaluación se realizará mediante métricas estándar como el C-index, el Brier Score y el log-rank test, utilizando validación cruzada k-fold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Default="00D61758" w:rsidP="00D61758">
                        <w:pPr>
                          <w:spacing w:line="291" w:lineRule="exact"/>
                          <w:ind w:left="119"/>
                          <w:rPr>
                            <w:sz w:val="24"/>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Default="00D61758" w:rsidP="00D61758">
                        <w:pPr>
                          <w:spacing w:line="267" w:lineRule="exact"/>
                          <w:ind w:left="119"/>
                          <w:rPr>
                            <w:b/>
                            <w:color w:val="000000"/>
                            <w:sz w:val="24"/>
                          </w:rPr>
                        </w:pPr>
                        <w:r>
                          <w:rPr>
                            <w:b/>
                            <w:color w:val="000072"/>
                            <w:w w:val="115"/>
                            <w:sz w:val="24"/>
                          </w:rPr>
                          <w:t>Resumen</w:t>
                        </w:r>
                        <w:r>
                          <w:rPr>
                            <w:b/>
                            <w:color w:val="000072"/>
                            <w:spacing w:val="26"/>
                            <w:w w:val="115"/>
                            <w:sz w:val="24"/>
                          </w:rPr>
                          <w:t xml:space="preserve"> </w:t>
                        </w:r>
                        <w:r>
                          <w:rPr>
                            <w:b/>
                            <w:color w:val="000072"/>
                            <w:w w:val="115"/>
                            <w:sz w:val="24"/>
                          </w:rPr>
                          <w:t>del</w:t>
                        </w:r>
                        <w:r>
                          <w:rPr>
                            <w:b/>
                            <w:color w:val="000072"/>
                            <w:spacing w:val="27"/>
                            <w:w w:val="115"/>
                            <w:sz w:val="24"/>
                          </w:rPr>
                          <w:t xml:space="preserve"> </w:t>
                        </w:r>
                        <w:r>
                          <w:rPr>
                            <w:b/>
                            <w:color w:val="000072"/>
                            <w:spacing w:val="-2"/>
                            <w:w w:val="115"/>
                            <w:sz w:val="24"/>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6953F6F9">
                <wp:extent cx="5588000" cy="4086225"/>
                <wp:effectExtent l="19050" t="19050" r="12700"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086225"/>
                          <a:chOff x="18002" y="18002"/>
                          <a:chExt cx="5588000" cy="4086225"/>
                        </a:xfrm>
                      </wpg:grpSpPr>
                      <wps:wsp>
                        <wps:cNvPr id="21" name="Textbox 21"/>
                        <wps:cNvSpPr txBox="1"/>
                        <wps:spPr>
                          <a:xfrm>
                            <a:off x="18002" y="237443"/>
                            <a:ext cx="5588000" cy="3866784"/>
                          </a:xfrm>
                          <a:prstGeom prst="rect">
                            <a:avLst/>
                          </a:prstGeom>
                          <a:ln w="36004">
                            <a:solidFill>
                              <a:srgbClr val="000000"/>
                            </a:solidFill>
                            <a:prstDash val="solid"/>
                          </a:ln>
                        </wps:spPr>
                        <wps:txbx>
                          <w:txbxContent>
                            <w:p w14:paraId="09659DFD" w14:textId="77777777" w:rsidR="00D61758" w:rsidRDefault="00D61758" w:rsidP="00D61758">
                              <w:pPr>
                                <w:pStyle w:val="NormalWeb"/>
                                <w:jc w:val="both"/>
                              </w:pPr>
                              <w:r>
                                <w:t>Cancer remains one of the leading causes of death worldwide, accounting for nearly 10 million deaths in 2022 according to the World Health Organization. The molecular heterogeneity of tumors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Default="00D61758" w:rsidP="00D61758">
                              <w:pPr>
                                <w:pStyle w:val="NormalWeb"/>
                                <w:jc w:val="both"/>
                              </w:pPr>
                              <w:r>
                                <w:t>This Master’s Thesis aims to develop, train, and compare different survival analysis models in patients with breast cancer and lung cancer. Genomic data from two independent and widely used research cohorts will be analyzed: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Default="00D61758" w:rsidP="00D61758">
                              <w:pPr>
                                <w:pStyle w:val="NormalWeb"/>
                                <w:jc w:val="both"/>
                              </w:pPr>
                              <w:r>
                                <w:t>The methodological approach includes the implementation of the Kaplan–Meier estimator, the Cox proportional hazards model, Random Survival Forest, and the deep learning model DeepSurv.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Default="00D61758" w:rsidP="00D61758">
                              <w:pPr>
                                <w:spacing w:line="291" w:lineRule="exact"/>
                                <w:ind w:left="119"/>
                                <w:rPr>
                                  <w:sz w:val="24"/>
                                </w:rPr>
                              </w:pPr>
                            </w:p>
                          </w:txbxContent>
                        </wps:txbx>
                        <wps:bodyPr wrap="square" lIns="0" tIns="0" rIns="0" bIns="0" rtlCol="0">
                          <a:noAutofit/>
                        </wps:bodyPr>
                      </wps:wsp>
                      <wps:wsp>
                        <wps:cNvPr id="22" name="Textbox 22"/>
                        <wps:cNvSpPr txBox="1"/>
                        <wps:spPr>
                          <a:xfrm>
                            <a:off x="18002" y="18002"/>
                            <a:ext cx="5588000" cy="219710"/>
                          </a:xfrm>
                          <a:prstGeom prst="rect">
                            <a:avLst/>
                          </a:prstGeom>
                          <a:solidFill>
                            <a:srgbClr val="E5E5E5"/>
                          </a:solidFill>
                          <a:ln w="36004">
                            <a:solidFill>
                              <a:srgbClr val="000000"/>
                            </a:solidFill>
                            <a:prstDash val="solid"/>
                          </a:ln>
                        </wps:spPr>
                        <wps:txbx>
                          <w:txbxContent>
                            <w:p w14:paraId="51C7DE99" w14:textId="77777777" w:rsidR="00D61758" w:rsidRDefault="00D61758" w:rsidP="00D61758">
                              <w:pPr>
                                <w:spacing w:line="267" w:lineRule="exact"/>
                                <w:ind w:left="119"/>
                                <w:rPr>
                                  <w:b/>
                                  <w:color w:val="000000"/>
                                  <w:sz w:val="24"/>
                                </w:rPr>
                              </w:pPr>
                              <w:r>
                                <w:rPr>
                                  <w:b/>
                                  <w:color w:val="000000"/>
                                  <w:spacing w:val="-2"/>
                                  <w:w w:val="120"/>
                                  <w:sz w:val="24"/>
                                </w:rPr>
                                <w:t>Abstract</w:t>
                              </w:r>
                            </w:p>
                          </w:txbxContent>
                        </wps:txbx>
                        <wps:bodyPr wrap="square" lIns="0" tIns="0" rIns="0" bIns="0" rtlCol="0">
                          <a:noAutofit/>
                        </wps:bodyPr>
                      </wps:wsp>
                    </wpg:wgp>
                  </a:graphicData>
                </a:graphic>
              </wp:inline>
            </w:drawing>
          </mc:Choice>
          <mc:Fallback>
            <w:pict>
              <v:group w14:anchorId="7C8DDC93" id="Group 20" o:spid="_x0000_s1031" style="width:440pt;height:321.75pt;mso-position-horizontal-relative:char;mso-position-vertical-relative:line" coordorigin="180,180" coordsize="55880,4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">
                <v:shape id="Textbox 21" o:spid="_x0000_s1032" type="#_x0000_t202" style="position:absolute;left:180;top:2374;width:55880;height:38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D61758">
                        <w:pPr>
                          <w:pStyle w:val="NormalWeb"/>
                          <w:jc w:val="both"/>
                        </w:pPr>
                        <w:r>
                          <w:t>Cancer remains one of the leading causes of death worldwide, accounting for nearly 10 million deaths in 2022 according to the World Health Organization. The molecular heterogeneity of tumors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Default="00D61758" w:rsidP="00D61758">
                        <w:pPr>
                          <w:pStyle w:val="NormalWeb"/>
                          <w:jc w:val="both"/>
                        </w:pPr>
                        <w:r>
                          <w:t>This Master’s Thesis aims to develop, train, and compare different survival analysis models in patients with breast cancer and lung cancer. Genomic data from two independent and widely used research cohorts will be analyzed: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Default="00D61758" w:rsidP="00D61758">
                        <w:pPr>
                          <w:pStyle w:val="NormalWeb"/>
                          <w:jc w:val="both"/>
                        </w:pPr>
                        <w:r>
                          <w:t>The methodological approach includes the implementation of the Kaplan–Meier estimator, the Cox proportional hazards model, Random Survival Forest, and the deep learning model DeepSurv.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Default="00D61758" w:rsidP="00D61758">
                        <w:pPr>
                          <w:spacing w:line="291" w:lineRule="exact"/>
                          <w:ind w:left="119"/>
                          <w:rPr>
                            <w:sz w:val="24"/>
                          </w:rPr>
                        </w:pPr>
                      </w:p>
                    </w:txbxContent>
                  </v:textbox>
                </v:shape>
                <v:shape id="Textbox 22" o:spid="_x0000_s1033" type="#_x0000_t202" style="position:absolute;left:180;top:180;width:55880;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77777777" w:rsidR="00D61758" w:rsidRDefault="00D61758" w:rsidP="00D61758">
                        <w:pPr>
                          <w:spacing w:line="267" w:lineRule="exact"/>
                          <w:ind w:left="119"/>
                          <w:rPr>
                            <w:b/>
                            <w:color w:val="000000"/>
                            <w:sz w:val="24"/>
                          </w:rPr>
                        </w:pPr>
                        <w:r>
                          <w:rPr>
                            <w:b/>
                            <w:color w:val="000000"/>
                            <w:spacing w:val="-2"/>
                            <w:w w:val="120"/>
                            <w:sz w:val="24"/>
                          </w:rPr>
                          <w:t>Abstract</w:t>
                        </w:r>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id w:val="-1430351693"/>
        <w:docPartObj>
          <w:docPartGallery w:val="Table of Contents"/>
          <w:docPartUnique/>
        </w:docPartObj>
      </w:sdtPr>
      <w:sdtEndPr>
        <w:rPr>
          <w:rFonts w:ascii="Arial" w:eastAsia="Arial" w:hAnsi="Arial" w:cs="Arial"/>
          <w:b/>
          <w:bCs/>
          <w:color w:val="auto"/>
          <w:sz w:val="22"/>
          <w:szCs w:val="22"/>
        </w:rPr>
      </w:sdtEndPr>
      <w:sdtContent>
        <w:p w14:paraId="329EFCDD" w14:textId="2AB3F8E0" w:rsidR="004331B9" w:rsidRDefault="004331B9">
          <w:pPr>
            <w:pStyle w:val="TtuloTDC"/>
          </w:pPr>
          <w:r>
            <w:t>Contenido</w:t>
          </w:r>
        </w:p>
        <w:p w14:paraId="77B9E8B7" w14:textId="1884F8D5"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r>
            <w:fldChar w:fldCharType="begin"/>
          </w:r>
          <w:r>
            <w:instrText xml:space="preserve"> TOC \o "1-3" \h \z \u </w:instrText>
          </w:r>
          <w:r>
            <w:fldChar w:fldCharType="separate"/>
          </w:r>
          <w:hyperlink w:anchor="_Toc222915333" w:history="1">
            <w:r w:rsidRPr="00917854">
              <w:rPr>
                <w:rStyle w:val="Hipervnculo"/>
                <w:noProof/>
              </w:rPr>
              <w:t>1.1 Contexto y justificación del trabajo</w:t>
            </w:r>
            <w:r>
              <w:rPr>
                <w:noProof/>
                <w:webHidden/>
              </w:rPr>
              <w:tab/>
            </w:r>
            <w:r>
              <w:rPr>
                <w:noProof/>
                <w:webHidden/>
              </w:rPr>
              <w:fldChar w:fldCharType="begin"/>
            </w:r>
            <w:r>
              <w:rPr>
                <w:noProof/>
                <w:webHidden/>
              </w:rPr>
              <w:instrText xml:space="preserve"> PAGEREF _Toc222915333 \h </w:instrText>
            </w:r>
            <w:r>
              <w:rPr>
                <w:noProof/>
                <w:webHidden/>
              </w:rPr>
            </w:r>
            <w:r>
              <w:rPr>
                <w:noProof/>
                <w:webHidden/>
              </w:rPr>
              <w:fldChar w:fldCharType="separate"/>
            </w:r>
            <w:r>
              <w:rPr>
                <w:noProof/>
                <w:webHidden/>
              </w:rPr>
              <w:t>7</w:t>
            </w:r>
            <w:r>
              <w:rPr>
                <w:noProof/>
                <w:webHidden/>
              </w:rPr>
              <w:fldChar w:fldCharType="end"/>
            </w:r>
          </w:hyperlink>
        </w:p>
        <w:p w14:paraId="3221BF19" w14:textId="5543067E" w:rsidR="004331B9" w:rsidRDefault="004331B9">
          <w:pPr>
            <w:pStyle w:val="TDC3"/>
            <w:tabs>
              <w:tab w:val="right" w:leader="dot" w:pos="8656"/>
            </w:tabs>
            <w:rPr>
              <w:rFonts w:asciiTheme="minorHAnsi" w:eastAsiaTheme="minorEastAsia" w:hAnsiTheme="minorHAnsi" w:cstheme="minorBidi"/>
              <w:noProof/>
            </w:rPr>
          </w:pPr>
          <w:hyperlink w:anchor="_Toc222915334" w:history="1">
            <w:r w:rsidRPr="00917854">
              <w:rPr>
                <w:rStyle w:val="Hipervnculo"/>
                <w:noProof/>
              </w:rPr>
              <w:t>1.1.1 Situación actual de la supervivencia en cáncer</w:t>
            </w:r>
            <w:r>
              <w:rPr>
                <w:noProof/>
                <w:webHidden/>
              </w:rPr>
              <w:tab/>
            </w:r>
            <w:r>
              <w:rPr>
                <w:noProof/>
                <w:webHidden/>
              </w:rPr>
              <w:fldChar w:fldCharType="begin"/>
            </w:r>
            <w:r>
              <w:rPr>
                <w:noProof/>
                <w:webHidden/>
              </w:rPr>
              <w:instrText xml:space="preserve"> PAGEREF _Toc222915334 \h </w:instrText>
            </w:r>
            <w:r>
              <w:rPr>
                <w:noProof/>
                <w:webHidden/>
              </w:rPr>
            </w:r>
            <w:r>
              <w:rPr>
                <w:noProof/>
                <w:webHidden/>
              </w:rPr>
              <w:fldChar w:fldCharType="separate"/>
            </w:r>
            <w:r>
              <w:rPr>
                <w:noProof/>
                <w:webHidden/>
              </w:rPr>
              <w:t>7</w:t>
            </w:r>
            <w:r>
              <w:rPr>
                <w:noProof/>
                <w:webHidden/>
              </w:rPr>
              <w:fldChar w:fldCharType="end"/>
            </w:r>
          </w:hyperlink>
        </w:p>
        <w:p w14:paraId="53ACFD6B" w14:textId="63630282" w:rsidR="004331B9" w:rsidRDefault="004331B9">
          <w:pPr>
            <w:pStyle w:val="TDC3"/>
            <w:tabs>
              <w:tab w:val="right" w:leader="dot" w:pos="8656"/>
            </w:tabs>
            <w:rPr>
              <w:rFonts w:asciiTheme="minorHAnsi" w:eastAsiaTheme="minorEastAsia" w:hAnsiTheme="minorHAnsi" w:cstheme="minorBidi"/>
              <w:noProof/>
            </w:rPr>
          </w:pPr>
          <w:hyperlink w:anchor="_Toc222915335" w:history="1">
            <w:r w:rsidRPr="00917854">
              <w:rPr>
                <w:rStyle w:val="Hipervnculo"/>
                <w:noProof/>
              </w:rPr>
              <w:t>1.1.2 Relevancia del análisis de supervivencia en oncología</w:t>
            </w:r>
            <w:r>
              <w:rPr>
                <w:noProof/>
                <w:webHidden/>
              </w:rPr>
              <w:tab/>
            </w:r>
            <w:r>
              <w:rPr>
                <w:noProof/>
                <w:webHidden/>
              </w:rPr>
              <w:fldChar w:fldCharType="begin"/>
            </w:r>
            <w:r>
              <w:rPr>
                <w:noProof/>
                <w:webHidden/>
              </w:rPr>
              <w:instrText xml:space="preserve"> PAGEREF _Toc222915335 \h </w:instrText>
            </w:r>
            <w:r>
              <w:rPr>
                <w:noProof/>
                <w:webHidden/>
              </w:rPr>
            </w:r>
            <w:r>
              <w:rPr>
                <w:noProof/>
                <w:webHidden/>
              </w:rPr>
              <w:fldChar w:fldCharType="separate"/>
            </w:r>
            <w:r>
              <w:rPr>
                <w:noProof/>
                <w:webHidden/>
              </w:rPr>
              <w:t>8</w:t>
            </w:r>
            <w:r>
              <w:rPr>
                <w:noProof/>
                <w:webHidden/>
              </w:rPr>
              <w:fldChar w:fldCharType="end"/>
            </w:r>
          </w:hyperlink>
        </w:p>
        <w:p w14:paraId="2E82DBD2" w14:textId="6F4416E6" w:rsidR="004331B9" w:rsidRDefault="004331B9">
          <w:pPr>
            <w:pStyle w:val="TDC3"/>
            <w:tabs>
              <w:tab w:val="right" w:leader="dot" w:pos="8656"/>
            </w:tabs>
            <w:rPr>
              <w:rFonts w:asciiTheme="minorHAnsi" w:eastAsiaTheme="minorEastAsia" w:hAnsiTheme="minorHAnsi" w:cstheme="minorBidi"/>
              <w:noProof/>
            </w:rPr>
          </w:pPr>
          <w:hyperlink w:anchor="_Toc222915336" w:history="1">
            <w:r w:rsidRPr="00917854">
              <w:rPr>
                <w:rStyle w:val="Hipervnculo"/>
                <w:noProof/>
              </w:rPr>
              <w:t>1.1.3 Papel de los factores genéticos en el pronóstico oncológico</w:t>
            </w:r>
            <w:r>
              <w:rPr>
                <w:noProof/>
                <w:webHidden/>
              </w:rPr>
              <w:tab/>
            </w:r>
            <w:r>
              <w:rPr>
                <w:noProof/>
                <w:webHidden/>
              </w:rPr>
              <w:fldChar w:fldCharType="begin"/>
            </w:r>
            <w:r>
              <w:rPr>
                <w:noProof/>
                <w:webHidden/>
              </w:rPr>
              <w:instrText xml:space="preserve"> PAGEREF _Toc222915336 \h </w:instrText>
            </w:r>
            <w:r>
              <w:rPr>
                <w:noProof/>
                <w:webHidden/>
              </w:rPr>
            </w:r>
            <w:r>
              <w:rPr>
                <w:noProof/>
                <w:webHidden/>
              </w:rPr>
              <w:fldChar w:fldCharType="separate"/>
            </w:r>
            <w:r>
              <w:rPr>
                <w:noProof/>
                <w:webHidden/>
              </w:rPr>
              <w:t>8</w:t>
            </w:r>
            <w:r>
              <w:rPr>
                <w:noProof/>
                <w:webHidden/>
              </w:rPr>
              <w:fldChar w:fldCharType="end"/>
            </w:r>
          </w:hyperlink>
        </w:p>
        <w:p w14:paraId="6D37DAFB" w14:textId="4A0116A3" w:rsidR="004331B9" w:rsidRDefault="004331B9">
          <w:pPr>
            <w:pStyle w:val="TDC3"/>
            <w:tabs>
              <w:tab w:val="right" w:leader="dot" w:pos="8656"/>
            </w:tabs>
            <w:rPr>
              <w:rFonts w:asciiTheme="minorHAnsi" w:eastAsiaTheme="minorEastAsia" w:hAnsiTheme="minorHAnsi" w:cstheme="minorBidi"/>
              <w:noProof/>
            </w:rPr>
          </w:pPr>
          <w:hyperlink w:anchor="_Toc222915337" w:history="1">
            <w:r w:rsidRPr="00917854">
              <w:rPr>
                <w:rStyle w:val="Hipervnculo"/>
                <w:noProof/>
              </w:rPr>
              <w:t>1.1.4 Limitaciones actuales en modelos predictivos</w:t>
            </w:r>
            <w:r>
              <w:rPr>
                <w:noProof/>
                <w:webHidden/>
              </w:rPr>
              <w:tab/>
            </w:r>
            <w:r>
              <w:rPr>
                <w:noProof/>
                <w:webHidden/>
              </w:rPr>
              <w:fldChar w:fldCharType="begin"/>
            </w:r>
            <w:r>
              <w:rPr>
                <w:noProof/>
                <w:webHidden/>
              </w:rPr>
              <w:instrText xml:space="preserve"> PAGEREF _Toc222915337 \h </w:instrText>
            </w:r>
            <w:r>
              <w:rPr>
                <w:noProof/>
                <w:webHidden/>
              </w:rPr>
            </w:r>
            <w:r>
              <w:rPr>
                <w:noProof/>
                <w:webHidden/>
              </w:rPr>
              <w:fldChar w:fldCharType="separate"/>
            </w:r>
            <w:r>
              <w:rPr>
                <w:noProof/>
                <w:webHidden/>
              </w:rPr>
              <w:t>8</w:t>
            </w:r>
            <w:r>
              <w:rPr>
                <w:noProof/>
                <w:webHidden/>
              </w:rPr>
              <w:fldChar w:fldCharType="end"/>
            </w:r>
          </w:hyperlink>
        </w:p>
        <w:p w14:paraId="12D8CB45" w14:textId="0C8D599A" w:rsidR="004331B9" w:rsidRDefault="004331B9">
          <w:pPr>
            <w:pStyle w:val="TDC3"/>
            <w:tabs>
              <w:tab w:val="right" w:leader="dot" w:pos="8656"/>
            </w:tabs>
            <w:rPr>
              <w:rFonts w:asciiTheme="minorHAnsi" w:eastAsiaTheme="minorEastAsia" w:hAnsiTheme="minorHAnsi" w:cstheme="minorBidi"/>
              <w:noProof/>
            </w:rPr>
          </w:pPr>
          <w:hyperlink w:anchor="_Toc222915338" w:history="1">
            <w:r w:rsidRPr="00917854">
              <w:rPr>
                <w:rStyle w:val="Hipervnculo"/>
                <w:noProof/>
              </w:rPr>
              <w:t>1.1.5 Propuesta concreta de tipos de cáncer y justificación</w:t>
            </w:r>
            <w:r>
              <w:rPr>
                <w:noProof/>
                <w:webHidden/>
              </w:rPr>
              <w:tab/>
            </w:r>
            <w:r>
              <w:rPr>
                <w:noProof/>
                <w:webHidden/>
              </w:rPr>
              <w:fldChar w:fldCharType="begin"/>
            </w:r>
            <w:r>
              <w:rPr>
                <w:noProof/>
                <w:webHidden/>
              </w:rPr>
              <w:instrText xml:space="preserve"> PAGEREF _Toc222915338 \h </w:instrText>
            </w:r>
            <w:r>
              <w:rPr>
                <w:noProof/>
                <w:webHidden/>
              </w:rPr>
            </w:r>
            <w:r>
              <w:rPr>
                <w:noProof/>
                <w:webHidden/>
              </w:rPr>
              <w:fldChar w:fldCharType="separate"/>
            </w:r>
            <w:r>
              <w:rPr>
                <w:noProof/>
                <w:webHidden/>
              </w:rPr>
              <w:t>9</w:t>
            </w:r>
            <w:r>
              <w:rPr>
                <w:noProof/>
                <w:webHidden/>
              </w:rPr>
              <w:fldChar w:fldCharType="end"/>
            </w:r>
          </w:hyperlink>
        </w:p>
        <w:p w14:paraId="21FAC1C0" w14:textId="541F7DB7" w:rsidR="004331B9" w:rsidRDefault="004331B9">
          <w:pPr>
            <w:pStyle w:val="TDC3"/>
            <w:tabs>
              <w:tab w:val="right" w:leader="dot" w:pos="8656"/>
            </w:tabs>
            <w:rPr>
              <w:rFonts w:asciiTheme="minorHAnsi" w:eastAsiaTheme="minorEastAsia" w:hAnsiTheme="minorHAnsi" w:cstheme="minorBidi"/>
              <w:noProof/>
            </w:rPr>
          </w:pPr>
          <w:hyperlink w:anchor="_Toc222915339" w:history="1">
            <w:r w:rsidRPr="00917854">
              <w:rPr>
                <w:rStyle w:val="Hipervnculo"/>
                <w:noProof/>
              </w:rPr>
              <w:t>1.1.6 Datasets propuestos – Tabla comparativa</w:t>
            </w:r>
            <w:r>
              <w:rPr>
                <w:noProof/>
                <w:webHidden/>
              </w:rPr>
              <w:tab/>
            </w:r>
            <w:r>
              <w:rPr>
                <w:noProof/>
                <w:webHidden/>
              </w:rPr>
              <w:fldChar w:fldCharType="begin"/>
            </w:r>
            <w:r>
              <w:rPr>
                <w:noProof/>
                <w:webHidden/>
              </w:rPr>
              <w:instrText xml:space="preserve"> PAGEREF _Toc222915339 \h </w:instrText>
            </w:r>
            <w:r>
              <w:rPr>
                <w:noProof/>
                <w:webHidden/>
              </w:rPr>
            </w:r>
            <w:r>
              <w:rPr>
                <w:noProof/>
                <w:webHidden/>
              </w:rPr>
              <w:fldChar w:fldCharType="separate"/>
            </w:r>
            <w:r>
              <w:rPr>
                <w:noProof/>
                <w:webHidden/>
              </w:rPr>
              <w:t>9</w:t>
            </w:r>
            <w:r>
              <w:rPr>
                <w:noProof/>
                <w:webHidden/>
              </w:rPr>
              <w:fldChar w:fldCharType="end"/>
            </w:r>
          </w:hyperlink>
        </w:p>
        <w:p w14:paraId="2BE7B89F" w14:textId="7091880E" w:rsidR="004331B9" w:rsidRDefault="004331B9">
          <w:pPr>
            <w:pStyle w:val="TDC3"/>
            <w:tabs>
              <w:tab w:val="right" w:leader="dot" w:pos="8656"/>
            </w:tabs>
            <w:rPr>
              <w:rFonts w:asciiTheme="minorHAnsi" w:eastAsiaTheme="minorEastAsia" w:hAnsiTheme="minorHAnsi" w:cstheme="minorBidi"/>
              <w:noProof/>
            </w:rPr>
          </w:pPr>
          <w:hyperlink w:anchor="_Toc222915340" w:history="1">
            <w:r w:rsidRPr="00917854">
              <w:rPr>
                <w:rStyle w:val="Hipervnculo"/>
                <w:noProof/>
              </w:rPr>
              <w:t>1.1.7 Referencias científicas sugeridas</w:t>
            </w:r>
            <w:r>
              <w:rPr>
                <w:noProof/>
                <w:webHidden/>
              </w:rPr>
              <w:tab/>
            </w:r>
            <w:r>
              <w:rPr>
                <w:noProof/>
                <w:webHidden/>
              </w:rPr>
              <w:fldChar w:fldCharType="begin"/>
            </w:r>
            <w:r>
              <w:rPr>
                <w:noProof/>
                <w:webHidden/>
              </w:rPr>
              <w:instrText xml:space="preserve"> PAGEREF _Toc222915340 \h </w:instrText>
            </w:r>
            <w:r>
              <w:rPr>
                <w:noProof/>
                <w:webHidden/>
              </w:rPr>
            </w:r>
            <w:r>
              <w:rPr>
                <w:noProof/>
                <w:webHidden/>
              </w:rPr>
              <w:fldChar w:fldCharType="separate"/>
            </w:r>
            <w:r>
              <w:rPr>
                <w:noProof/>
                <w:webHidden/>
              </w:rPr>
              <w:t>10</w:t>
            </w:r>
            <w:r>
              <w:rPr>
                <w:noProof/>
                <w:webHidden/>
              </w:rPr>
              <w:fldChar w:fldCharType="end"/>
            </w:r>
          </w:hyperlink>
        </w:p>
        <w:p w14:paraId="73A26561" w14:textId="6E9BFBAC"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41" w:history="1">
            <w:r w:rsidRPr="00917854">
              <w:rPr>
                <w:rStyle w:val="Hipervnculo"/>
                <w:noProof/>
              </w:rPr>
              <w:t>1.2 Objetivos del trabajo</w:t>
            </w:r>
            <w:r>
              <w:rPr>
                <w:noProof/>
                <w:webHidden/>
              </w:rPr>
              <w:tab/>
            </w:r>
            <w:r>
              <w:rPr>
                <w:noProof/>
                <w:webHidden/>
              </w:rPr>
              <w:fldChar w:fldCharType="begin"/>
            </w:r>
            <w:r>
              <w:rPr>
                <w:noProof/>
                <w:webHidden/>
              </w:rPr>
              <w:instrText xml:space="preserve"> PAGEREF _Toc222915341 \h </w:instrText>
            </w:r>
            <w:r>
              <w:rPr>
                <w:noProof/>
                <w:webHidden/>
              </w:rPr>
            </w:r>
            <w:r>
              <w:rPr>
                <w:noProof/>
                <w:webHidden/>
              </w:rPr>
              <w:fldChar w:fldCharType="separate"/>
            </w:r>
            <w:r>
              <w:rPr>
                <w:noProof/>
                <w:webHidden/>
              </w:rPr>
              <w:t>12</w:t>
            </w:r>
            <w:r>
              <w:rPr>
                <w:noProof/>
                <w:webHidden/>
              </w:rPr>
              <w:fldChar w:fldCharType="end"/>
            </w:r>
          </w:hyperlink>
        </w:p>
        <w:p w14:paraId="38182E3A" w14:textId="5BC6C712" w:rsidR="004331B9" w:rsidRDefault="004331B9">
          <w:pPr>
            <w:pStyle w:val="TDC3"/>
            <w:tabs>
              <w:tab w:val="right" w:leader="dot" w:pos="8656"/>
            </w:tabs>
            <w:rPr>
              <w:rFonts w:asciiTheme="minorHAnsi" w:eastAsiaTheme="minorEastAsia" w:hAnsiTheme="minorHAnsi" w:cstheme="minorBidi"/>
              <w:noProof/>
            </w:rPr>
          </w:pPr>
          <w:hyperlink w:anchor="_Toc222915342" w:history="1">
            <w:r w:rsidRPr="00917854">
              <w:rPr>
                <w:rStyle w:val="Hipervnculo"/>
                <w:noProof/>
              </w:rPr>
              <w:t>Objetivo general</w:t>
            </w:r>
            <w:r>
              <w:rPr>
                <w:noProof/>
                <w:webHidden/>
              </w:rPr>
              <w:tab/>
            </w:r>
            <w:r>
              <w:rPr>
                <w:noProof/>
                <w:webHidden/>
              </w:rPr>
              <w:fldChar w:fldCharType="begin"/>
            </w:r>
            <w:r>
              <w:rPr>
                <w:noProof/>
                <w:webHidden/>
              </w:rPr>
              <w:instrText xml:space="preserve"> PAGEREF _Toc222915342 \h </w:instrText>
            </w:r>
            <w:r>
              <w:rPr>
                <w:noProof/>
                <w:webHidden/>
              </w:rPr>
            </w:r>
            <w:r>
              <w:rPr>
                <w:noProof/>
                <w:webHidden/>
              </w:rPr>
              <w:fldChar w:fldCharType="separate"/>
            </w:r>
            <w:r>
              <w:rPr>
                <w:noProof/>
                <w:webHidden/>
              </w:rPr>
              <w:t>12</w:t>
            </w:r>
            <w:r>
              <w:rPr>
                <w:noProof/>
                <w:webHidden/>
              </w:rPr>
              <w:fldChar w:fldCharType="end"/>
            </w:r>
          </w:hyperlink>
        </w:p>
        <w:p w14:paraId="12B247CE" w14:textId="7F54140E" w:rsidR="004331B9" w:rsidRDefault="004331B9">
          <w:pPr>
            <w:pStyle w:val="TDC3"/>
            <w:tabs>
              <w:tab w:val="right" w:leader="dot" w:pos="8656"/>
            </w:tabs>
            <w:rPr>
              <w:rFonts w:asciiTheme="minorHAnsi" w:eastAsiaTheme="minorEastAsia" w:hAnsiTheme="minorHAnsi" w:cstheme="minorBidi"/>
              <w:noProof/>
            </w:rPr>
          </w:pPr>
          <w:hyperlink w:anchor="_Toc222915343" w:history="1">
            <w:r w:rsidRPr="00917854">
              <w:rPr>
                <w:rStyle w:val="Hipervnculo"/>
                <w:noProof/>
              </w:rPr>
              <w:t>Objetivos específicos</w:t>
            </w:r>
            <w:r>
              <w:rPr>
                <w:noProof/>
                <w:webHidden/>
              </w:rPr>
              <w:tab/>
            </w:r>
            <w:r>
              <w:rPr>
                <w:noProof/>
                <w:webHidden/>
              </w:rPr>
              <w:fldChar w:fldCharType="begin"/>
            </w:r>
            <w:r>
              <w:rPr>
                <w:noProof/>
                <w:webHidden/>
              </w:rPr>
              <w:instrText xml:space="preserve"> PAGEREF _Toc222915343 \h </w:instrText>
            </w:r>
            <w:r>
              <w:rPr>
                <w:noProof/>
                <w:webHidden/>
              </w:rPr>
            </w:r>
            <w:r>
              <w:rPr>
                <w:noProof/>
                <w:webHidden/>
              </w:rPr>
              <w:fldChar w:fldCharType="separate"/>
            </w:r>
            <w:r>
              <w:rPr>
                <w:noProof/>
                <w:webHidden/>
              </w:rPr>
              <w:t>12</w:t>
            </w:r>
            <w:r>
              <w:rPr>
                <w:noProof/>
                <w:webHidden/>
              </w:rPr>
              <w:fldChar w:fldCharType="end"/>
            </w:r>
          </w:hyperlink>
        </w:p>
        <w:p w14:paraId="5C79706B" w14:textId="260FA9AD"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44" w:history="1">
            <w:r w:rsidRPr="00917854">
              <w:rPr>
                <w:rStyle w:val="Hipervnculo"/>
                <w:noProof/>
              </w:rPr>
              <w:t>1.3 Impacto en sostenibilidad, ético-social y diversidad</w:t>
            </w:r>
            <w:r>
              <w:rPr>
                <w:noProof/>
                <w:webHidden/>
              </w:rPr>
              <w:tab/>
            </w:r>
            <w:r>
              <w:rPr>
                <w:noProof/>
                <w:webHidden/>
              </w:rPr>
              <w:fldChar w:fldCharType="begin"/>
            </w:r>
            <w:r>
              <w:rPr>
                <w:noProof/>
                <w:webHidden/>
              </w:rPr>
              <w:instrText xml:space="preserve"> PAGEREF _Toc222915344 \h </w:instrText>
            </w:r>
            <w:r>
              <w:rPr>
                <w:noProof/>
                <w:webHidden/>
              </w:rPr>
            </w:r>
            <w:r>
              <w:rPr>
                <w:noProof/>
                <w:webHidden/>
              </w:rPr>
              <w:fldChar w:fldCharType="separate"/>
            </w:r>
            <w:r>
              <w:rPr>
                <w:noProof/>
                <w:webHidden/>
              </w:rPr>
              <w:t>13</w:t>
            </w:r>
            <w:r>
              <w:rPr>
                <w:noProof/>
                <w:webHidden/>
              </w:rPr>
              <w:fldChar w:fldCharType="end"/>
            </w:r>
          </w:hyperlink>
        </w:p>
        <w:p w14:paraId="39DA96C2" w14:textId="49169F07" w:rsidR="004331B9" w:rsidRDefault="004331B9">
          <w:pPr>
            <w:pStyle w:val="TDC3"/>
            <w:tabs>
              <w:tab w:val="right" w:leader="dot" w:pos="8656"/>
            </w:tabs>
            <w:rPr>
              <w:rFonts w:asciiTheme="minorHAnsi" w:eastAsiaTheme="minorEastAsia" w:hAnsiTheme="minorHAnsi" w:cstheme="minorBidi"/>
              <w:noProof/>
            </w:rPr>
          </w:pPr>
          <w:hyperlink w:anchor="_Toc222915345" w:history="1">
            <w:r w:rsidRPr="00917854">
              <w:rPr>
                <w:rStyle w:val="Hipervnculo"/>
                <w:noProof/>
              </w:rPr>
              <w:t>1.3.1 Impacto ético del uso de datos genéticos</w:t>
            </w:r>
            <w:r>
              <w:rPr>
                <w:noProof/>
                <w:webHidden/>
              </w:rPr>
              <w:tab/>
            </w:r>
            <w:r>
              <w:rPr>
                <w:noProof/>
                <w:webHidden/>
              </w:rPr>
              <w:fldChar w:fldCharType="begin"/>
            </w:r>
            <w:r>
              <w:rPr>
                <w:noProof/>
                <w:webHidden/>
              </w:rPr>
              <w:instrText xml:space="preserve"> PAGEREF _Toc222915345 \h </w:instrText>
            </w:r>
            <w:r>
              <w:rPr>
                <w:noProof/>
                <w:webHidden/>
              </w:rPr>
            </w:r>
            <w:r>
              <w:rPr>
                <w:noProof/>
                <w:webHidden/>
              </w:rPr>
              <w:fldChar w:fldCharType="separate"/>
            </w:r>
            <w:r>
              <w:rPr>
                <w:noProof/>
                <w:webHidden/>
              </w:rPr>
              <w:t>13</w:t>
            </w:r>
            <w:r>
              <w:rPr>
                <w:noProof/>
                <w:webHidden/>
              </w:rPr>
              <w:fldChar w:fldCharType="end"/>
            </w:r>
          </w:hyperlink>
        </w:p>
        <w:p w14:paraId="11D65ACF" w14:textId="5C41A774" w:rsidR="004331B9" w:rsidRDefault="004331B9">
          <w:pPr>
            <w:pStyle w:val="TDC3"/>
            <w:tabs>
              <w:tab w:val="right" w:leader="dot" w:pos="8656"/>
            </w:tabs>
            <w:rPr>
              <w:rFonts w:asciiTheme="minorHAnsi" w:eastAsiaTheme="minorEastAsia" w:hAnsiTheme="minorHAnsi" w:cstheme="minorBidi"/>
              <w:noProof/>
            </w:rPr>
          </w:pPr>
          <w:hyperlink w:anchor="_Toc222915346" w:history="1">
            <w:r w:rsidRPr="00917854">
              <w:rPr>
                <w:rStyle w:val="Hipervnculo"/>
                <w:noProof/>
              </w:rPr>
              <w:t>1.3.2 Protección de datos y privacidad</w:t>
            </w:r>
            <w:r>
              <w:rPr>
                <w:noProof/>
                <w:webHidden/>
              </w:rPr>
              <w:tab/>
            </w:r>
            <w:r>
              <w:rPr>
                <w:noProof/>
                <w:webHidden/>
              </w:rPr>
              <w:fldChar w:fldCharType="begin"/>
            </w:r>
            <w:r>
              <w:rPr>
                <w:noProof/>
                <w:webHidden/>
              </w:rPr>
              <w:instrText xml:space="preserve"> PAGEREF _Toc222915346 \h </w:instrText>
            </w:r>
            <w:r>
              <w:rPr>
                <w:noProof/>
                <w:webHidden/>
              </w:rPr>
            </w:r>
            <w:r>
              <w:rPr>
                <w:noProof/>
                <w:webHidden/>
              </w:rPr>
              <w:fldChar w:fldCharType="separate"/>
            </w:r>
            <w:r>
              <w:rPr>
                <w:noProof/>
                <w:webHidden/>
              </w:rPr>
              <w:t>13</w:t>
            </w:r>
            <w:r>
              <w:rPr>
                <w:noProof/>
                <w:webHidden/>
              </w:rPr>
              <w:fldChar w:fldCharType="end"/>
            </w:r>
          </w:hyperlink>
        </w:p>
        <w:p w14:paraId="676671DE" w14:textId="2F88FC84" w:rsidR="004331B9" w:rsidRDefault="004331B9">
          <w:pPr>
            <w:pStyle w:val="TDC3"/>
            <w:tabs>
              <w:tab w:val="right" w:leader="dot" w:pos="8656"/>
            </w:tabs>
            <w:rPr>
              <w:rFonts w:asciiTheme="minorHAnsi" w:eastAsiaTheme="minorEastAsia" w:hAnsiTheme="minorHAnsi" w:cstheme="minorBidi"/>
              <w:noProof/>
            </w:rPr>
          </w:pPr>
          <w:hyperlink w:anchor="_Toc222915347" w:history="1">
            <w:r w:rsidRPr="00917854">
              <w:rPr>
                <w:rStyle w:val="Hipervnculo"/>
                <w:noProof/>
              </w:rPr>
              <w:t>1.3.3 Sesgos en datasets biomédicos y equidad sanitaria</w:t>
            </w:r>
            <w:r>
              <w:rPr>
                <w:noProof/>
                <w:webHidden/>
              </w:rPr>
              <w:tab/>
            </w:r>
            <w:r>
              <w:rPr>
                <w:noProof/>
                <w:webHidden/>
              </w:rPr>
              <w:fldChar w:fldCharType="begin"/>
            </w:r>
            <w:r>
              <w:rPr>
                <w:noProof/>
                <w:webHidden/>
              </w:rPr>
              <w:instrText xml:space="preserve"> PAGEREF _Toc222915347 \h </w:instrText>
            </w:r>
            <w:r>
              <w:rPr>
                <w:noProof/>
                <w:webHidden/>
              </w:rPr>
            </w:r>
            <w:r>
              <w:rPr>
                <w:noProof/>
                <w:webHidden/>
              </w:rPr>
              <w:fldChar w:fldCharType="separate"/>
            </w:r>
            <w:r>
              <w:rPr>
                <w:noProof/>
                <w:webHidden/>
              </w:rPr>
              <w:t>13</w:t>
            </w:r>
            <w:r>
              <w:rPr>
                <w:noProof/>
                <w:webHidden/>
              </w:rPr>
              <w:fldChar w:fldCharType="end"/>
            </w:r>
          </w:hyperlink>
        </w:p>
        <w:p w14:paraId="602B341A" w14:textId="1A83799D" w:rsidR="004331B9" w:rsidRDefault="004331B9">
          <w:pPr>
            <w:pStyle w:val="TDC3"/>
            <w:tabs>
              <w:tab w:val="right" w:leader="dot" w:pos="8656"/>
            </w:tabs>
            <w:rPr>
              <w:rFonts w:asciiTheme="minorHAnsi" w:eastAsiaTheme="minorEastAsia" w:hAnsiTheme="minorHAnsi" w:cstheme="minorBidi"/>
              <w:noProof/>
            </w:rPr>
          </w:pPr>
          <w:hyperlink w:anchor="_Toc222915348" w:history="1">
            <w:r w:rsidRPr="00917854">
              <w:rPr>
                <w:rStyle w:val="Hipervnculo"/>
                <w:noProof/>
              </w:rPr>
              <w:t>1.3.4 Relevancia social del trabajo</w:t>
            </w:r>
            <w:r>
              <w:rPr>
                <w:noProof/>
                <w:webHidden/>
              </w:rPr>
              <w:tab/>
            </w:r>
            <w:r>
              <w:rPr>
                <w:noProof/>
                <w:webHidden/>
              </w:rPr>
              <w:fldChar w:fldCharType="begin"/>
            </w:r>
            <w:r>
              <w:rPr>
                <w:noProof/>
                <w:webHidden/>
              </w:rPr>
              <w:instrText xml:space="preserve"> PAGEREF _Toc222915348 \h </w:instrText>
            </w:r>
            <w:r>
              <w:rPr>
                <w:noProof/>
                <w:webHidden/>
              </w:rPr>
            </w:r>
            <w:r>
              <w:rPr>
                <w:noProof/>
                <w:webHidden/>
              </w:rPr>
              <w:fldChar w:fldCharType="separate"/>
            </w:r>
            <w:r>
              <w:rPr>
                <w:noProof/>
                <w:webHidden/>
              </w:rPr>
              <w:t>14</w:t>
            </w:r>
            <w:r>
              <w:rPr>
                <w:noProof/>
                <w:webHidden/>
              </w:rPr>
              <w:fldChar w:fldCharType="end"/>
            </w:r>
          </w:hyperlink>
        </w:p>
        <w:p w14:paraId="747ABD35" w14:textId="496853C9" w:rsidR="004331B9" w:rsidRDefault="004331B9">
          <w:pPr>
            <w:pStyle w:val="TDC3"/>
            <w:tabs>
              <w:tab w:val="right" w:leader="dot" w:pos="8656"/>
            </w:tabs>
            <w:rPr>
              <w:rFonts w:asciiTheme="minorHAnsi" w:eastAsiaTheme="minorEastAsia" w:hAnsiTheme="minorHAnsi" w:cstheme="minorBidi"/>
              <w:noProof/>
            </w:rPr>
          </w:pPr>
          <w:hyperlink w:anchor="_Toc222915349" w:history="1">
            <w:r w:rsidRPr="00917854">
              <w:rPr>
                <w:rStyle w:val="Hipervnculo"/>
                <w:noProof/>
              </w:rPr>
              <w:t>1.3.5 Protocolo ético y protección de datos</w:t>
            </w:r>
            <w:r>
              <w:rPr>
                <w:noProof/>
                <w:webHidden/>
              </w:rPr>
              <w:tab/>
            </w:r>
            <w:r>
              <w:rPr>
                <w:noProof/>
                <w:webHidden/>
              </w:rPr>
              <w:fldChar w:fldCharType="begin"/>
            </w:r>
            <w:r>
              <w:rPr>
                <w:noProof/>
                <w:webHidden/>
              </w:rPr>
              <w:instrText xml:space="preserve"> PAGEREF _Toc222915349 \h </w:instrText>
            </w:r>
            <w:r>
              <w:rPr>
                <w:noProof/>
                <w:webHidden/>
              </w:rPr>
            </w:r>
            <w:r>
              <w:rPr>
                <w:noProof/>
                <w:webHidden/>
              </w:rPr>
              <w:fldChar w:fldCharType="separate"/>
            </w:r>
            <w:r>
              <w:rPr>
                <w:noProof/>
                <w:webHidden/>
              </w:rPr>
              <w:t>14</w:t>
            </w:r>
            <w:r>
              <w:rPr>
                <w:noProof/>
                <w:webHidden/>
              </w:rPr>
              <w:fldChar w:fldCharType="end"/>
            </w:r>
          </w:hyperlink>
        </w:p>
        <w:p w14:paraId="23B98C72" w14:textId="30E33B0A"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50" w:history="1">
            <w:r w:rsidRPr="00917854">
              <w:rPr>
                <w:rStyle w:val="Hipervnculo"/>
                <w:noProof/>
              </w:rPr>
              <w:t>1.4 Enfoque y método seguido</w:t>
            </w:r>
            <w:r>
              <w:rPr>
                <w:noProof/>
                <w:webHidden/>
              </w:rPr>
              <w:tab/>
            </w:r>
            <w:r>
              <w:rPr>
                <w:noProof/>
                <w:webHidden/>
              </w:rPr>
              <w:fldChar w:fldCharType="begin"/>
            </w:r>
            <w:r>
              <w:rPr>
                <w:noProof/>
                <w:webHidden/>
              </w:rPr>
              <w:instrText xml:space="preserve"> PAGEREF _Toc222915350 \h </w:instrText>
            </w:r>
            <w:r>
              <w:rPr>
                <w:noProof/>
                <w:webHidden/>
              </w:rPr>
            </w:r>
            <w:r>
              <w:rPr>
                <w:noProof/>
                <w:webHidden/>
              </w:rPr>
              <w:fldChar w:fldCharType="separate"/>
            </w:r>
            <w:r>
              <w:rPr>
                <w:noProof/>
                <w:webHidden/>
              </w:rPr>
              <w:t>15</w:t>
            </w:r>
            <w:r>
              <w:rPr>
                <w:noProof/>
                <w:webHidden/>
              </w:rPr>
              <w:fldChar w:fldCharType="end"/>
            </w:r>
          </w:hyperlink>
        </w:p>
        <w:p w14:paraId="204DC45D" w14:textId="467456BA" w:rsidR="004331B9" w:rsidRDefault="004331B9">
          <w:pPr>
            <w:pStyle w:val="TDC3"/>
            <w:tabs>
              <w:tab w:val="right" w:leader="dot" w:pos="8656"/>
            </w:tabs>
            <w:rPr>
              <w:rFonts w:asciiTheme="minorHAnsi" w:eastAsiaTheme="minorEastAsia" w:hAnsiTheme="minorHAnsi" w:cstheme="minorBidi"/>
              <w:noProof/>
            </w:rPr>
          </w:pPr>
          <w:hyperlink w:anchor="_Toc222915351" w:history="1">
            <w:r w:rsidRPr="00917854">
              <w:rPr>
                <w:rStyle w:val="Hipervnculo"/>
                <w:noProof/>
              </w:rPr>
              <w:t>1.4.1 Tipo de estudio</w:t>
            </w:r>
            <w:r>
              <w:rPr>
                <w:noProof/>
                <w:webHidden/>
              </w:rPr>
              <w:tab/>
            </w:r>
            <w:r>
              <w:rPr>
                <w:noProof/>
                <w:webHidden/>
              </w:rPr>
              <w:fldChar w:fldCharType="begin"/>
            </w:r>
            <w:r>
              <w:rPr>
                <w:noProof/>
                <w:webHidden/>
              </w:rPr>
              <w:instrText xml:space="preserve"> PAGEREF _Toc222915351 \h </w:instrText>
            </w:r>
            <w:r>
              <w:rPr>
                <w:noProof/>
                <w:webHidden/>
              </w:rPr>
            </w:r>
            <w:r>
              <w:rPr>
                <w:noProof/>
                <w:webHidden/>
              </w:rPr>
              <w:fldChar w:fldCharType="separate"/>
            </w:r>
            <w:r>
              <w:rPr>
                <w:noProof/>
                <w:webHidden/>
              </w:rPr>
              <w:t>15</w:t>
            </w:r>
            <w:r>
              <w:rPr>
                <w:noProof/>
                <w:webHidden/>
              </w:rPr>
              <w:fldChar w:fldCharType="end"/>
            </w:r>
          </w:hyperlink>
        </w:p>
        <w:p w14:paraId="6272DA2E" w14:textId="23366EB3" w:rsidR="004331B9" w:rsidRDefault="004331B9">
          <w:pPr>
            <w:pStyle w:val="TDC3"/>
            <w:tabs>
              <w:tab w:val="right" w:leader="dot" w:pos="8656"/>
            </w:tabs>
            <w:rPr>
              <w:rFonts w:asciiTheme="minorHAnsi" w:eastAsiaTheme="minorEastAsia" w:hAnsiTheme="minorHAnsi" w:cstheme="minorBidi"/>
              <w:noProof/>
            </w:rPr>
          </w:pPr>
          <w:hyperlink w:anchor="_Toc222915352" w:history="1">
            <w:r w:rsidRPr="00917854">
              <w:rPr>
                <w:rStyle w:val="Hipervnculo"/>
                <w:noProof/>
              </w:rPr>
              <w:t>1.4.2 Pipeline metodológico</w:t>
            </w:r>
            <w:r>
              <w:rPr>
                <w:noProof/>
                <w:webHidden/>
              </w:rPr>
              <w:tab/>
            </w:r>
            <w:r>
              <w:rPr>
                <w:noProof/>
                <w:webHidden/>
              </w:rPr>
              <w:fldChar w:fldCharType="begin"/>
            </w:r>
            <w:r>
              <w:rPr>
                <w:noProof/>
                <w:webHidden/>
              </w:rPr>
              <w:instrText xml:space="preserve"> PAGEREF _Toc222915352 \h </w:instrText>
            </w:r>
            <w:r>
              <w:rPr>
                <w:noProof/>
                <w:webHidden/>
              </w:rPr>
            </w:r>
            <w:r>
              <w:rPr>
                <w:noProof/>
                <w:webHidden/>
              </w:rPr>
              <w:fldChar w:fldCharType="separate"/>
            </w:r>
            <w:r>
              <w:rPr>
                <w:noProof/>
                <w:webHidden/>
              </w:rPr>
              <w:t>15</w:t>
            </w:r>
            <w:r>
              <w:rPr>
                <w:noProof/>
                <w:webHidden/>
              </w:rPr>
              <w:fldChar w:fldCharType="end"/>
            </w:r>
          </w:hyperlink>
        </w:p>
        <w:p w14:paraId="6B2911F7" w14:textId="5DA4D03C" w:rsidR="004331B9" w:rsidRDefault="004331B9">
          <w:pPr>
            <w:pStyle w:val="TDC3"/>
            <w:tabs>
              <w:tab w:val="right" w:leader="dot" w:pos="8656"/>
            </w:tabs>
            <w:rPr>
              <w:rFonts w:asciiTheme="minorHAnsi" w:eastAsiaTheme="minorEastAsia" w:hAnsiTheme="minorHAnsi" w:cstheme="minorBidi"/>
              <w:noProof/>
            </w:rPr>
          </w:pPr>
          <w:hyperlink w:anchor="_Toc222915353" w:history="1">
            <w:r w:rsidRPr="00917854">
              <w:rPr>
                <w:rStyle w:val="Hipervnculo"/>
                <w:noProof/>
              </w:rPr>
              <w:t>1.4.3 Técnicas de análisis de supervivencia</w:t>
            </w:r>
            <w:r>
              <w:rPr>
                <w:noProof/>
                <w:webHidden/>
              </w:rPr>
              <w:tab/>
            </w:r>
            <w:r>
              <w:rPr>
                <w:noProof/>
                <w:webHidden/>
              </w:rPr>
              <w:fldChar w:fldCharType="begin"/>
            </w:r>
            <w:r>
              <w:rPr>
                <w:noProof/>
                <w:webHidden/>
              </w:rPr>
              <w:instrText xml:space="preserve"> PAGEREF _Toc222915353 \h </w:instrText>
            </w:r>
            <w:r>
              <w:rPr>
                <w:noProof/>
                <w:webHidden/>
              </w:rPr>
            </w:r>
            <w:r>
              <w:rPr>
                <w:noProof/>
                <w:webHidden/>
              </w:rPr>
              <w:fldChar w:fldCharType="separate"/>
            </w:r>
            <w:r>
              <w:rPr>
                <w:noProof/>
                <w:webHidden/>
              </w:rPr>
              <w:t>15</w:t>
            </w:r>
            <w:r>
              <w:rPr>
                <w:noProof/>
                <w:webHidden/>
              </w:rPr>
              <w:fldChar w:fldCharType="end"/>
            </w:r>
          </w:hyperlink>
        </w:p>
        <w:p w14:paraId="21A32938" w14:textId="621736CF" w:rsidR="004331B9" w:rsidRDefault="004331B9">
          <w:pPr>
            <w:pStyle w:val="TDC3"/>
            <w:tabs>
              <w:tab w:val="right" w:leader="dot" w:pos="8656"/>
            </w:tabs>
            <w:rPr>
              <w:rFonts w:asciiTheme="minorHAnsi" w:eastAsiaTheme="minorEastAsia" w:hAnsiTheme="minorHAnsi" w:cstheme="minorBidi"/>
              <w:noProof/>
            </w:rPr>
          </w:pPr>
          <w:hyperlink w:anchor="_Toc222915354" w:history="1">
            <w:r w:rsidRPr="00917854">
              <w:rPr>
                <w:rStyle w:val="Hipervnculo"/>
                <w:noProof/>
              </w:rPr>
              <w:t>1.4.4 Métricas de evaluación</w:t>
            </w:r>
            <w:r>
              <w:rPr>
                <w:noProof/>
                <w:webHidden/>
              </w:rPr>
              <w:tab/>
            </w:r>
            <w:r>
              <w:rPr>
                <w:noProof/>
                <w:webHidden/>
              </w:rPr>
              <w:fldChar w:fldCharType="begin"/>
            </w:r>
            <w:r>
              <w:rPr>
                <w:noProof/>
                <w:webHidden/>
              </w:rPr>
              <w:instrText xml:space="preserve"> PAGEREF _Toc222915354 \h </w:instrText>
            </w:r>
            <w:r>
              <w:rPr>
                <w:noProof/>
                <w:webHidden/>
              </w:rPr>
            </w:r>
            <w:r>
              <w:rPr>
                <w:noProof/>
                <w:webHidden/>
              </w:rPr>
              <w:fldChar w:fldCharType="separate"/>
            </w:r>
            <w:r>
              <w:rPr>
                <w:noProof/>
                <w:webHidden/>
              </w:rPr>
              <w:t>16</w:t>
            </w:r>
            <w:r>
              <w:rPr>
                <w:noProof/>
                <w:webHidden/>
              </w:rPr>
              <w:fldChar w:fldCharType="end"/>
            </w:r>
          </w:hyperlink>
        </w:p>
        <w:p w14:paraId="0B70FFD2" w14:textId="13B08B16"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55" w:history="1">
            <w:r w:rsidRPr="00917854">
              <w:rPr>
                <w:rStyle w:val="Hipervnculo"/>
                <w:noProof/>
              </w:rPr>
              <w:t>1.5 Planificación del trabajo</w:t>
            </w:r>
            <w:r>
              <w:rPr>
                <w:noProof/>
                <w:webHidden/>
              </w:rPr>
              <w:tab/>
            </w:r>
            <w:r>
              <w:rPr>
                <w:noProof/>
                <w:webHidden/>
              </w:rPr>
              <w:fldChar w:fldCharType="begin"/>
            </w:r>
            <w:r>
              <w:rPr>
                <w:noProof/>
                <w:webHidden/>
              </w:rPr>
              <w:instrText xml:space="preserve"> PAGEREF _Toc222915355 \h </w:instrText>
            </w:r>
            <w:r>
              <w:rPr>
                <w:noProof/>
                <w:webHidden/>
              </w:rPr>
            </w:r>
            <w:r>
              <w:rPr>
                <w:noProof/>
                <w:webHidden/>
              </w:rPr>
              <w:fldChar w:fldCharType="separate"/>
            </w:r>
            <w:r>
              <w:rPr>
                <w:noProof/>
                <w:webHidden/>
              </w:rPr>
              <w:t>17</w:t>
            </w:r>
            <w:r>
              <w:rPr>
                <w:noProof/>
                <w:webHidden/>
              </w:rPr>
              <w:fldChar w:fldCharType="end"/>
            </w:r>
          </w:hyperlink>
        </w:p>
        <w:p w14:paraId="0912D0CB" w14:textId="754D30D8" w:rsidR="004331B9" w:rsidRDefault="004331B9">
          <w:pPr>
            <w:pStyle w:val="TDC3"/>
            <w:tabs>
              <w:tab w:val="right" w:leader="dot" w:pos="8656"/>
            </w:tabs>
            <w:rPr>
              <w:rFonts w:asciiTheme="minorHAnsi" w:eastAsiaTheme="minorEastAsia" w:hAnsiTheme="minorHAnsi" w:cstheme="minorBidi"/>
              <w:noProof/>
            </w:rPr>
          </w:pPr>
          <w:hyperlink w:anchor="_Toc222915356" w:history="1">
            <w:r w:rsidRPr="00917854">
              <w:rPr>
                <w:rStyle w:val="Hipervnculo"/>
                <w:noProof/>
              </w:rPr>
              <w:t>1.5.1 Fases, tareas, entregables e hitos</w:t>
            </w:r>
            <w:r>
              <w:rPr>
                <w:noProof/>
                <w:webHidden/>
              </w:rPr>
              <w:tab/>
            </w:r>
            <w:r>
              <w:rPr>
                <w:noProof/>
                <w:webHidden/>
              </w:rPr>
              <w:fldChar w:fldCharType="begin"/>
            </w:r>
            <w:r>
              <w:rPr>
                <w:noProof/>
                <w:webHidden/>
              </w:rPr>
              <w:instrText xml:space="preserve"> PAGEREF _Toc222915356 \h </w:instrText>
            </w:r>
            <w:r>
              <w:rPr>
                <w:noProof/>
                <w:webHidden/>
              </w:rPr>
            </w:r>
            <w:r>
              <w:rPr>
                <w:noProof/>
                <w:webHidden/>
              </w:rPr>
              <w:fldChar w:fldCharType="separate"/>
            </w:r>
            <w:r>
              <w:rPr>
                <w:noProof/>
                <w:webHidden/>
              </w:rPr>
              <w:t>17</w:t>
            </w:r>
            <w:r>
              <w:rPr>
                <w:noProof/>
                <w:webHidden/>
              </w:rPr>
              <w:fldChar w:fldCharType="end"/>
            </w:r>
          </w:hyperlink>
        </w:p>
        <w:p w14:paraId="31E0A362" w14:textId="2A1FA8AF" w:rsidR="004331B9" w:rsidRDefault="004331B9">
          <w:pPr>
            <w:pStyle w:val="TDC3"/>
            <w:tabs>
              <w:tab w:val="right" w:leader="dot" w:pos="8656"/>
            </w:tabs>
            <w:rPr>
              <w:rFonts w:asciiTheme="minorHAnsi" w:eastAsiaTheme="minorEastAsia" w:hAnsiTheme="minorHAnsi" w:cstheme="minorBidi"/>
              <w:noProof/>
            </w:rPr>
          </w:pPr>
          <w:hyperlink w:anchor="_Toc222915357" w:history="1">
            <w:r w:rsidRPr="00917854">
              <w:rPr>
                <w:rStyle w:val="Hipervnculo"/>
                <w:noProof/>
              </w:rPr>
              <w:t>1.5.2 Orientación para el diagrama de Gantt</w:t>
            </w:r>
            <w:r>
              <w:rPr>
                <w:noProof/>
                <w:webHidden/>
              </w:rPr>
              <w:tab/>
            </w:r>
            <w:r>
              <w:rPr>
                <w:noProof/>
                <w:webHidden/>
              </w:rPr>
              <w:fldChar w:fldCharType="begin"/>
            </w:r>
            <w:r>
              <w:rPr>
                <w:noProof/>
                <w:webHidden/>
              </w:rPr>
              <w:instrText xml:space="preserve"> PAGEREF _Toc222915357 \h </w:instrText>
            </w:r>
            <w:r>
              <w:rPr>
                <w:noProof/>
                <w:webHidden/>
              </w:rPr>
            </w:r>
            <w:r>
              <w:rPr>
                <w:noProof/>
                <w:webHidden/>
              </w:rPr>
              <w:fldChar w:fldCharType="separate"/>
            </w:r>
            <w:r>
              <w:rPr>
                <w:noProof/>
                <w:webHidden/>
              </w:rPr>
              <w:t>17</w:t>
            </w:r>
            <w:r>
              <w:rPr>
                <w:noProof/>
                <w:webHidden/>
              </w:rPr>
              <w:fldChar w:fldCharType="end"/>
            </w:r>
          </w:hyperlink>
        </w:p>
        <w:p w14:paraId="11E8C3D1" w14:textId="20872BE2" w:rsidR="004331B9" w:rsidRDefault="004331B9">
          <w:pPr>
            <w:pStyle w:val="TDC3"/>
            <w:tabs>
              <w:tab w:val="right" w:leader="dot" w:pos="8656"/>
            </w:tabs>
            <w:rPr>
              <w:rFonts w:asciiTheme="minorHAnsi" w:eastAsiaTheme="minorEastAsia" w:hAnsiTheme="minorHAnsi" w:cstheme="minorBidi"/>
              <w:noProof/>
            </w:rPr>
          </w:pPr>
          <w:hyperlink w:anchor="_Toc222915358" w:history="1">
            <w:r w:rsidRPr="00917854">
              <w:rPr>
                <w:rStyle w:val="Hipervnculo"/>
                <w:noProof/>
              </w:rPr>
              <w:t>1.5.3 Tabla de riesgos y mitigaciones</w:t>
            </w:r>
            <w:r>
              <w:rPr>
                <w:noProof/>
                <w:webHidden/>
              </w:rPr>
              <w:tab/>
            </w:r>
            <w:r>
              <w:rPr>
                <w:noProof/>
                <w:webHidden/>
              </w:rPr>
              <w:fldChar w:fldCharType="begin"/>
            </w:r>
            <w:r>
              <w:rPr>
                <w:noProof/>
                <w:webHidden/>
              </w:rPr>
              <w:instrText xml:space="preserve"> PAGEREF _Toc222915358 \h </w:instrText>
            </w:r>
            <w:r>
              <w:rPr>
                <w:noProof/>
                <w:webHidden/>
              </w:rPr>
            </w:r>
            <w:r>
              <w:rPr>
                <w:noProof/>
                <w:webHidden/>
              </w:rPr>
              <w:fldChar w:fldCharType="separate"/>
            </w:r>
            <w:r>
              <w:rPr>
                <w:noProof/>
                <w:webHidden/>
              </w:rPr>
              <w:t>18</w:t>
            </w:r>
            <w:r>
              <w:rPr>
                <w:noProof/>
                <w:webHidden/>
              </w:rPr>
              <w:fldChar w:fldCharType="end"/>
            </w:r>
          </w:hyperlink>
        </w:p>
        <w:p w14:paraId="29ACDAE8" w14:textId="02BAA026"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59" w:history="1">
            <w:r w:rsidRPr="00917854">
              <w:rPr>
                <w:rStyle w:val="Hipervnculo"/>
                <w:noProof/>
              </w:rPr>
              <w:t>1.6 Breve sumario de productos obtenidos</w:t>
            </w:r>
            <w:r>
              <w:rPr>
                <w:noProof/>
                <w:webHidden/>
              </w:rPr>
              <w:tab/>
            </w:r>
            <w:r>
              <w:rPr>
                <w:noProof/>
                <w:webHidden/>
              </w:rPr>
              <w:fldChar w:fldCharType="begin"/>
            </w:r>
            <w:r>
              <w:rPr>
                <w:noProof/>
                <w:webHidden/>
              </w:rPr>
              <w:instrText xml:space="preserve"> PAGEREF _Toc222915359 \h </w:instrText>
            </w:r>
            <w:r>
              <w:rPr>
                <w:noProof/>
                <w:webHidden/>
              </w:rPr>
            </w:r>
            <w:r>
              <w:rPr>
                <w:noProof/>
                <w:webHidden/>
              </w:rPr>
              <w:fldChar w:fldCharType="separate"/>
            </w:r>
            <w:r>
              <w:rPr>
                <w:noProof/>
                <w:webHidden/>
              </w:rPr>
              <w:t>19</w:t>
            </w:r>
            <w:r>
              <w:rPr>
                <w:noProof/>
                <w:webHidden/>
              </w:rPr>
              <w:fldChar w:fldCharType="end"/>
            </w:r>
          </w:hyperlink>
        </w:p>
        <w:p w14:paraId="6756AFAD" w14:textId="53D3E216"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60" w:history="1">
            <w:r w:rsidRPr="00917854">
              <w:rPr>
                <w:rStyle w:val="Hipervnculo"/>
                <w:noProof/>
              </w:rPr>
              <w:t>1.7 Breve descripción de los otros capítulos</w:t>
            </w:r>
            <w:r>
              <w:rPr>
                <w:noProof/>
                <w:webHidden/>
              </w:rPr>
              <w:tab/>
            </w:r>
            <w:r>
              <w:rPr>
                <w:noProof/>
                <w:webHidden/>
              </w:rPr>
              <w:fldChar w:fldCharType="begin"/>
            </w:r>
            <w:r>
              <w:rPr>
                <w:noProof/>
                <w:webHidden/>
              </w:rPr>
              <w:instrText xml:space="preserve"> PAGEREF _Toc222915360 \h </w:instrText>
            </w:r>
            <w:r>
              <w:rPr>
                <w:noProof/>
                <w:webHidden/>
              </w:rPr>
            </w:r>
            <w:r>
              <w:rPr>
                <w:noProof/>
                <w:webHidden/>
              </w:rPr>
              <w:fldChar w:fldCharType="separate"/>
            </w:r>
            <w:r>
              <w:rPr>
                <w:noProof/>
                <w:webHidden/>
              </w:rPr>
              <w:t>20</w:t>
            </w:r>
            <w:r>
              <w:rPr>
                <w:noProof/>
                <w:webHidden/>
              </w:rPr>
              <w:fldChar w:fldCharType="end"/>
            </w:r>
          </w:hyperlink>
        </w:p>
        <w:p w14:paraId="039E5EF0" w14:textId="2A502DB2"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61" w:history="1">
            <w:r w:rsidRPr="00917854">
              <w:rPr>
                <w:rStyle w:val="Hipervnculo"/>
                <w:noProof/>
              </w:rPr>
              <w:t>1.8 Declaración sobre uso de inteligencia artificial generativa</w:t>
            </w:r>
            <w:r>
              <w:rPr>
                <w:noProof/>
                <w:webHidden/>
              </w:rPr>
              <w:tab/>
            </w:r>
            <w:r>
              <w:rPr>
                <w:noProof/>
                <w:webHidden/>
              </w:rPr>
              <w:fldChar w:fldCharType="begin"/>
            </w:r>
            <w:r>
              <w:rPr>
                <w:noProof/>
                <w:webHidden/>
              </w:rPr>
              <w:instrText xml:space="preserve"> PAGEREF _Toc222915361 \h </w:instrText>
            </w:r>
            <w:r>
              <w:rPr>
                <w:noProof/>
                <w:webHidden/>
              </w:rPr>
            </w:r>
            <w:r>
              <w:rPr>
                <w:noProof/>
                <w:webHidden/>
              </w:rPr>
              <w:fldChar w:fldCharType="separate"/>
            </w:r>
            <w:r>
              <w:rPr>
                <w:noProof/>
                <w:webHidden/>
              </w:rPr>
              <w:t>22</w:t>
            </w:r>
            <w:r>
              <w:rPr>
                <w:noProof/>
                <w:webHidden/>
              </w:rPr>
              <w:fldChar w:fldCharType="end"/>
            </w:r>
          </w:hyperlink>
        </w:p>
        <w:p w14:paraId="6DACBD8E" w14:textId="73470E3E" w:rsidR="004331B9" w:rsidRDefault="004331B9" w:rsidP="004331B9">
          <w:pPr>
            <w:pStyle w:val="TDC2"/>
            <w:tabs>
              <w:tab w:val="right" w:leader="dot" w:pos="8656"/>
            </w:tabs>
            <w:ind w:left="537"/>
            <w:rPr>
              <w:rFonts w:asciiTheme="minorHAnsi" w:eastAsiaTheme="minorEastAsia" w:hAnsiTheme="minorHAnsi" w:cstheme="minorBidi"/>
              <w:noProof/>
              <w:sz w:val="22"/>
              <w:szCs w:val="22"/>
              <w:lang w:eastAsia="es-ES"/>
            </w:rPr>
          </w:pPr>
          <w:hyperlink w:anchor="_Toc222915362" w:history="1">
            <w:r w:rsidRPr="00917854">
              <w:rPr>
                <w:rStyle w:val="Hipervnculo"/>
                <w:noProof/>
              </w:rPr>
              <w:t>Referencias bibliográficas sugeridas</w:t>
            </w:r>
            <w:r>
              <w:rPr>
                <w:noProof/>
                <w:webHidden/>
              </w:rPr>
              <w:tab/>
            </w:r>
            <w:r>
              <w:rPr>
                <w:noProof/>
                <w:webHidden/>
              </w:rPr>
              <w:fldChar w:fldCharType="begin"/>
            </w:r>
            <w:r>
              <w:rPr>
                <w:noProof/>
                <w:webHidden/>
              </w:rPr>
              <w:instrText xml:space="preserve"> PAGEREF _Toc222915362 \h </w:instrText>
            </w:r>
            <w:r>
              <w:rPr>
                <w:noProof/>
                <w:webHidden/>
              </w:rPr>
            </w:r>
            <w:r>
              <w:rPr>
                <w:noProof/>
                <w:webHidden/>
              </w:rPr>
              <w:fldChar w:fldCharType="separate"/>
            </w:r>
            <w:r>
              <w:rPr>
                <w:noProof/>
                <w:webHidden/>
              </w:rPr>
              <w:t>23</w:t>
            </w:r>
            <w:r>
              <w:rPr>
                <w:noProof/>
                <w:webHidden/>
              </w:rPr>
              <w:fldChar w:fldCharType="end"/>
            </w:r>
          </w:hyperlink>
        </w:p>
        <w:p w14:paraId="185784A7" w14:textId="07FA5C4F" w:rsidR="004331B9" w:rsidRDefault="004331B9">
          <w:r>
            <w:rPr>
              <w:b/>
              <w:bCs/>
            </w:rPr>
            <w:fldChar w:fldCharType="end"/>
          </w:r>
        </w:p>
      </w:sdtContent>
    </w:sdt>
    <w:p w14:paraId="6D245470" w14:textId="0BD63E42" w:rsidR="00E00AFC" w:rsidRDefault="00E00AFC"/>
    <w:p w14:paraId="383F1B04" w14:textId="77777777" w:rsidR="00D61758" w:rsidRDefault="00D61758">
      <w:pPr>
        <w:spacing w:before="200" w:after="200"/>
        <w:rPr>
          <w:b/>
          <w:bCs/>
          <w:caps/>
          <w:color w:val="1F3864"/>
          <w:sz w:val="40"/>
          <w:szCs w:val="40"/>
        </w:rPr>
      </w:pPr>
    </w:p>
    <w:p w14:paraId="50F5C688" w14:textId="06BF574F" w:rsidR="00D61758" w:rsidRDefault="00D61758">
      <w:pPr>
        <w:spacing w:before="200" w:after="200"/>
        <w:rPr>
          <w:b/>
          <w:bCs/>
          <w:caps/>
          <w:color w:val="1F3864"/>
          <w:sz w:val="40"/>
          <w:szCs w:val="40"/>
        </w:rPr>
      </w:pPr>
    </w:p>
    <w:p w14:paraId="75851F41" w14:textId="77777777" w:rsidR="004331B9" w:rsidRDefault="004331B9">
      <w:pPr>
        <w:spacing w:before="200" w:after="200"/>
        <w:rPr>
          <w:b/>
          <w:bCs/>
          <w:caps/>
          <w:color w:val="1F3864"/>
          <w:sz w:val="40"/>
          <w:szCs w:val="40"/>
        </w:rPr>
      </w:pPr>
    </w:p>
    <w:p w14:paraId="2E4BB6EA" w14:textId="77777777" w:rsidR="00D61758" w:rsidRDefault="00D61758">
      <w:pPr>
        <w:spacing w:before="200" w:after="200"/>
        <w:rPr>
          <w:b/>
          <w:bCs/>
          <w:caps/>
          <w:color w:val="1F3864"/>
          <w:sz w:val="40"/>
          <w:szCs w:val="40"/>
        </w:rPr>
      </w:pPr>
    </w:p>
    <w:p w14:paraId="25C8470C" w14:textId="49C89011" w:rsidR="00E00AFC" w:rsidRDefault="004807D4" w:rsidP="004331B9">
      <w:pPr>
        <w:spacing w:before="200" w:after="200"/>
      </w:pPr>
      <w:r>
        <w:rPr>
          <w:b/>
          <w:bCs/>
          <w:caps/>
          <w:color w:val="1F3864"/>
          <w:sz w:val="40"/>
          <w:szCs w:val="40"/>
        </w:rPr>
        <w:lastRenderedPageBreak/>
        <w:t>CAPÍTULO 1</w:t>
      </w:r>
    </w:p>
    <w:p w14:paraId="0F5A62AA" w14:textId="77777777" w:rsidR="00E00AFC" w:rsidRDefault="004807D4">
      <w:pPr>
        <w:spacing w:after="400"/>
      </w:pPr>
      <w:r>
        <w:rPr>
          <w:b/>
          <w:bCs/>
          <w:caps/>
          <w:color w:val="1F3864"/>
          <w:sz w:val="40"/>
          <w:szCs w:val="40"/>
        </w:rPr>
        <w:t>INTRODUCCIÓN</w:t>
      </w:r>
    </w:p>
    <w:p w14:paraId="1987DC4B" w14:textId="77777777" w:rsidR="00E00AFC" w:rsidRDefault="004807D4">
      <w:pPr>
        <w:pStyle w:val="Ttulo2"/>
      </w:pPr>
      <w:bookmarkStart w:id="0" w:name="_Toc222915333"/>
      <w:r>
        <w:t>1.1 Contexto y justificación del trabajo</w:t>
      </w:r>
      <w:bookmarkEnd w:id="0"/>
    </w:p>
    <w:p w14:paraId="0C1AD622" w14:textId="77777777" w:rsidR="00E00AFC" w:rsidRDefault="004807D4">
      <w:pPr>
        <w:pStyle w:val="Ttulo3"/>
      </w:pPr>
      <w:bookmarkStart w:id="1" w:name="_Toc222915334"/>
      <w:r>
        <w:t>1.1.1 Situación actual de la supervivencia en cáncer</w:t>
      </w:r>
      <w:bookmarkEnd w:id="1"/>
    </w:p>
    <w:p w14:paraId="0EB308C1" w14:textId="11556020" w:rsidR="00E00AFC" w:rsidRDefault="004807D4" w:rsidP="00271C63">
      <w:pPr>
        <w:spacing w:after="160"/>
        <w:jc w:val="both"/>
      </w:pPr>
      <w:r>
        <w:t>El cáncer constituye uno de los mayores retos de salud pública del siglo XXI. Según los datos publicados por la Agencia Internacional para la Investigación sobre el Cáncer (IARC) en el informe GLOBOCAN 2022</w:t>
      </w:r>
      <w:r w:rsidR="004331B9">
        <w:t xml:space="preserve"> [1]</w:t>
      </w:r>
      <w:r>
        <w:t xml:space="preserve">, se diagnosticaron en ese año aproximadamente 20 </w:t>
      </w:r>
      <w:r>
        <w:t>millones de nuevos casos de cáncer en todo el mundo, con una mortalidad asociada de casi 10 millones de personas.</w:t>
      </w:r>
      <w:r w:rsidR="00271C63">
        <w:t xml:space="preserve"> </w:t>
      </w:r>
      <w:r>
        <w:t>En</w:t>
      </w:r>
      <w:r w:rsidR="00271C63">
        <w:t xml:space="preserve"> </w:t>
      </w:r>
      <w:r>
        <w:t>España, el cáncer</w:t>
      </w:r>
      <w:r w:rsidR="00271C63">
        <w:t xml:space="preserve"> se situó como</w:t>
      </w:r>
      <w:r>
        <w:t xml:space="preserve"> la </w:t>
      </w:r>
      <w:r w:rsidR="00271C63">
        <w:t>primera</w:t>
      </w:r>
      <w:r>
        <w:t xml:space="preserve"> causa de muerte</w:t>
      </w:r>
      <w:r w:rsidR="00271C63">
        <w:t xml:space="preserve"> en 2025</w:t>
      </w:r>
      <w:r>
        <w:t xml:space="preserve">, por detrás de las enfermedades cardiovasculares, y es la primera causa de años de </w:t>
      </w:r>
      <w:r>
        <w:t>vida potencialmente perdidos</w:t>
      </w:r>
      <w:r w:rsidR="00271C63">
        <w:t xml:space="preserve"> [2]</w:t>
      </w:r>
      <w:r>
        <w:t>. A pesar de los avances significativos en el diagnóstico y tratamiento oncológico producidos durante las últimas décadas</w:t>
      </w:r>
      <w:r w:rsidR="003500D8">
        <w:t xml:space="preserve"> [3]</w:t>
      </w:r>
      <w:r>
        <w:t>, la supervivencia global a cinco años continúa siendo heterogénea y altamente dependiente del tipo tumoral</w:t>
      </w:r>
      <w:r>
        <w:t>, del estadio en el momento del diagnóstico, de las características biológicas del tumor y de los factores individuales del paciente.</w:t>
      </w:r>
    </w:p>
    <w:p w14:paraId="5569C822" w14:textId="152BCF8E" w:rsidR="00E00AFC" w:rsidRDefault="004807D4" w:rsidP="00271C63">
      <w:pPr>
        <w:spacing w:after="160"/>
        <w:jc w:val="both"/>
      </w:pPr>
      <w:r>
        <w:t>El cáncer de mama y el cáncer de pulmón son, respectivamente, el cáncer con mayor incidencia en mujeres y el de mayor mor</w:t>
      </w:r>
      <w:r>
        <w:t>talidad en ambos sexos a nivel mundial</w:t>
      </w:r>
      <w:r w:rsidR="00175EA2">
        <w:t xml:space="preserve"> [1]</w:t>
      </w:r>
      <w:r>
        <w:t xml:space="preserve">. En el cáncer de mama, la supervivencia relativa a cinco años supera el 90% en estadios localizados, pero cae dramáticamente por debajo del 30% en estadios metastásicos. El cáncer de pulmón, cuya supervivencia global </w:t>
      </w:r>
      <w:r>
        <w:t>a cinco años se sitúa en torno al 19-22%, presenta una heterogeneidad molecular y clínica enorme que condiciona de forma crítica el pronóstico y la respuesta al tratamiento. Estas características hacen de ambos tipos ideales para el desarrollo de modelos p</w:t>
      </w:r>
      <w:r>
        <w:t>redictivos basados en perfiles genómicos.</w:t>
      </w:r>
    </w:p>
    <w:p w14:paraId="4CC640B8" w14:textId="77777777" w:rsidR="00175EA2" w:rsidRDefault="00175EA2" w:rsidP="00271C63">
      <w:pPr>
        <w:spacing w:after="160"/>
        <w:jc w:val="both"/>
      </w:pPr>
    </w:p>
    <w:p w14:paraId="562F9266" w14:textId="77777777" w:rsidR="00E00AFC" w:rsidRDefault="004807D4">
      <w:pPr>
        <w:pStyle w:val="Ttulo3"/>
      </w:pPr>
      <w:bookmarkStart w:id="2" w:name="_Toc222915335"/>
      <w:r>
        <w:t>1.1.2 Relevancia del análisis de supervivencia en oncología</w:t>
      </w:r>
      <w:bookmarkEnd w:id="2"/>
    </w:p>
    <w:p w14:paraId="7A1028EB" w14:textId="5BC64BFC" w:rsidR="00E00AFC" w:rsidRDefault="004807D4">
      <w:pPr>
        <w:spacing w:after="160"/>
        <w:jc w:val="both"/>
      </w:pPr>
      <w:r>
        <w:t>El análisis de supervivencia constituye el conjunto de técnicas estadísticas diseñadas para modelar el tiempo hasta la ocurrencia de un evento de interés</w:t>
      </w:r>
      <w:r>
        <w:t>, habitualmente la muerte del paciente o la recurrencia tumoral</w:t>
      </w:r>
      <w:r w:rsidR="00361CB4">
        <w:t xml:space="preserve"> [5]</w:t>
      </w:r>
      <w:r>
        <w:t xml:space="preserve">. A diferencia de los modelos de regresión convencionales, el análisis de supervivencia incorpora de forma nativa el fenómeno de la censura, es decir, la situación en que un sujeto abandona el </w:t>
      </w:r>
      <w:r>
        <w:t>estudio antes de experimentar el evento o el seguimiento finaliza sin que este se haya producido</w:t>
      </w:r>
      <w:r w:rsidR="00361CB4">
        <w:t xml:space="preserve"> [6]</w:t>
      </w:r>
      <w:r>
        <w:t>. Esta capacidad resulta imprescindible en estudios longitudinales oncológicos, en los que la censura es inevitable y su tratamiento incorrecto introduce sesgos</w:t>
      </w:r>
      <w:r>
        <w:t xml:space="preserve"> graves en las estimaciones pronósticas.</w:t>
      </w:r>
    </w:p>
    <w:p w14:paraId="40F3F18B" w14:textId="48A4BDDF" w:rsidR="00E00AFC" w:rsidRDefault="004807D4">
      <w:pPr>
        <w:spacing w:after="160"/>
        <w:jc w:val="both"/>
      </w:pPr>
      <w:r>
        <w:t xml:space="preserve">Desde su introducción en la década de 1950, los métodos de análisis de supervivencia han evolucionado considerablemente. El estimador no paramétrico de Kaplan-Meier </w:t>
      </w:r>
      <w:r w:rsidR="00361CB4">
        <w:t xml:space="preserve">[7] </w:t>
      </w:r>
      <w:r>
        <w:t>sigue siendo el estándar d</w:t>
      </w:r>
      <w:r>
        <w:t xml:space="preserve">e referencia para la descripción gráfica de curvas de supervivencia en grupos de pacientes. El modelo de riesgos proporcionales de Cox </w:t>
      </w:r>
      <w:r w:rsidR="00AB7473">
        <w:t>[8]</w:t>
      </w:r>
      <w:r>
        <w:t xml:space="preserve"> introdujo la posibilidad de ajustar el efecto de múltiples covariables simultáneamente, convirtiéndose en el </w:t>
      </w:r>
      <w:r>
        <w:t xml:space="preserve">modelo más utilizado en la literatura clínica. Sin embargo, la creciente disponibilidad de datos genómicos de alta dimensionalidad </w:t>
      </w:r>
      <w:r w:rsidR="00A234CC">
        <w:t>(</w:t>
      </w:r>
      <w:r>
        <w:t>con decenas de miles de variables por paciente</w:t>
      </w:r>
      <w:r w:rsidR="00A234CC">
        <w:t>)</w:t>
      </w:r>
      <w:r>
        <w:t xml:space="preserve"> ha impulsado el desarrollo de métodos más potentes, capaces de capturar rela</w:t>
      </w:r>
      <w:r>
        <w:t>ciones no lineales y de manejar espacios de características de alta dimensión.</w:t>
      </w:r>
    </w:p>
    <w:p w14:paraId="69864932" w14:textId="77777777" w:rsidR="00E00AFC" w:rsidRDefault="00E00AFC">
      <w:pPr>
        <w:spacing w:after="120"/>
      </w:pPr>
    </w:p>
    <w:p w14:paraId="5FB2EBFD" w14:textId="77777777" w:rsidR="00E00AFC" w:rsidRDefault="004807D4">
      <w:pPr>
        <w:pStyle w:val="Ttulo3"/>
      </w:pPr>
      <w:bookmarkStart w:id="3" w:name="_Toc222915336"/>
      <w:r>
        <w:lastRenderedPageBreak/>
        <w:t>1.1.3 Papel de los factores genéticos en el pronóstico oncológico</w:t>
      </w:r>
      <w:bookmarkEnd w:id="3"/>
    </w:p>
    <w:p w14:paraId="6E14272B" w14:textId="0F62A0D2" w:rsidR="00E00AFC" w:rsidRDefault="004807D4">
      <w:pPr>
        <w:spacing w:after="160"/>
        <w:jc w:val="both"/>
      </w:pPr>
      <w:r>
        <w:t xml:space="preserve">La genómica ha transformado profundamente la comprensión del </w:t>
      </w:r>
      <w:r w:rsidR="006C3C75">
        <w:t>cáncer [</w:t>
      </w:r>
      <w:r w:rsidR="002417BC">
        <w:t>9</w:t>
      </w:r>
      <w:r w:rsidR="00A234CC">
        <w:t>]</w:t>
      </w:r>
      <w:r>
        <w:t xml:space="preserve">. La secuenciación masiva del genoma tumoral ha revelado que los tumores, incluso del mismo tipo histológico, presentan perfiles moleculares radicalmente distintos que condicionan de forma </w:t>
      </w:r>
      <w:r>
        <w:t>determinante su comportamiento biológico, su agresividad y su respuesta a los tratamientos. En el cáncer de mama, la clasificación molecular en subtipos intrínsecos (Luminal A, Luminal B, HER2-enriched y Triple Negativo) ha demostrado tener mayor valor pro</w:t>
      </w:r>
      <w:r>
        <w:t xml:space="preserve">nóstico que la estadificación TNM convencional </w:t>
      </w:r>
      <w:r w:rsidR="002417BC">
        <w:t>[10]</w:t>
      </w:r>
      <w:r>
        <w:t xml:space="preserve">. En el cáncer de pulmón no microcítico, la identificación de mutaciones en EGFR, </w:t>
      </w:r>
      <w:r w:rsidR="00F71FEA">
        <w:t>ERBB2 o</w:t>
      </w:r>
      <w:r>
        <w:t xml:space="preserve"> KRAS tiene implicaciones directas en la selección del tratamiento dirigido</w:t>
      </w:r>
      <w:r w:rsidR="00F71FEA">
        <w:t xml:space="preserve"> [11]</w:t>
      </w:r>
      <w:r>
        <w:t>.</w:t>
      </w:r>
    </w:p>
    <w:p w14:paraId="1E914530" w14:textId="2F2617EC" w:rsidR="00E00AFC" w:rsidRDefault="00497E18" w:rsidP="00497E18">
      <w:pPr>
        <w:spacing w:after="120"/>
        <w:jc w:val="both"/>
      </w:pPr>
      <w:r>
        <w:t xml:space="preserve">La integración de datos de expresión génica, mutaciones somáticas, variaciones en el número de copias (CNV) y metilación del ADN en modelos predictivos de supervivencia ha demostrado mejorar significativamente la capacidad pronóstica respecto a los modelos basados exclusivamente en variables clínicas </w:t>
      </w:r>
      <w:r>
        <w:rPr>
          <w:rStyle w:val="Textoennegrita"/>
        </w:rPr>
        <w:t>[</w:t>
      </w:r>
      <w:r>
        <w:rPr>
          <w:rStyle w:val="Textoennegrita"/>
        </w:rPr>
        <w:t>12</w:t>
      </w:r>
      <w:r>
        <w:rPr>
          <w:rStyle w:val="Textoennegrita"/>
        </w:rPr>
        <w:t>]</w:t>
      </w:r>
      <w:r>
        <w:t xml:space="preserve">. No obstante, el análisis de este tipo de datos multimodales presenta desafíos metodológicos sustanciales, entre los que destacan la alta dimensionalidad </w:t>
      </w:r>
      <w:r>
        <w:rPr>
          <w:rStyle w:val="Textoennegrita"/>
        </w:rPr>
        <w:t>[</w:t>
      </w:r>
      <w:r>
        <w:rPr>
          <w:rStyle w:val="Textoennegrita"/>
        </w:rPr>
        <w:t>13</w:t>
      </w:r>
      <w:r>
        <w:rPr>
          <w:rStyle w:val="Textoennegrita"/>
        </w:rPr>
        <w:t>]</w:t>
      </w:r>
      <w:r>
        <w:t xml:space="preserve">, la colinealidad entre variables </w:t>
      </w:r>
      <w:r>
        <w:rPr>
          <w:rStyle w:val="Textoennegrita"/>
        </w:rPr>
        <w:t>[</w:t>
      </w:r>
      <w:r>
        <w:rPr>
          <w:rStyle w:val="Textoennegrita"/>
        </w:rPr>
        <w:t>13</w:t>
      </w:r>
      <w:r>
        <w:rPr>
          <w:rStyle w:val="Textoennegrita"/>
        </w:rPr>
        <w:t>]</w:t>
      </w:r>
      <w:r>
        <w:t xml:space="preserve">, el desequilibrio entre el número de eventos y el tamaño muestral </w:t>
      </w:r>
      <w:r>
        <w:rPr>
          <w:rStyle w:val="Textoennegrita"/>
        </w:rPr>
        <w:t>[</w:t>
      </w:r>
      <w:r>
        <w:rPr>
          <w:rStyle w:val="Textoennegrita"/>
        </w:rPr>
        <w:t>14</w:t>
      </w:r>
      <w:r>
        <w:rPr>
          <w:rStyle w:val="Textoennegrita"/>
        </w:rPr>
        <w:t>]</w:t>
      </w:r>
      <w:r>
        <w:t xml:space="preserve">, y la necesidad de validación externa en cohortes independientes </w:t>
      </w:r>
      <w:r>
        <w:rPr>
          <w:rStyle w:val="Textoennegrita"/>
        </w:rPr>
        <w:t>[</w:t>
      </w:r>
      <w:r>
        <w:rPr>
          <w:rStyle w:val="Textoennegrita"/>
        </w:rPr>
        <w:t>15</w:t>
      </w:r>
      <w:r>
        <w:rPr>
          <w:rStyle w:val="Textoennegrita"/>
        </w:rPr>
        <w:t>]</w:t>
      </w:r>
      <w:r>
        <w:t>.</w:t>
      </w:r>
    </w:p>
    <w:p w14:paraId="4617FA1C" w14:textId="77777777" w:rsidR="00E00AFC" w:rsidRDefault="004807D4">
      <w:pPr>
        <w:pStyle w:val="Ttulo3"/>
      </w:pPr>
      <w:bookmarkStart w:id="4" w:name="_Toc222915337"/>
      <w:r>
        <w:t>1.1.4 Limitaciones actuales en modelos predictivos</w:t>
      </w:r>
      <w:bookmarkEnd w:id="4"/>
    </w:p>
    <w:p w14:paraId="4837659B" w14:textId="23B40785" w:rsidR="00CB7D6B" w:rsidRDefault="00CB7D6B">
      <w:pPr>
        <w:spacing w:after="160"/>
        <w:jc w:val="both"/>
      </w:pPr>
      <w:r>
        <w:t xml:space="preserve">A pesar del notable progreso experimentado en los últimos años, los modelos predictivos de supervivencia oncológica 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Pr>
          <w:rStyle w:val="Textoennegrita"/>
        </w:rPr>
        <w:t>[</w:t>
      </w:r>
      <w:r>
        <w:rPr>
          <w:rStyle w:val="Textoennegrita"/>
        </w:rPr>
        <w:t>16</w:t>
      </w:r>
      <w:r>
        <w:rPr>
          <w:rStyle w:val="Textoennegrita"/>
        </w:rPr>
        <w:t>]</w:t>
      </w:r>
      <w:r>
        <w:t xml:space="preserve">, lo que introduce riesgos de sobreajuste amplificados por prácticas metodológicas como la selección supervisada de variables fuera del marco de muestreo </w:t>
      </w:r>
      <w:r>
        <w:rPr>
          <w:rStyle w:val="Textoennegrita"/>
        </w:rPr>
        <w:t>[</w:t>
      </w:r>
      <w:r>
        <w:rPr>
          <w:rStyle w:val="Textoennegrita"/>
        </w:rPr>
        <w:t>17</w:t>
      </w:r>
      <w:r>
        <w:rPr>
          <w:rStyle w:val="Textoennegrita"/>
        </w:rPr>
        <w:t>]</w:t>
      </w:r>
      <w:r>
        <w:t xml:space="preserve">. En segundo lugar, la interpretabilidad de los modelos de aprendizaje automático más complejos </w:t>
      </w:r>
      <w:r>
        <w:t>(</w:t>
      </w:r>
      <w:r>
        <w:t>como las redes neuronales profundas</w:t>
      </w:r>
      <w:r>
        <w:t>)</w:t>
      </w:r>
      <w:r>
        <w:t xml:space="preserve"> sigue siendo un reto pendiente, con implicaciones directas en la adopción clínica de estas herramientas</w:t>
      </w:r>
      <w:r>
        <w:t xml:space="preserve">. </w:t>
      </w:r>
      <w:r>
        <w:t xml:space="preserve">En tercer lugar, la heterogeneidad en los protocolos de recogida y codificación de datos entre distintos repositorios dificulta la armonización y el análisis conjunto de cohortes diversas </w:t>
      </w:r>
      <w:r>
        <w:rPr>
          <w:rStyle w:val="Textoennegrita"/>
        </w:rPr>
        <w:t>[</w:t>
      </w:r>
      <w:r>
        <w:rPr>
          <w:rStyle w:val="Textoennegrita"/>
        </w:rPr>
        <w:t>18</w:t>
      </w:r>
      <w:r>
        <w:t xml:space="preserve"> siendo especialmente relevante en el caso de TCGA y METABRIC, que emplean plataformas de perfilado molecular distintas </w:t>
      </w:r>
      <w:r>
        <w:rPr>
          <w:rStyle w:val="Textoennegrita"/>
        </w:rPr>
        <w:t>[</w:t>
      </w:r>
      <w:r>
        <w:rPr>
          <w:rStyle w:val="Textoennegrita"/>
        </w:rPr>
        <w:t>19</w:t>
      </w:r>
      <w:r>
        <w:rPr>
          <w:rStyle w:val="Textoennegrita"/>
        </w:rPr>
        <w:t>]</w:t>
      </w:r>
      <w:r>
        <w:t>.</w:t>
      </w:r>
    </w:p>
    <w:p w14:paraId="4D536486" w14:textId="1AE46D07" w:rsidR="00E00AFC" w:rsidRDefault="004807D4">
      <w:pPr>
        <w:spacing w:after="160"/>
        <w:jc w:val="both"/>
      </w:pPr>
      <w:r>
        <w:t xml:space="preserve">El presente TFM </w:t>
      </w:r>
      <w:r>
        <w:t xml:space="preserve">aborda explícitamente estas limitaciones al proponer un diseño metodológico que incorpora dos </w:t>
      </w:r>
      <w:r w:rsidR="002417BC">
        <w:t>conjuntos de datos</w:t>
      </w:r>
      <w:r>
        <w:t xml:space="preserve"> independientes (TCGA y METABRIC), aplica múltiples familias de modelos con distinto nivel de complejidad e interpretabilidad, e implementa protocolos rig</w:t>
      </w:r>
      <w:r>
        <w:t>urosos de validación cruzada y evaluación mediante métricas estandarizadas.</w:t>
      </w:r>
    </w:p>
    <w:p w14:paraId="13445567" w14:textId="77777777" w:rsidR="00E00AFC" w:rsidRDefault="00E00AFC">
      <w:pPr>
        <w:spacing w:after="120"/>
      </w:pPr>
    </w:p>
    <w:p w14:paraId="3F8D1966" w14:textId="77777777" w:rsidR="00E00AFC" w:rsidRDefault="004807D4">
      <w:pPr>
        <w:pStyle w:val="Ttulo3"/>
      </w:pPr>
      <w:bookmarkStart w:id="5" w:name="_Toc222915338"/>
      <w:r>
        <w:t>1.1.5 Propuesta concreta de tipos de cáncer y justificación</w:t>
      </w:r>
      <w:bookmarkEnd w:id="5"/>
    </w:p>
    <w:p w14:paraId="231434C0" w14:textId="77777777" w:rsidR="00E00AFC" w:rsidRDefault="004807D4">
      <w:pPr>
        <w:spacing w:after="160"/>
        <w:jc w:val="both"/>
      </w:pPr>
      <w:r>
        <w:t xml:space="preserve">Aunque el análisis de supervivencia puede aplicarse a cualquier tipo de cáncer, la amplitud del enfoque genómico exige </w:t>
      </w:r>
      <w:r>
        <w:t>una delimitación precisa del objeto de estudio. Se propone centrar el análisis en dos tipos de cáncer con características complementarias:</w:t>
      </w:r>
    </w:p>
    <w:p w14:paraId="63462144" w14:textId="77777777" w:rsidR="00E00AFC" w:rsidRDefault="004807D4">
      <w:pPr>
        <w:pStyle w:val="Prrafodelista"/>
        <w:numPr>
          <w:ilvl w:val="0"/>
          <w:numId w:val="2"/>
        </w:numPr>
        <w:spacing w:after="80"/>
      </w:pPr>
      <w:r>
        <w:t>Cáncer de mama (breast cancer): presenta la mayor disponibilidad de datos genómicos públicos de alta calidad (TCGA-B</w:t>
      </w:r>
      <w:r>
        <w:t>RCA, METABRIC), una clasificación molecular bien establecida y una extensa literatura de referencia para la comparación de resultados. La elevada incidencia y la variabilidad pronóstica entre subtipos moleculares lo convierten en un caso paradigmático para</w:t>
      </w:r>
      <w:r>
        <w:t xml:space="preserve"> el análisis de supervivencia basado en genómica.</w:t>
      </w:r>
    </w:p>
    <w:p w14:paraId="1477128F" w14:textId="77777777" w:rsidR="00E00AFC" w:rsidRDefault="004807D4">
      <w:pPr>
        <w:pStyle w:val="Prrafodelista"/>
        <w:numPr>
          <w:ilvl w:val="0"/>
          <w:numId w:val="2"/>
        </w:numPr>
        <w:spacing w:after="80"/>
      </w:pPr>
      <w:r>
        <w:lastRenderedPageBreak/>
        <w:t>Cáncer de pulmón no microcítico (NSCLC – Non-Small Cell Lung Cancer): presenta la mayor mortalidad oncológica mundial, elevada heterogeneidad molecular, y una disponibilidad adecuada de datos en TCGA (cohor</w:t>
      </w:r>
      <w:r>
        <w:t>tes TCGA-LUAD y TCGA-LUSC). El contraste entre sus subtipos histológicos (adenocarcinoma vs. carcinoma escamoso) añade valor analítico al estudio comparativo.</w:t>
      </w:r>
    </w:p>
    <w:p w14:paraId="370FBE28" w14:textId="77777777" w:rsidR="00E00AFC" w:rsidRDefault="00E00AFC">
      <w:pPr>
        <w:spacing w:after="120"/>
      </w:pPr>
    </w:p>
    <w:p w14:paraId="71FEE5EF" w14:textId="77777777" w:rsidR="00E00AFC" w:rsidRDefault="004807D4">
      <w:pPr>
        <w:spacing w:after="160"/>
        <w:jc w:val="both"/>
      </w:pPr>
      <w:r>
        <w:t>La elección de cáncer de mama como foco primario se justifica por la superior disponibilidad y c</w:t>
      </w:r>
      <w:r>
        <w:t>alidad de datos, en particular la cohorte METABRIC (n &gt; 2.000 pacientes con seguimiento largo), que permite una validación cruzada externa robusta. El cáncer de pulmón actuará como tipo secundario de análisis, permitiendo evaluar la transferibilidad metodo</w:t>
      </w:r>
      <w:r>
        <w:t>lógica del enfoque.</w:t>
      </w:r>
    </w:p>
    <w:p w14:paraId="5AC8071F" w14:textId="77777777" w:rsidR="00E00AFC" w:rsidRDefault="00E00AFC">
      <w:pPr>
        <w:spacing w:after="120"/>
      </w:pPr>
    </w:p>
    <w:p w14:paraId="46C60F7F" w14:textId="77777777" w:rsidR="00E00AFC" w:rsidRDefault="004807D4">
      <w:pPr>
        <w:pStyle w:val="Ttulo3"/>
      </w:pPr>
      <w:bookmarkStart w:id="6" w:name="_Toc222915339"/>
      <w:r>
        <w:t>1.1.6 Datasets propuestos – Tabla comparativa</w:t>
      </w:r>
      <w:bookmarkEnd w:id="6"/>
    </w:p>
    <w:p w14:paraId="374D4FCE" w14:textId="29A8BB7E" w:rsidR="00E00AFC" w:rsidRDefault="004807D4">
      <w:pPr>
        <w:spacing w:after="160"/>
        <w:jc w:val="both"/>
      </w:pPr>
      <w:r>
        <w:t xml:space="preserve">A </w:t>
      </w:r>
      <w:r w:rsidR="00497E18">
        <w:t>continuación,</w:t>
      </w:r>
      <w:r>
        <w:t xml:space="preserve"> se presenta una tabla comparativa de los principales repositorios públicos de datos oncológicos disponibles para este tipo de análisis:</w:t>
      </w:r>
    </w:p>
    <w:p w14:paraId="2BFB756B" w14:textId="77777777" w:rsidR="00E00AFC" w:rsidRDefault="00E00AF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1445"/>
        <w:gridCol w:w="1623"/>
        <w:gridCol w:w="1541"/>
        <w:gridCol w:w="1371"/>
        <w:gridCol w:w="1523"/>
      </w:tblGrid>
      <w:tr w:rsidR="00E00AFC" w14:paraId="3540359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8D44CB4" w14:textId="77777777" w:rsidR="00E00AFC" w:rsidRDefault="004807D4">
            <w:pPr>
              <w:jc w:val="center"/>
            </w:pPr>
            <w:r>
              <w:rPr>
                <w:b/>
                <w:bCs/>
                <w:color w:val="FFFFFF"/>
                <w:sz w:val="20"/>
                <w:szCs w:val="20"/>
              </w:rPr>
              <w:t>Dataset</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38F967E" w14:textId="77777777" w:rsidR="00E00AFC" w:rsidRDefault="004807D4">
            <w:pPr>
              <w:jc w:val="center"/>
            </w:pPr>
            <w:r>
              <w:rPr>
                <w:b/>
                <w:bCs/>
                <w:color w:val="FFFFFF"/>
                <w:sz w:val="20"/>
                <w:szCs w:val="20"/>
              </w:rPr>
              <w:t>Organismo / Fuente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68D3857" w14:textId="77777777" w:rsidR="00E00AFC" w:rsidRDefault="004807D4">
            <w:pPr>
              <w:jc w:val="center"/>
            </w:pPr>
            <w:r>
              <w:rPr>
                <w:b/>
                <w:bCs/>
                <w:color w:val="FFFFFF"/>
                <w:sz w:val="20"/>
                <w:szCs w:val="20"/>
              </w:rPr>
              <w:t>Tipo de da</w:t>
            </w:r>
            <w:r>
              <w:rPr>
                <w:b/>
                <w:bCs/>
                <w:color w:val="FFFFFF"/>
                <w:sz w:val="20"/>
                <w:szCs w:val="20"/>
              </w:rPr>
              <w:t>tos</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2B72FE9" w14:textId="77777777" w:rsidR="00E00AFC" w:rsidRDefault="004807D4">
            <w:pPr>
              <w:jc w:val="center"/>
            </w:pPr>
            <w:r>
              <w:rPr>
                <w:b/>
                <w:bCs/>
                <w:color w:val="FFFFFF"/>
                <w:sz w:val="20"/>
                <w:szCs w:val="20"/>
              </w:rPr>
              <w:t>N aprox.</w:t>
            </w:r>
          </w:p>
        </w:tc>
        <w:tc>
          <w:tcPr>
            <w:tcW w:w="14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B5AA01" w14:textId="77777777" w:rsidR="00E00AFC" w:rsidRDefault="004807D4">
            <w:pPr>
              <w:jc w:val="center"/>
            </w:pPr>
            <w:r>
              <w:rPr>
                <w:b/>
                <w:bCs/>
                <w:color w:val="FFFFFF"/>
                <w:sz w:val="20"/>
                <w:szCs w:val="20"/>
              </w:rPr>
              <w:t>Acceso</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C47B039" w14:textId="77777777" w:rsidR="00E00AFC" w:rsidRDefault="004807D4">
            <w:pPr>
              <w:jc w:val="center"/>
            </w:pPr>
            <w:r>
              <w:rPr>
                <w:b/>
                <w:bCs/>
                <w:color w:val="FFFFFF"/>
                <w:sz w:val="20"/>
                <w:szCs w:val="20"/>
              </w:rPr>
              <w:t>Ventajas principales</w:t>
            </w:r>
          </w:p>
        </w:tc>
      </w:tr>
      <w:tr w:rsidR="00E00AFC" w14:paraId="2C0457A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B5525F1" w14:textId="77777777" w:rsidR="00E00AFC" w:rsidRDefault="004807D4">
            <w:r>
              <w:rPr>
                <w:b/>
                <w:bCs/>
                <w:sz w:val="20"/>
                <w:szCs w:val="20"/>
              </w:rPr>
              <w:t>TCGA (The Cancer Genome Atlas)</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C9D75F5" w14:textId="77777777" w:rsidR="00E00AFC" w:rsidRDefault="004807D4">
            <w:r>
              <w:rPr>
                <w:sz w:val="20"/>
                <w:szCs w:val="20"/>
              </w:rPr>
              <w:t>NCI / NIH (EE.UU.)</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FC2DE98" w14:textId="77777777" w:rsidR="00E00AFC" w:rsidRDefault="004807D4">
            <w:r>
              <w:rPr>
                <w:sz w:val="20"/>
                <w:szCs w:val="20"/>
              </w:rPr>
              <w:t>Expresión génica, mutaciones, CNV, metilación, clínico</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1E2359A" w14:textId="77777777" w:rsidR="00E00AFC" w:rsidRDefault="004807D4">
            <w:r>
              <w:rPr>
                <w:sz w:val="20"/>
                <w:szCs w:val="20"/>
              </w:rPr>
              <w:t>&gt;11.000 pacientes, &gt;30 tipos de cáncer</w:t>
            </w:r>
          </w:p>
        </w:tc>
        <w:tc>
          <w:tcPr>
            <w:tcW w:w="1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2F1A42" w14:textId="77777777" w:rsidR="00E00AFC" w:rsidRDefault="004807D4">
            <w:r>
              <w:rPr>
                <w:sz w:val="20"/>
                <w:szCs w:val="20"/>
              </w:rPr>
              <w:t>Público (GDC Portal)</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00F0A21" w14:textId="77777777" w:rsidR="00E00AFC" w:rsidRDefault="004807D4">
            <w:r>
              <w:rPr>
                <w:sz w:val="20"/>
                <w:szCs w:val="20"/>
              </w:rPr>
              <w:t>Multimodal, estándar de referencia en la literatura</w:t>
            </w:r>
          </w:p>
        </w:tc>
      </w:tr>
      <w:tr w:rsidR="00E00AFC" w14:paraId="6811AA8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DA355F8" w14:textId="77777777" w:rsidR="00E00AFC" w:rsidRDefault="004807D4">
            <w:r>
              <w:rPr>
                <w:b/>
                <w:bCs/>
                <w:sz w:val="20"/>
                <w:szCs w:val="20"/>
              </w:rPr>
              <w:t>METABRIC</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E25DCB1" w14:textId="77777777" w:rsidR="00E00AFC" w:rsidRDefault="004807D4">
            <w:r>
              <w:rPr>
                <w:sz w:val="20"/>
                <w:szCs w:val="20"/>
              </w:rPr>
              <w:t>CRUK / EBI</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D9044B9" w14:textId="77777777" w:rsidR="00E00AFC" w:rsidRDefault="004807D4">
            <w:r>
              <w:rPr>
                <w:sz w:val="20"/>
                <w:szCs w:val="20"/>
              </w:rPr>
              <w:t>Microarrays expresión génica, CNV, clínico</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2A93F8E" w14:textId="77777777" w:rsidR="00E00AFC" w:rsidRDefault="004807D4">
            <w:r>
              <w:rPr>
                <w:sz w:val="20"/>
                <w:szCs w:val="20"/>
              </w:rPr>
              <w:t>&gt;2.000 pacientes (cáncer de mama)</w:t>
            </w:r>
          </w:p>
        </w:tc>
        <w:tc>
          <w:tcPr>
            <w:tcW w:w="1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1F7F5F7" w14:textId="77777777" w:rsidR="00E00AFC" w:rsidRDefault="004807D4">
            <w:r>
              <w:rPr>
                <w:sz w:val="20"/>
                <w:szCs w:val="20"/>
              </w:rPr>
              <w:t>Público (cBioPortal / EGA)</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A3D43B" w14:textId="77777777" w:rsidR="00E00AFC" w:rsidRDefault="004807D4">
            <w:r>
              <w:rPr>
                <w:sz w:val="20"/>
                <w:szCs w:val="20"/>
              </w:rPr>
              <w:t>Gran seguimiento, subtipos moleculares validados</w:t>
            </w:r>
          </w:p>
        </w:tc>
      </w:tr>
      <w:tr w:rsidR="00E00AFC" w14:paraId="45930E2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8C90299" w14:textId="77777777" w:rsidR="00E00AFC" w:rsidRDefault="004807D4">
            <w:r>
              <w:rPr>
                <w:b/>
                <w:bCs/>
                <w:sz w:val="20"/>
                <w:szCs w:val="20"/>
              </w:rPr>
              <w:t>SEER</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2756879" w14:textId="77777777" w:rsidR="00E00AFC" w:rsidRDefault="004807D4">
            <w:r>
              <w:rPr>
                <w:sz w:val="20"/>
                <w:szCs w:val="20"/>
              </w:rPr>
              <w:t>NCI (EE.UU.)</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D35A8FA" w14:textId="77777777" w:rsidR="00E00AFC" w:rsidRDefault="004807D4">
            <w:r>
              <w:rPr>
                <w:sz w:val="20"/>
                <w:szCs w:val="20"/>
              </w:rPr>
              <w:t>Epidemiológico-clínico (sin datos genómicos)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EA02914" w14:textId="77777777" w:rsidR="00E00AFC" w:rsidRDefault="004807D4">
            <w:r>
              <w:rPr>
                <w:sz w:val="20"/>
                <w:szCs w:val="20"/>
              </w:rPr>
              <w:t>&gt;9 millones de casos</w:t>
            </w:r>
          </w:p>
        </w:tc>
        <w:tc>
          <w:tcPr>
            <w:tcW w:w="1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154CF30" w14:textId="77777777" w:rsidR="00E00AFC" w:rsidRDefault="004807D4">
            <w:r>
              <w:rPr>
                <w:sz w:val="20"/>
                <w:szCs w:val="20"/>
              </w:rPr>
              <w:t>Público (previo registro)</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9D45FE" w14:textId="77777777" w:rsidR="00E00AFC" w:rsidRDefault="004807D4">
            <w:r>
              <w:rPr>
                <w:sz w:val="20"/>
                <w:szCs w:val="20"/>
              </w:rPr>
              <w:t>Muy grande; no incluye datos moleculares</w:t>
            </w:r>
          </w:p>
        </w:tc>
      </w:tr>
      <w:tr w:rsidR="00E00AFC" w14:paraId="129F0C6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592786F" w14:textId="77777777" w:rsidR="00E00AFC" w:rsidRDefault="004807D4">
            <w:r>
              <w:rPr>
                <w:b/>
                <w:bCs/>
                <w:sz w:val="20"/>
                <w:szCs w:val="20"/>
              </w:rPr>
              <w:t>GDC Data Portal</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F230FBE" w14:textId="77777777" w:rsidR="00E00AFC" w:rsidRDefault="004807D4">
            <w:r>
              <w:rPr>
                <w:sz w:val="20"/>
                <w:szCs w:val="20"/>
              </w:rPr>
              <w:t>NIH/NCI</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F1FC890" w14:textId="77777777" w:rsidR="00E00AFC" w:rsidRDefault="004807D4">
            <w:r>
              <w:rPr>
                <w:sz w:val="20"/>
                <w:szCs w:val="20"/>
              </w:rPr>
              <w:t>Portal de acceso a TCGA, TARGET y otros</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15DFC4D" w14:textId="77777777" w:rsidR="00E00AFC" w:rsidRDefault="004807D4">
            <w:r>
              <w:rPr>
                <w:sz w:val="20"/>
                <w:szCs w:val="20"/>
              </w:rPr>
              <w:t>Variable (depende del proyecto)</w:t>
            </w:r>
          </w:p>
        </w:tc>
        <w:tc>
          <w:tcPr>
            <w:tcW w:w="1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DA4F476" w14:textId="77777777" w:rsidR="00E00AFC" w:rsidRDefault="004807D4">
            <w:r>
              <w:rPr>
                <w:sz w:val="20"/>
                <w:szCs w:val="20"/>
              </w:rPr>
              <w:t>Público / Controlado</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430837" w14:textId="77777777" w:rsidR="00E00AFC" w:rsidRDefault="004807D4">
            <w:r>
              <w:rPr>
                <w:sz w:val="20"/>
                <w:szCs w:val="20"/>
              </w:rPr>
              <w:t>Acceso unificado y estandarizado a datos ómicos</w:t>
            </w:r>
          </w:p>
        </w:tc>
      </w:tr>
      <w:tr w:rsidR="00E00AFC" w14:paraId="45D74A1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AABD73B" w14:textId="77777777" w:rsidR="00E00AFC" w:rsidRDefault="004807D4">
            <w:r>
              <w:rPr>
                <w:b/>
                <w:bCs/>
                <w:sz w:val="20"/>
                <w:szCs w:val="20"/>
              </w:rPr>
              <w:t>UK Biobank</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D6CF064" w14:textId="77777777" w:rsidR="00E00AFC" w:rsidRDefault="004807D4">
            <w:r>
              <w:rPr>
                <w:sz w:val="20"/>
                <w:szCs w:val="20"/>
              </w:rPr>
              <w:t>MRC / Wellcome Trust (UK)</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4EECD7" w14:textId="77777777" w:rsidR="00E00AFC" w:rsidRDefault="004807D4">
            <w:r>
              <w:rPr>
                <w:sz w:val="20"/>
                <w:szCs w:val="20"/>
              </w:rPr>
              <w:t>Genómica (GWAS), clínico, imágenes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E0DD01" w14:textId="77777777" w:rsidR="00E00AFC" w:rsidRDefault="004807D4">
            <w:r>
              <w:rPr>
                <w:sz w:val="20"/>
                <w:szCs w:val="20"/>
              </w:rPr>
              <w:t>&gt;500.000 participantes</w:t>
            </w:r>
          </w:p>
        </w:tc>
        <w:tc>
          <w:tcPr>
            <w:tcW w:w="1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28B5498" w14:textId="77777777" w:rsidR="00E00AFC" w:rsidRDefault="004807D4">
            <w:r>
              <w:rPr>
                <w:sz w:val="20"/>
                <w:szCs w:val="20"/>
              </w:rPr>
              <w:t>Controlado (previa solicitud)</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6390DE8" w14:textId="77777777" w:rsidR="00E00AFC" w:rsidRDefault="004807D4">
            <w:r>
              <w:rPr>
                <w:sz w:val="20"/>
                <w:szCs w:val="20"/>
              </w:rPr>
              <w:t>Muy representativo; acceso más complejo para TFM</w:t>
            </w:r>
          </w:p>
        </w:tc>
      </w:tr>
    </w:tbl>
    <w:p w14:paraId="6F41FF70" w14:textId="77777777" w:rsidR="00E00AFC" w:rsidRDefault="00E00AFC">
      <w:pPr>
        <w:spacing w:after="120"/>
      </w:pPr>
    </w:p>
    <w:p w14:paraId="51F15689" w14:textId="77777777" w:rsidR="00E00AFC" w:rsidRDefault="004807D4">
      <w:pPr>
        <w:spacing w:after="160"/>
        <w:jc w:val="both"/>
      </w:pPr>
      <w:r>
        <w:t>Para este TFM se propone la combinación TCGA (cohortes BRCA y LUAD/LUSC) + METABRIC como estrategia más viable, dado que ambos están disponibles de forma pública o semi-pública, están ampliamente documentados en la literatura y presentan solapamiento parci</w:t>
      </w:r>
      <w:r>
        <w:t>al de variables que facilitará el análisis comparativo e integrado.</w:t>
      </w:r>
    </w:p>
    <w:p w14:paraId="3291A082" w14:textId="77777777" w:rsidR="00E00AFC" w:rsidRDefault="00E00AFC">
      <w:pPr>
        <w:spacing w:after="120"/>
      </w:pPr>
    </w:p>
    <w:p w14:paraId="17C773CB" w14:textId="77777777" w:rsidR="00E00AFC" w:rsidRDefault="004807D4">
      <w:pPr>
        <w:pStyle w:val="Ttulo3"/>
      </w:pPr>
      <w:bookmarkStart w:id="7" w:name="_Toc222915340"/>
      <w:r>
        <w:t>1.1.7 Referencias científicas sugeridas</w:t>
      </w:r>
      <w:bookmarkEnd w:id="7"/>
    </w:p>
    <w:p w14:paraId="59B2010B" w14:textId="34CA82D6" w:rsidR="00E00AFC" w:rsidRDefault="004807D4">
      <w:pPr>
        <w:spacing w:after="160"/>
        <w:jc w:val="both"/>
      </w:pPr>
      <w:r>
        <w:t xml:space="preserve">A </w:t>
      </w:r>
      <w:r w:rsidR="00175EA2">
        <w:t>continuación,</w:t>
      </w:r>
      <w:r>
        <w:t xml:space="preserve"> se indican cinco referencias académicas fundamentales que sustentan el marco teórico y metodológico de este TFM</w:t>
      </w:r>
      <w:r w:rsidR="00175EA2">
        <w:t>:</w:t>
      </w:r>
    </w:p>
    <w:p w14:paraId="48E265ED" w14:textId="77777777" w:rsidR="00175EA2" w:rsidRDefault="00175EA2" w:rsidP="00175EA2">
      <w:pPr>
        <w:spacing w:after="120"/>
        <w:ind w:left="360" w:hanging="360"/>
        <w:rPr>
          <w:color w:val="222222"/>
          <w:sz w:val="20"/>
          <w:szCs w:val="20"/>
          <w:shd w:val="clear" w:color="auto" w:fill="FFFFFF"/>
        </w:rPr>
      </w:pPr>
      <w:bookmarkStart w:id="8" w:name="_Toc222915341"/>
      <w:r>
        <w:t xml:space="preserve">[1] </w:t>
      </w:r>
      <w:r>
        <w:tab/>
      </w:r>
      <w:r>
        <w:rPr>
          <w:color w:val="222222"/>
          <w:sz w:val="20"/>
          <w:szCs w:val="20"/>
          <w:shd w:val="clear" w:color="auto" w:fill="FFFFFF"/>
        </w:rPr>
        <w:t>Bray, F., Laversanne, M., Sung, H., Ferlay, J., Siegel, R. L., Soerjomataram, I., &amp; Jemal, A. (2024). Global cancer statistics 2022: GLOBOCAN estimates of incidence and mortality worldwide for 36 cancers in 185 countries. </w:t>
      </w:r>
      <w:r>
        <w:rPr>
          <w:i/>
          <w:iCs/>
          <w:color w:val="222222"/>
          <w:sz w:val="20"/>
          <w:szCs w:val="20"/>
          <w:shd w:val="clear" w:color="auto" w:fill="FFFFFF"/>
        </w:rPr>
        <w:t>CA: a cancer journal for clinicians</w:t>
      </w:r>
      <w:r>
        <w:rPr>
          <w:color w:val="222222"/>
          <w:sz w:val="20"/>
          <w:szCs w:val="20"/>
          <w:shd w:val="clear" w:color="auto" w:fill="FFFFFF"/>
        </w:rPr>
        <w:t>, </w:t>
      </w:r>
      <w:r>
        <w:rPr>
          <w:i/>
          <w:iCs/>
          <w:color w:val="222222"/>
          <w:sz w:val="20"/>
          <w:szCs w:val="20"/>
          <w:shd w:val="clear" w:color="auto" w:fill="FFFFFF"/>
        </w:rPr>
        <w:t>74</w:t>
      </w:r>
      <w:r>
        <w:rPr>
          <w:color w:val="222222"/>
          <w:sz w:val="20"/>
          <w:szCs w:val="20"/>
          <w:shd w:val="clear" w:color="auto" w:fill="FFFFFF"/>
        </w:rPr>
        <w:t>(3), 229-263.</w:t>
      </w:r>
    </w:p>
    <w:p w14:paraId="306D038D" w14:textId="11C9A77E" w:rsidR="00175EA2" w:rsidRDefault="00175EA2" w:rsidP="00175EA2">
      <w:pPr>
        <w:spacing w:after="120"/>
        <w:ind w:left="360" w:hanging="360"/>
        <w:rPr>
          <w:color w:val="222222"/>
          <w:sz w:val="20"/>
          <w:szCs w:val="20"/>
          <w:shd w:val="clear" w:color="auto" w:fill="FFFFFF"/>
        </w:rPr>
      </w:pPr>
      <w:r>
        <w:rPr>
          <w:color w:val="222222"/>
          <w:sz w:val="20"/>
          <w:szCs w:val="20"/>
          <w:shd w:val="clear" w:color="auto" w:fill="FFFFFF"/>
        </w:rPr>
        <w:t xml:space="preserve">[2] </w:t>
      </w:r>
      <w:hyperlink r:id="rId12" w:history="1">
        <w:r w:rsidRPr="00D56E03">
          <w:rPr>
            <w:rStyle w:val="Hipervnculo"/>
            <w:sz w:val="20"/>
            <w:szCs w:val="20"/>
            <w:shd w:val="clear" w:color="auto" w:fill="FFFFFF"/>
          </w:rPr>
          <w:t>https://www.ine.es/dyngs/Prensa/pEDCM2024.html</w:t>
        </w:r>
      </w:hyperlink>
    </w:p>
    <w:p w14:paraId="002B59CE" w14:textId="517EA04C" w:rsidR="003500D8" w:rsidRDefault="003500D8" w:rsidP="00175EA2">
      <w:pPr>
        <w:spacing w:after="120"/>
        <w:ind w:left="360" w:hanging="360"/>
        <w:rPr>
          <w:color w:val="222222"/>
          <w:sz w:val="20"/>
          <w:szCs w:val="20"/>
          <w:shd w:val="clear" w:color="auto" w:fill="FFFFFF"/>
        </w:rPr>
      </w:pPr>
      <w:r>
        <w:rPr>
          <w:color w:val="222222"/>
          <w:sz w:val="20"/>
          <w:szCs w:val="20"/>
          <w:shd w:val="clear" w:color="auto" w:fill="FFFFFF"/>
        </w:rPr>
        <w:t xml:space="preserve">[3] </w:t>
      </w:r>
      <w:r w:rsidR="006C3C75">
        <w:rPr>
          <w:color w:val="222222"/>
          <w:sz w:val="20"/>
          <w:szCs w:val="20"/>
          <w:shd w:val="clear" w:color="auto" w:fill="FFFFFF"/>
        </w:rPr>
        <w:t>Urruticoechea, A., Alemany, R., Balart, J., Villanueva, A., Vinals, F., &amp; Capella, G. (2010). Recent advances in cancer therapy: an overview. </w:t>
      </w:r>
      <w:r w:rsidR="006C3C75">
        <w:rPr>
          <w:i/>
          <w:iCs/>
          <w:color w:val="222222"/>
          <w:sz w:val="20"/>
          <w:szCs w:val="20"/>
          <w:shd w:val="clear" w:color="auto" w:fill="FFFFFF"/>
        </w:rPr>
        <w:t>Current pharmaceutical design</w:t>
      </w:r>
      <w:r w:rsidR="006C3C75">
        <w:rPr>
          <w:color w:val="222222"/>
          <w:sz w:val="20"/>
          <w:szCs w:val="20"/>
          <w:shd w:val="clear" w:color="auto" w:fill="FFFFFF"/>
        </w:rPr>
        <w:t>, </w:t>
      </w:r>
      <w:r w:rsidR="006C3C75">
        <w:rPr>
          <w:i/>
          <w:iCs/>
          <w:color w:val="222222"/>
          <w:sz w:val="20"/>
          <w:szCs w:val="20"/>
          <w:shd w:val="clear" w:color="auto" w:fill="FFFFFF"/>
        </w:rPr>
        <w:t>16</w:t>
      </w:r>
      <w:r w:rsidR="006C3C75">
        <w:rPr>
          <w:color w:val="222222"/>
          <w:sz w:val="20"/>
          <w:szCs w:val="20"/>
          <w:shd w:val="clear" w:color="auto" w:fill="FFFFFF"/>
        </w:rPr>
        <w:t>(1), 3-10.</w:t>
      </w:r>
    </w:p>
    <w:p w14:paraId="3ABD97EE" w14:textId="66FCCC27" w:rsidR="00175EA2" w:rsidRDefault="00361CB4" w:rsidP="00175EA2">
      <w:pPr>
        <w:spacing w:after="120"/>
        <w:ind w:left="360" w:hanging="360"/>
        <w:rPr>
          <w:color w:val="222222"/>
          <w:sz w:val="20"/>
          <w:szCs w:val="20"/>
          <w:shd w:val="clear" w:color="auto" w:fill="FFFFFF"/>
        </w:rPr>
      </w:pPr>
      <w:r>
        <w:t xml:space="preserve">[5] </w:t>
      </w:r>
      <w:r>
        <w:rPr>
          <w:color w:val="222222"/>
          <w:sz w:val="20"/>
          <w:szCs w:val="20"/>
          <w:shd w:val="clear" w:color="auto" w:fill="FFFFFF"/>
        </w:rPr>
        <w:t>Le-Rademacher, J., &amp; Wang, X. (2021). Time-to-event data: an overview and analysis considerations. </w:t>
      </w:r>
      <w:r>
        <w:rPr>
          <w:i/>
          <w:iCs/>
          <w:color w:val="222222"/>
          <w:sz w:val="20"/>
          <w:szCs w:val="20"/>
          <w:shd w:val="clear" w:color="auto" w:fill="FFFFFF"/>
        </w:rPr>
        <w:t>Journal of Thoracic Oncology</w:t>
      </w:r>
      <w:r>
        <w:rPr>
          <w:color w:val="222222"/>
          <w:sz w:val="20"/>
          <w:szCs w:val="20"/>
          <w:shd w:val="clear" w:color="auto" w:fill="FFFFFF"/>
        </w:rPr>
        <w:t>, </w:t>
      </w:r>
      <w:r>
        <w:rPr>
          <w:i/>
          <w:iCs/>
          <w:color w:val="222222"/>
          <w:sz w:val="20"/>
          <w:szCs w:val="20"/>
          <w:shd w:val="clear" w:color="auto" w:fill="FFFFFF"/>
        </w:rPr>
        <w:t>16</w:t>
      </w:r>
      <w:r>
        <w:rPr>
          <w:color w:val="222222"/>
          <w:sz w:val="20"/>
          <w:szCs w:val="20"/>
          <w:shd w:val="clear" w:color="auto" w:fill="FFFFFF"/>
        </w:rPr>
        <w:t>(7), 1067-1074.</w:t>
      </w:r>
    </w:p>
    <w:p w14:paraId="0B30EFA7" w14:textId="615DF2CA" w:rsidR="00361CB4" w:rsidRDefault="00361CB4" w:rsidP="00175EA2">
      <w:pPr>
        <w:spacing w:after="120"/>
        <w:ind w:left="360" w:hanging="360"/>
        <w:rPr>
          <w:color w:val="222222"/>
          <w:sz w:val="20"/>
          <w:szCs w:val="20"/>
          <w:shd w:val="clear" w:color="auto" w:fill="FFFFFF"/>
        </w:rPr>
      </w:pPr>
      <w:r>
        <w:t xml:space="preserve">[6] </w:t>
      </w:r>
      <w:r>
        <w:rPr>
          <w:color w:val="222222"/>
          <w:sz w:val="20"/>
          <w:szCs w:val="20"/>
          <w:shd w:val="clear" w:color="auto" w:fill="FFFFFF"/>
        </w:rPr>
        <w:t>Usman, M., Dikko, H. G., Bala, S., &amp; Gulumbe, S. U. (2014). An application of Kaplan-Meier survival analysis using breast cancer data. </w:t>
      </w:r>
      <w:r>
        <w:rPr>
          <w:i/>
          <w:iCs/>
          <w:color w:val="222222"/>
          <w:sz w:val="20"/>
          <w:szCs w:val="20"/>
          <w:shd w:val="clear" w:color="auto" w:fill="FFFFFF"/>
        </w:rPr>
        <w:t>Sub-Saharan African Journal of Medicine</w:t>
      </w:r>
      <w:r>
        <w:rPr>
          <w:color w:val="222222"/>
          <w:sz w:val="20"/>
          <w:szCs w:val="20"/>
          <w:shd w:val="clear" w:color="auto" w:fill="FFFFFF"/>
        </w:rPr>
        <w:t>, </w:t>
      </w:r>
      <w:r>
        <w:rPr>
          <w:i/>
          <w:iCs/>
          <w:color w:val="222222"/>
          <w:sz w:val="20"/>
          <w:szCs w:val="20"/>
          <w:shd w:val="clear" w:color="auto" w:fill="FFFFFF"/>
        </w:rPr>
        <w:t>1</w:t>
      </w:r>
      <w:r>
        <w:rPr>
          <w:color w:val="222222"/>
          <w:sz w:val="20"/>
          <w:szCs w:val="20"/>
          <w:shd w:val="clear" w:color="auto" w:fill="FFFFFF"/>
        </w:rPr>
        <w:t>(3), 132-137.</w:t>
      </w:r>
    </w:p>
    <w:p w14:paraId="27F598A3" w14:textId="2881752C" w:rsidR="00AB7473" w:rsidRDefault="00AB7473" w:rsidP="00AB7473">
      <w:pPr>
        <w:spacing w:after="80"/>
        <w:ind w:left="360" w:hanging="360"/>
      </w:pPr>
      <w:r>
        <w:t xml:space="preserve">[7] </w:t>
      </w:r>
      <w:r>
        <w:tab/>
      </w:r>
      <w:r>
        <w:t>Kaplan, E. L. y Meier, P. (1958). «Nonparametric estimation from incomplete observations». Journal of the American Statistical Association, 53(282), 457-481. Contribución: Formulación del estimador no paramétrico de supervivencia que sigue siendo referencia universal en oncología clínica.</w:t>
      </w:r>
    </w:p>
    <w:p w14:paraId="13ED60C9" w14:textId="2BEC27A8" w:rsidR="00AB7473" w:rsidRDefault="00AB7473" w:rsidP="00AB7473">
      <w:pPr>
        <w:spacing w:after="80"/>
        <w:ind w:left="360" w:hanging="360"/>
      </w:pPr>
      <w:r>
        <w:t xml:space="preserve">[8] </w:t>
      </w:r>
      <w:r>
        <w:tab/>
      </w:r>
      <w:r>
        <w:t>Cox, D. R. (1972). «Regression models and life-tables». Journal of the Royal Statistical Society: Series B, 34(2), 187-220. Contribución: Definición del modelo de riesgos proporcionales semiparamétrico que permite ajustar covariables en estudios longitudinales.</w:t>
      </w:r>
    </w:p>
    <w:p w14:paraId="1DBA13E7" w14:textId="48A0486E" w:rsidR="002417BC" w:rsidRDefault="002417BC" w:rsidP="00AB7473">
      <w:pPr>
        <w:spacing w:after="80"/>
        <w:ind w:left="360" w:hanging="360"/>
        <w:rPr>
          <w:color w:val="222222"/>
          <w:sz w:val="20"/>
          <w:szCs w:val="20"/>
          <w:shd w:val="clear" w:color="auto" w:fill="FFFFFF"/>
        </w:rPr>
      </w:pPr>
      <w:r>
        <w:t xml:space="preserve">[9] </w:t>
      </w:r>
      <w:r>
        <w:rPr>
          <w:color w:val="222222"/>
          <w:sz w:val="20"/>
          <w:szCs w:val="20"/>
          <w:shd w:val="clear" w:color="auto" w:fill="FFFFFF"/>
        </w:rPr>
        <w:t>Molla, G., &amp; Bitew, M. (2025). The future of cancer diagnosis and treatment: Unlocking the power of biomarkers and personalized molecular-targeted therapies. </w:t>
      </w:r>
      <w:r>
        <w:rPr>
          <w:i/>
          <w:iCs/>
          <w:color w:val="222222"/>
          <w:sz w:val="20"/>
          <w:szCs w:val="20"/>
          <w:shd w:val="clear" w:color="auto" w:fill="FFFFFF"/>
        </w:rPr>
        <w:t>Journal of Molecular Pathology</w:t>
      </w:r>
      <w:r>
        <w:rPr>
          <w:color w:val="222222"/>
          <w:sz w:val="20"/>
          <w:szCs w:val="20"/>
          <w:shd w:val="clear" w:color="auto" w:fill="FFFFFF"/>
        </w:rPr>
        <w:t>, </w:t>
      </w:r>
      <w:r>
        <w:rPr>
          <w:i/>
          <w:iCs/>
          <w:color w:val="222222"/>
          <w:sz w:val="20"/>
          <w:szCs w:val="20"/>
          <w:shd w:val="clear" w:color="auto" w:fill="FFFFFF"/>
        </w:rPr>
        <w:t>6</w:t>
      </w:r>
      <w:r>
        <w:rPr>
          <w:color w:val="222222"/>
          <w:sz w:val="20"/>
          <w:szCs w:val="20"/>
          <w:shd w:val="clear" w:color="auto" w:fill="FFFFFF"/>
        </w:rPr>
        <w:t>(3), 20.</w:t>
      </w:r>
    </w:p>
    <w:p w14:paraId="4807825F" w14:textId="1C75EE40" w:rsidR="002417BC" w:rsidRDefault="002417BC" w:rsidP="002417BC">
      <w:pPr>
        <w:spacing w:after="80"/>
        <w:ind w:left="360" w:hanging="360"/>
        <w:rPr>
          <w:color w:val="222222"/>
          <w:sz w:val="20"/>
          <w:szCs w:val="20"/>
          <w:shd w:val="clear" w:color="auto" w:fill="FFFFFF"/>
        </w:rPr>
      </w:pPr>
      <w:r>
        <w:rPr>
          <w:color w:val="222222"/>
          <w:sz w:val="20"/>
          <w:szCs w:val="20"/>
          <w:shd w:val="clear" w:color="auto" w:fill="FFFFFF"/>
        </w:rPr>
        <w:t xml:space="preserve">[10] </w:t>
      </w:r>
      <w:r w:rsidRPr="002417BC">
        <w:rPr>
          <w:color w:val="222222"/>
          <w:sz w:val="20"/>
          <w:szCs w:val="20"/>
          <w:shd w:val="clear" w:color="auto" w:fill="FFFFFF"/>
        </w:rPr>
        <w:t>Orrantia-Borunda E, Anchondo-Nuñez P, Acuña-Aguilar LE,</w:t>
      </w:r>
      <w:r>
        <w:rPr>
          <w:color w:val="222222"/>
          <w:sz w:val="20"/>
          <w:szCs w:val="20"/>
          <w:shd w:val="clear" w:color="auto" w:fill="FFFFFF"/>
        </w:rPr>
        <w:t xml:space="preserve"> </w:t>
      </w:r>
      <w:r w:rsidRPr="002417BC">
        <w:rPr>
          <w:color w:val="222222"/>
          <w:sz w:val="20"/>
          <w:szCs w:val="20"/>
          <w:shd w:val="clear" w:color="auto" w:fill="FFFFFF"/>
        </w:rPr>
        <w:t>Gómez-Valles FO, Ramírez-Valdespino CA. Subtypes of Breast Cancer. In: Mayrovitz HN.</w:t>
      </w:r>
      <w:r>
        <w:rPr>
          <w:color w:val="222222"/>
          <w:sz w:val="20"/>
          <w:szCs w:val="20"/>
          <w:shd w:val="clear" w:color="auto" w:fill="FFFFFF"/>
        </w:rPr>
        <w:t xml:space="preserve"> </w:t>
      </w:r>
      <w:r w:rsidRPr="002417BC">
        <w:rPr>
          <w:color w:val="222222"/>
          <w:sz w:val="20"/>
          <w:szCs w:val="20"/>
          <w:shd w:val="clear" w:color="auto" w:fill="FFFFFF"/>
        </w:rPr>
        <w:t>editor. Breast Cancer. Brisbane (AU): Exon Publications. Online first 22 Jun 2022.</w:t>
      </w:r>
      <w:r>
        <w:rPr>
          <w:color w:val="222222"/>
          <w:sz w:val="20"/>
          <w:szCs w:val="20"/>
          <w:shd w:val="clear" w:color="auto" w:fill="FFFFFF"/>
        </w:rPr>
        <w:t xml:space="preserve"> </w:t>
      </w:r>
      <w:hyperlink r:id="rId13" w:history="1">
        <w:r w:rsidR="00F71FEA" w:rsidRPr="00D56E03">
          <w:rPr>
            <w:rStyle w:val="Hipervnculo"/>
            <w:sz w:val="20"/>
            <w:szCs w:val="20"/>
            <w:shd w:val="clear" w:color="auto" w:fill="FFFFFF"/>
          </w:rPr>
          <w:t>https://doi.org/10.36255/exon-publications-breast-cancer-subtypes</w:t>
        </w:r>
      </w:hyperlink>
      <w:r w:rsidR="00F71FEA">
        <w:rPr>
          <w:color w:val="222222"/>
          <w:sz w:val="20"/>
          <w:szCs w:val="20"/>
          <w:shd w:val="clear" w:color="auto" w:fill="FFFFFF"/>
        </w:rPr>
        <w:t>.</w:t>
      </w:r>
    </w:p>
    <w:p w14:paraId="2FE444B6" w14:textId="2AB0A629" w:rsidR="00F71FEA" w:rsidRDefault="00F71FEA" w:rsidP="002417BC">
      <w:pPr>
        <w:spacing w:after="80"/>
        <w:ind w:left="360" w:hanging="360"/>
        <w:rPr>
          <w:color w:val="222222"/>
          <w:sz w:val="20"/>
          <w:szCs w:val="20"/>
          <w:shd w:val="clear" w:color="auto" w:fill="FFFFFF"/>
        </w:rPr>
      </w:pPr>
      <w:r>
        <w:rPr>
          <w:color w:val="222222"/>
          <w:sz w:val="20"/>
          <w:szCs w:val="20"/>
          <w:shd w:val="clear" w:color="auto" w:fill="FFFFFF"/>
        </w:rPr>
        <w:t xml:space="preserve">[11] </w:t>
      </w:r>
      <w:r>
        <w:rPr>
          <w:color w:val="222222"/>
          <w:sz w:val="20"/>
          <w:szCs w:val="20"/>
          <w:shd w:val="clear" w:color="auto" w:fill="FFFFFF"/>
        </w:rPr>
        <w:t>Cardarella, S., &amp; Johnson, B. E. (2013). The impact of genomic changes on treatment of lung cancer. </w:t>
      </w:r>
      <w:r>
        <w:rPr>
          <w:i/>
          <w:iCs/>
          <w:color w:val="222222"/>
          <w:sz w:val="20"/>
          <w:szCs w:val="20"/>
          <w:shd w:val="clear" w:color="auto" w:fill="FFFFFF"/>
        </w:rPr>
        <w:t>American journal of respiratory and critical care medicine</w:t>
      </w:r>
      <w:r>
        <w:rPr>
          <w:color w:val="222222"/>
          <w:sz w:val="20"/>
          <w:szCs w:val="20"/>
          <w:shd w:val="clear" w:color="auto" w:fill="FFFFFF"/>
        </w:rPr>
        <w:t>, </w:t>
      </w:r>
      <w:r>
        <w:rPr>
          <w:i/>
          <w:iCs/>
          <w:color w:val="222222"/>
          <w:sz w:val="20"/>
          <w:szCs w:val="20"/>
          <w:shd w:val="clear" w:color="auto" w:fill="FFFFFF"/>
        </w:rPr>
        <w:t>188</w:t>
      </w:r>
      <w:r>
        <w:rPr>
          <w:color w:val="222222"/>
          <w:sz w:val="20"/>
          <w:szCs w:val="20"/>
          <w:shd w:val="clear" w:color="auto" w:fill="FFFFFF"/>
        </w:rPr>
        <w:t>(7), 770-775.</w:t>
      </w:r>
    </w:p>
    <w:p w14:paraId="55E32E03" w14:textId="569DFA34" w:rsidR="00497E18" w:rsidRDefault="00497E18" w:rsidP="002417BC">
      <w:pPr>
        <w:spacing w:after="80"/>
        <w:ind w:left="360" w:hanging="360"/>
      </w:pPr>
      <w:r>
        <w:rPr>
          <w:color w:val="222222"/>
          <w:sz w:val="20"/>
          <w:szCs w:val="20"/>
          <w:shd w:val="clear" w:color="auto" w:fill="FFFFFF"/>
        </w:rPr>
        <w:t xml:space="preserve">[12] </w:t>
      </w:r>
      <w:r>
        <w:t xml:space="preserve">Tong, L., Mitchel, J., Chatlin, K., &amp; Wang, M. D. (2021). «Deep learning based feature-level integration of multi-omics data for accurate cancer prognosis prediction». </w:t>
      </w:r>
      <w:r>
        <w:rPr>
          <w:rStyle w:val="nfasis"/>
        </w:rPr>
        <w:t>Computers in Biology and Medicine</w:t>
      </w:r>
      <w:r>
        <w:t>, 134, 104481.</w:t>
      </w:r>
    </w:p>
    <w:p w14:paraId="0594704A" w14:textId="46D5A323" w:rsidR="00497E18" w:rsidRDefault="00497E18" w:rsidP="002417BC">
      <w:pPr>
        <w:spacing w:after="80"/>
        <w:ind w:left="360" w:hanging="360"/>
      </w:pPr>
      <w:r>
        <w:t xml:space="preserve">[13] </w:t>
      </w:r>
      <w:r>
        <w:t xml:space="preserve">Ma, S. &amp; Huang, J. (2015). «Combining multidimensional genomic measurements for predicting cancer prognosis: observations from TCGA». </w:t>
      </w:r>
      <w:r>
        <w:rPr>
          <w:rStyle w:val="nfasis"/>
        </w:rPr>
        <w:t>Briefings in Bioinformatics</w:t>
      </w:r>
      <w:r>
        <w:t>, 16(2), 291–303.</w:t>
      </w:r>
    </w:p>
    <w:p w14:paraId="0CE04A03" w14:textId="6B9FB615" w:rsidR="00497E18" w:rsidRDefault="00497E18" w:rsidP="002417BC">
      <w:pPr>
        <w:spacing w:after="80"/>
        <w:ind w:left="360" w:hanging="360"/>
      </w:pPr>
      <w:r>
        <w:t xml:space="preserve">[14] </w:t>
      </w:r>
      <w:r>
        <w:t xml:space="preserve">Yousefi, M., et al. (2025). «Multi-omics prognostic marker discovery and survival modelling: a case study on multi-cancer survival analysis of women's specific tumours». </w:t>
      </w:r>
      <w:r>
        <w:rPr>
          <w:rStyle w:val="nfasis"/>
        </w:rPr>
        <w:t>Scientific Reports</w:t>
      </w:r>
      <w:r>
        <w:t>, 15, 36182.</w:t>
      </w:r>
    </w:p>
    <w:p w14:paraId="691936B7" w14:textId="1041D0C4" w:rsidR="00497E18" w:rsidRDefault="00497E18" w:rsidP="002417BC">
      <w:pPr>
        <w:spacing w:after="80"/>
        <w:ind w:left="360" w:hanging="360"/>
      </w:pPr>
      <w:r>
        <w:t xml:space="preserve">[15] </w:t>
      </w:r>
      <w:r>
        <w:t xml:space="preserve">Steyerberg, E. W. &amp; Harrell, F. E. (2021). «External validation of prognostic models: what, why, how, when and where?». </w:t>
      </w:r>
      <w:r>
        <w:rPr>
          <w:rStyle w:val="nfasis"/>
        </w:rPr>
        <w:t>Clinical Kidney Journal</w:t>
      </w:r>
      <w:r>
        <w:t>, 14(1), 49–58.</w:t>
      </w:r>
    </w:p>
    <w:p w14:paraId="47F2A06E" w14:textId="0974941F" w:rsidR="00CB7D6B" w:rsidRDefault="00CB7D6B" w:rsidP="002417BC">
      <w:pPr>
        <w:spacing w:after="80"/>
        <w:ind w:left="360" w:hanging="360"/>
      </w:pPr>
      <w:r>
        <w:t xml:space="preserve">[16] </w:t>
      </w:r>
      <w:r>
        <w:t>Meng, X. et al. (2021). «Predicting breast cancer 5-year survival using machine learning: A systematic review». PLOS ONE, 16(4), e0250370.</w:t>
      </w:r>
    </w:p>
    <w:p w14:paraId="58631D30" w14:textId="2ACE7E55" w:rsidR="00CB7D6B" w:rsidRDefault="00CB7D6B" w:rsidP="002417BC">
      <w:pPr>
        <w:spacing w:after="80"/>
        <w:ind w:left="360" w:hanging="360"/>
      </w:pPr>
      <w:r>
        <w:t xml:space="preserve">[17] </w:t>
      </w:r>
      <w:r>
        <w:t>Ullah, I. et al. (2025). «Explainable AI in Clinical Decision Support Systems: A Meta-Analysis of Methods, Applications, and Usability Challenges».</w:t>
      </w:r>
    </w:p>
    <w:p w14:paraId="4ED15EE4" w14:textId="35A34DFE" w:rsidR="00CB7D6B" w:rsidRDefault="00CB7D6B" w:rsidP="002417BC">
      <w:pPr>
        <w:spacing w:after="80"/>
        <w:ind w:left="360" w:hanging="360"/>
      </w:pPr>
      <w:r>
        <w:lastRenderedPageBreak/>
        <w:t xml:space="preserve">[18] </w:t>
      </w:r>
      <w:r>
        <w:t>Shaheen, S. et al. (2025). «A review on multi-omics integration for aiding study design of large scale TCGA cancer datasets». PMC.</w:t>
      </w:r>
    </w:p>
    <w:p w14:paraId="423CF125" w14:textId="208E7BA8" w:rsidR="00CB7D6B" w:rsidRDefault="00CB7D6B" w:rsidP="002417BC">
      <w:pPr>
        <w:spacing w:after="80"/>
        <w:ind w:left="360" w:hanging="360"/>
      </w:pPr>
      <w:r>
        <w:t xml:space="preserve">[19] </w:t>
      </w:r>
      <w:r>
        <w:t>Argelaguet, R. et al. (2018). «Molecular characterization of breast and lung tumors by integration of multiple data types with functional sparse-factor analysis». PMC.</w:t>
      </w:r>
    </w:p>
    <w:p w14:paraId="004088B6" w14:textId="77777777" w:rsidR="00E00AFC" w:rsidRDefault="004807D4">
      <w:pPr>
        <w:pStyle w:val="Ttulo2"/>
      </w:pPr>
      <w:r>
        <w:t>1</w:t>
      </w:r>
      <w:r>
        <w:t>.2 Objetivos del trabajo</w:t>
      </w:r>
      <w:bookmarkEnd w:id="8"/>
    </w:p>
    <w:p w14:paraId="46C94B6A" w14:textId="77777777" w:rsidR="00E00AFC" w:rsidRDefault="004807D4">
      <w:pPr>
        <w:pStyle w:val="Ttulo3"/>
      </w:pPr>
      <w:bookmarkStart w:id="9" w:name="_Toc222915342"/>
      <w:r>
        <w:t>Objetivo general</w:t>
      </w:r>
      <w:bookmarkEnd w:id="9"/>
    </w:p>
    <w:p w14:paraId="335EFC2C" w14:textId="77777777" w:rsidR="00E00AFC" w:rsidRDefault="004807D4">
      <w:pPr>
        <w:spacing w:after="160"/>
        <w:jc w:val="both"/>
      </w:pPr>
      <w:r>
        <w:t>Desarrollar, comparar y validar modelos de análisis de supervivencia basados en datos genómicos para la predicción del pronóstico oncológico en cáncer de mama y cáncer de pulmón, utilizando dos cohortes independientes (TCGA y METABRIC), co</w:t>
      </w:r>
      <w:r>
        <w:t>n el fin de identificar las metodologías con mayor capacidad predictiva y generalización.</w:t>
      </w:r>
    </w:p>
    <w:p w14:paraId="5DFD03F7" w14:textId="77777777" w:rsidR="00E00AFC" w:rsidRDefault="00E00AFC">
      <w:pPr>
        <w:spacing w:after="120"/>
      </w:pPr>
    </w:p>
    <w:p w14:paraId="4E8E0EB8" w14:textId="77777777" w:rsidR="00E00AFC" w:rsidRDefault="004807D4">
      <w:pPr>
        <w:pStyle w:val="Ttulo3"/>
      </w:pPr>
      <w:bookmarkStart w:id="10" w:name="_Toc222915343"/>
      <w:r>
        <w:t>Objetivos específicos</w:t>
      </w:r>
      <w:bookmarkEnd w:id="10"/>
    </w:p>
    <w:p w14:paraId="3AD78994" w14:textId="77777777" w:rsidR="00E00AFC" w:rsidRDefault="004807D4">
      <w:pPr>
        <w:pStyle w:val="Prrafodelista"/>
        <w:numPr>
          <w:ilvl w:val="0"/>
          <w:numId w:val="3"/>
        </w:numPr>
        <w:spacing w:after="80"/>
      </w:pPr>
      <w:r>
        <w:t>Realizar una revisión sistemática del estado del arte en análisis de supervivencia oncológica con datos genómicos, identificando los modelos má</w:t>
      </w:r>
      <w:r>
        <w:t>s utilizados, sus fundamentos teóricos y sus limitaciones metodológicas documentadas.</w:t>
      </w:r>
    </w:p>
    <w:p w14:paraId="79C5B958" w14:textId="77777777" w:rsidR="00E00AFC" w:rsidRDefault="004807D4">
      <w:pPr>
        <w:pStyle w:val="Prrafodelista"/>
        <w:numPr>
          <w:ilvl w:val="0"/>
          <w:numId w:val="3"/>
        </w:numPr>
        <w:spacing w:after="80"/>
      </w:pPr>
      <w:r>
        <w:t>Adquirir, preprocesar e integrar los datos genómicos y clínicos procedentes de las cohortes TCGA-BRCA, TCGA-LUAD/LUSC y METABRIC, garantizando la calidad, coherencia y tr</w:t>
      </w:r>
      <w:r>
        <w:t>azabilidad del proceso de preparación de datos.</w:t>
      </w:r>
    </w:p>
    <w:p w14:paraId="31646938" w14:textId="77777777" w:rsidR="00E00AFC" w:rsidRDefault="004807D4">
      <w:pPr>
        <w:pStyle w:val="Prrafodelista"/>
        <w:numPr>
          <w:ilvl w:val="0"/>
          <w:numId w:val="3"/>
        </w:numPr>
        <w:spacing w:after="80"/>
      </w:pPr>
      <w:r>
        <w:t>Implementar y entrenar al menos cuatro modelos de análisis de supervivencia —Kaplan-Meier, regresión de Cox, Random Survival Forest y DeepSurv— sobre los datos de entrenamiento, documentando los hiperparámetr</w:t>
      </w:r>
      <w:r>
        <w:t>os y decisiones de diseño adoptadas.</w:t>
      </w:r>
    </w:p>
    <w:p w14:paraId="742553BF" w14:textId="77777777" w:rsidR="00E00AFC" w:rsidRDefault="004807D4">
      <w:pPr>
        <w:pStyle w:val="Prrafodelista"/>
        <w:numPr>
          <w:ilvl w:val="0"/>
          <w:numId w:val="3"/>
        </w:numPr>
        <w:spacing w:after="80"/>
      </w:pPr>
      <w:r>
        <w:t>Evaluar y comparar el rendimiento de los modelos implementados mediante métricas estándar de supervivencia (C-index, Brier Score y log-rank test), aplicando validación cruzada k-fold para estimar la varianza del rendimi</w:t>
      </w:r>
      <w:r>
        <w:t>ento y detectar posibles sobreajustes.</w:t>
      </w:r>
    </w:p>
    <w:p w14:paraId="570AAE63" w14:textId="77777777" w:rsidR="00E00AFC" w:rsidRDefault="004807D4">
      <w:pPr>
        <w:pStyle w:val="Prrafodelista"/>
        <w:numPr>
          <w:ilvl w:val="0"/>
          <w:numId w:val="3"/>
        </w:numPr>
        <w:spacing w:after="80"/>
      </w:pPr>
      <w:r>
        <w:t>Identificar y analizar los factores genómicos con mayor relevancia predictiva en cada modelo y tipo de cáncer, utilizando técnicas de interpretabilidad como importancia de variables (Random Forest) o coeficientes de C</w:t>
      </w:r>
      <w:r>
        <w:t>ox, y contrastar los resultados con la literatura científica disponible.</w:t>
      </w:r>
    </w:p>
    <w:p w14:paraId="4FD0EA4D" w14:textId="77777777" w:rsidR="00E00AFC" w:rsidRDefault="004807D4">
      <w:pPr>
        <w:pStyle w:val="Prrafodelista"/>
        <w:numPr>
          <w:ilvl w:val="0"/>
          <w:numId w:val="3"/>
        </w:numPr>
        <w:spacing w:after="80"/>
      </w:pPr>
      <w:r>
        <w:t>Realizar un análisis comparativo entre los resultados obtenidos en TCGA y METABRIC, evaluando la transferibilidad y robustez de los modelos entrenados en una cohorte y validados en ot</w:t>
      </w:r>
      <w:r>
        <w:t>ra.</w:t>
      </w:r>
    </w:p>
    <w:p w14:paraId="1CB959C0" w14:textId="77777777" w:rsidR="00E00AFC" w:rsidRDefault="004807D4">
      <w:pPr>
        <w:pStyle w:val="Prrafodelista"/>
        <w:numPr>
          <w:ilvl w:val="0"/>
          <w:numId w:val="3"/>
        </w:numPr>
        <w:spacing w:after="80"/>
      </w:pPr>
      <w:r>
        <w:t>Producir un repositorio de código reproducible, documentado y público (GitHub), con todos los scripts, pipelines de preprocesamiento, notebooks de análisis y visualizaciones generados durante el TFM.</w:t>
      </w:r>
    </w:p>
    <w:p w14:paraId="0DB4E30F" w14:textId="77777777" w:rsidR="00E00AFC" w:rsidRDefault="004807D4">
      <w:pPr>
        <w:pStyle w:val="Prrafodelista"/>
        <w:numPr>
          <w:ilvl w:val="0"/>
          <w:numId w:val="3"/>
        </w:numPr>
        <w:spacing w:after="80"/>
      </w:pPr>
      <w:r>
        <w:t xml:space="preserve">Reflexionar críticamente sobre las limitaciones del </w:t>
      </w:r>
      <w:r>
        <w:t>trabajo, el impacto ético del uso de datos genéticos y las líneas de investigación futura que pueden derivarse de los hallazgos obtenidos.</w:t>
      </w:r>
    </w:p>
    <w:p w14:paraId="6F7774C9" w14:textId="77777777" w:rsidR="00E00AFC" w:rsidRDefault="00E00AFC">
      <w:pPr>
        <w:spacing w:after="120"/>
      </w:pPr>
    </w:p>
    <w:p w14:paraId="54C84804" w14:textId="77777777" w:rsidR="00E00AFC" w:rsidRDefault="004807D4">
      <w:r>
        <w:br w:type="page"/>
      </w:r>
    </w:p>
    <w:p w14:paraId="227FAB2E" w14:textId="77777777" w:rsidR="00E00AFC" w:rsidRDefault="004807D4">
      <w:pPr>
        <w:pStyle w:val="Ttulo2"/>
      </w:pPr>
      <w:bookmarkStart w:id="11" w:name="_Toc222915344"/>
      <w:r>
        <w:lastRenderedPageBreak/>
        <w:t>1.3 Impacto en sostenibilidad, ético-social y diversidad</w:t>
      </w:r>
      <w:bookmarkEnd w:id="11"/>
    </w:p>
    <w:p w14:paraId="16D6C281" w14:textId="77777777" w:rsidR="00E00AFC" w:rsidRDefault="004807D4">
      <w:pPr>
        <w:pStyle w:val="Ttulo3"/>
      </w:pPr>
      <w:bookmarkStart w:id="12" w:name="_Toc222915345"/>
      <w:r>
        <w:t>1.3.1 Impacto ético del uso de datos genéticos</w:t>
      </w:r>
      <w:bookmarkEnd w:id="12"/>
    </w:p>
    <w:p w14:paraId="47F08A95" w14:textId="77777777" w:rsidR="00E00AFC" w:rsidRDefault="004807D4">
      <w:pPr>
        <w:spacing w:after="160"/>
        <w:jc w:val="both"/>
      </w:pPr>
      <w:r>
        <w:t xml:space="preserve">El uso de </w:t>
      </w:r>
      <w:r>
        <w:t>datos genómicos en investigación biomédica plantea desafíos éticos de especial envergadura. A diferencia de los datos clínicos convencionales, los datos genéticos son inherentemente únicos y en principio irrevocablemente vinculados al individuo. Su análisi</w:t>
      </w:r>
      <w:r>
        <w:t>s puede revelar información sensible no solo sobre el sujeto directamente estudiado, sino también sobre sus familiares biológicos, lo que amplía el perímetro de privacidad afectado más allá del paciente individual. En el contexto de un TFM basado exclusiva</w:t>
      </w:r>
      <w:r>
        <w:t>mente en datasets públicos y previamente anonimizados, estos riesgos se minimizan, pero no desaparecen por completo.</w:t>
      </w:r>
    </w:p>
    <w:p w14:paraId="7201470C" w14:textId="77777777" w:rsidR="00E00AFC" w:rsidRDefault="00E00AFC">
      <w:pPr>
        <w:spacing w:after="120"/>
      </w:pPr>
    </w:p>
    <w:p w14:paraId="360F9E28" w14:textId="77777777" w:rsidR="00E00AFC" w:rsidRDefault="004807D4">
      <w:pPr>
        <w:spacing w:after="160"/>
        <w:jc w:val="both"/>
      </w:pPr>
      <w:r>
        <w:t>En particular, es relevante considerar el riesgo de reidentificación: la combinación de datos genómicos con variables fenotípicas o clínic</w:t>
      </w:r>
      <w:r>
        <w:t>as puede, en ciertos contextos, permitir identificar a individuos específicos incluso cuando los identificadores directos han sido eliminados. Estudios como el de Gymrek et al. (2013) han demostrado que la reidentificación de sujetos a partir de datos genó</w:t>
      </w:r>
      <w:r>
        <w:t>micos supuestamente anónimos es técnicamente posible, lo que subraya la necesidad de adoptar medidas adicionales de protección más allá de la simple eliminación de campos identificadores.</w:t>
      </w:r>
    </w:p>
    <w:p w14:paraId="103335AF" w14:textId="77777777" w:rsidR="00E00AFC" w:rsidRDefault="00E00AFC">
      <w:pPr>
        <w:spacing w:after="120"/>
      </w:pPr>
    </w:p>
    <w:p w14:paraId="179F2330" w14:textId="77777777" w:rsidR="00E00AFC" w:rsidRDefault="004807D4">
      <w:pPr>
        <w:pStyle w:val="Ttulo3"/>
      </w:pPr>
      <w:bookmarkStart w:id="13" w:name="_Toc222915346"/>
      <w:r>
        <w:t>1.3.2 Protección de datos y privacidad</w:t>
      </w:r>
      <w:bookmarkEnd w:id="13"/>
    </w:p>
    <w:p w14:paraId="4F15AD25" w14:textId="77777777" w:rsidR="00E00AFC" w:rsidRDefault="004807D4">
      <w:pPr>
        <w:spacing w:after="160"/>
        <w:jc w:val="both"/>
      </w:pPr>
      <w:r>
        <w:t>El presente trabajo se realizará íntegramente sobre datos de acceso público o de acceso controlado previamente concedido por las instituciones custodias (en el caso de datos de acceso controlado en GDC). En ningún cas</w:t>
      </w:r>
      <w:r>
        <w:t xml:space="preserve">o se recopilarán, procesarán ni almacenarán datos de pacientes de forma directa. No obstante, se seguirán estrictamente los principios del Reglamento General de Protección de Datos (RGPD, Reglamento UE 2016/679) y las directrices de la Ley Orgánica 3/2018 </w:t>
      </w:r>
      <w:r>
        <w:t>de Protección de Datos Personales y Garantía de los Derechos Digitales (LOPDGDD).</w:t>
      </w:r>
    </w:p>
    <w:p w14:paraId="0DA053F0" w14:textId="77777777" w:rsidR="00E00AFC" w:rsidRDefault="00E00AFC">
      <w:pPr>
        <w:spacing w:after="120"/>
      </w:pPr>
    </w:p>
    <w:p w14:paraId="5AC0DC74" w14:textId="77777777" w:rsidR="00E00AFC" w:rsidRDefault="004807D4">
      <w:pPr>
        <w:pStyle w:val="Ttulo3"/>
      </w:pPr>
      <w:bookmarkStart w:id="14" w:name="_Toc222915347"/>
      <w:r>
        <w:t>1.3.3 Sesgos en datasets biomédicos y equidad sanitaria</w:t>
      </w:r>
      <w:bookmarkEnd w:id="14"/>
    </w:p>
    <w:p w14:paraId="33D625CF" w14:textId="77777777" w:rsidR="00E00AFC" w:rsidRDefault="004807D4">
      <w:pPr>
        <w:spacing w:after="160"/>
        <w:jc w:val="both"/>
      </w:pPr>
      <w:r>
        <w:t>Una limitación estructural relevante en los grandes repositorios genómicos públicos es la sobrerrepresentación de pob</w:t>
      </w:r>
      <w:r>
        <w:t>laciones de ancestría europea en detrimento de otras etnias. Los conjuntos de datos TCGA y METABRIC, aunque de gran valor científico, presentan esta característica. Esta falta de diversidad poblacional puede introducir sesgos en los modelos entrenados, cuy</w:t>
      </w:r>
      <w:r>
        <w:t>a capacidad predictiva puede no generalizarse adecuadamente a pacientes de otras ancestrías. Este sesgo tiene implicaciones directas en la equidad sanitaria: si los modelos de predicción pronóstica son menos fiables para ciertas poblaciones, su adopción cl</w:t>
      </w:r>
      <w:r>
        <w:t>ínica puede acentuar las desigualdades en el acceso a un diagnóstico y tratamiento precisos.</w:t>
      </w:r>
    </w:p>
    <w:p w14:paraId="39753D9B" w14:textId="77777777" w:rsidR="00E00AFC" w:rsidRDefault="00E00AFC">
      <w:pPr>
        <w:spacing w:after="120"/>
      </w:pPr>
    </w:p>
    <w:p w14:paraId="61C9411E" w14:textId="77777777" w:rsidR="00E00AFC" w:rsidRDefault="004807D4">
      <w:pPr>
        <w:spacing w:after="160"/>
        <w:jc w:val="both"/>
      </w:pPr>
      <w:r>
        <w:t xml:space="preserve">En el marco de este TFM se abordará esta limitación de forma explícita, documentando la composición étnica de los datasets utilizados y discutiendo el alcance de </w:t>
      </w:r>
      <w:r>
        <w:t xml:space="preserve">los resultados en función de esta característica. Se recomienda que trabajos futuros incorporen cohortes con mayor diversidad poblacional, como las disponibles en el African Cancer Registry Network (AFCRN) o en iniciativas más recientes del NCI orientadas </w:t>
      </w:r>
      <w:r>
        <w:t>a la diversidad en investigación genómica oncológica.</w:t>
      </w:r>
    </w:p>
    <w:p w14:paraId="00D405A0" w14:textId="77777777" w:rsidR="00E00AFC" w:rsidRDefault="00E00AFC">
      <w:pPr>
        <w:spacing w:after="120"/>
      </w:pPr>
    </w:p>
    <w:p w14:paraId="60E889EA" w14:textId="77777777" w:rsidR="00E00AFC" w:rsidRDefault="004807D4">
      <w:pPr>
        <w:pStyle w:val="Ttulo3"/>
      </w:pPr>
      <w:bookmarkStart w:id="15" w:name="_Toc222915348"/>
      <w:r>
        <w:lastRenderedPageBreak/>
        <w:t>1.3.4 Relevancia social del trabajo</w:t>
      </w:r>
      <w:bookmarkEnd w:id="15"/>
    </w:p>
    <w:p w14:paraId="53FFB817" w14:textId="77777777" w:rsidR="00E00AFC" w:rsidRDefault="004807D4">
      <w:pPr>
        <w:spacing w:after="160"/>
        <w:jc w:val="both"/>
      </w:pPr>
      <w:r>
        <w:t>El desarrollo de herramientas de predicción de supervivencia oncológica con base genómica tiene un impacto social potencialmente elevado. En el corto plazo, puede co</w:t>
      </w:r>
      <w:r>
        <w:t xml:space="preserve">ntribuir a una mejor estratificación del riesgo en el momento del diagnóstico, facilitando la personalización de los tratamientos y la priorización de recursos en sistemas de salud con capacidad limitada. En el medio y largo plazo, el avance en este campo </w:t>
      </w:r>
      <w:r>
        <w:t>puede contribuir a reducir la mortalidad por cáncer mediante una detección más temprana de perfiles de alto riesgo y una selección más precisa de las intervenciones terapéuticas.</w:t>
      </w:r>
    </w:p>
    <w:p w14:paraId="144626BF" w14:textId="77777777" w:rsidR="00E00AFC" w:rsidRDefault="00E00AFC">
      <w:pPr>
        <w:spacing w:after="120"/>
      </w:pPr>
    </w:p>
    <w:p w14:paraId="62491F70" w14:textId="77777777" w:rsidR="00E00AFC" w:rsidRDefault="004807D4">
      <w:pPr>
        <w:spacing w:after="160"/>
        <w:jc w:val="both"/>
      </w:pPr>
      <w:r>
        <w:t>Desde el punto de vista de la sostenibilidad, el trabajo tiene un impacto am</w:t>
      </w:r>
      <w:r>
        <w:t>biental limitado al uso de recursos computacionales en la nube o en infraestructura universitaria. No obstante, se contempla la optimización del consumo computacional mediante el uso eficiente de algoritmos y la reutilización de representaciones intermedia</w:t>
      </w:r>
      <w:r>
        <w:t>s de datos (embeddings, preprocesados cacheados).</w:t>
      </w:r>
    </w:p>
    <w:p w14:paraId="2A47F26A" w14:textId="77777777" w:rsidR="00E00AFC" w:rsidRDefault="00E00AFC">
      <w:pPr>
        <w:spacing w:after="120"/>
      </w:pPr>
    </w:p>
    <w:p w14:paraId="252BA779" w14:textId="77777777" w:rsidR="00E00AFC" w:rsidRDefault="004807D4">
      <w:pPr>
        <w:pStyle w:val="Ttulo3"/>
      </w:pPr>
      <w:bookmarkStart w:id="16" w:name="_Toc222915349"/>
      <w:r>
        <w:t>1.3.5 Protocolo ético y protección de datos</w:t>
      </w:r>
      <w:bookmarkEnd w:id="16"/>
    </w:p>
    <w:p w14:paraId="16C49411" w14:textId="77777777" w:rsidR="00E00AFC" w:rsidRDefault="004807D4">
      <w:pPr>
        <w:spacing w:after="160"/>
        <w:jc w:val="both"/>
      </w:pPr>
      <w:r>
        <w:t>El protocolo ético del presente TFM se basa en los siguientes principios y medidas concretas:</w:t>
      </w:r>
    </w:p>
    <w:p w14:paraId="0E71121E" w14:textId="77777777" w:rsidR="00E00AFC" w:rsidRDefault="00E00AFC">
      <w:pPr>
        <w:spacing w:after="120"/>
      </w:pPr>
    </w:p>
    <w:p w14:paraId="22D0B662" w14:textId="77777777" w:rsidR="00E00AFC" w:rsidRDefault="004807D4">
      <w:pPr>
        <w:pStyle w:val="Prrafodelista"/>
        <w:numPr>
          <w:ilvl w:val="0"/>
          <w:numId w:val="2"/>
        </w:numPr>
        <w:spacing w:after="80"/>
      </w:pPr>
      <w:r>
        <w:t>RGPD y normativa aplicable: El trabajo se enmarca en el uso secund</w:t>
      </w:r>
      <w:r>
        <w:t>ario de datos de investigación previamente anonimizados y recopilados con el consentimiento informado de los participantes en sus estudios de origen. El tratamiento de estos datos respeta los principios de minimización, finalidad y limitación del almacenam</w:t>
      </w:r>
      <w:r>
        <w:t>iento establecidos por el RGPD.</w:t>
      </w:r>
    </w:p>
    <w:p w14:paraId="3BF18AE5" w14:textId="77777777" w:rsidR="00E00AFC" w:rsidRDefault="004807D4">
      <w:pPr>
        <w:pStyle w:val="Prrafodelista"/>
        <w:numPr>
          <w:ilvl w:val="0"/>
          <w:numId w:val="2"/>
        </w:numPr>
        <w:spacing w:after="80"/>
      </w:pPr>
      <w:r>
        <w:t>Anonimización: Los datasets TCGA y METABRIC utilizan identificadores seudoanónimos (códigos alfanuméricos) en lugar de nombres, fechas de nacimiento exactas u otros datos directamente identificativos. El TFM no realizará nin</w:t>
      </w:r>
      <w:r>
        <w:t>gún intento de reidentificación de sujetos y los identificadores internos de los datasets no serán publicados ni compartidos fuera del entorno de investigación.</w:t>
      </w:r>
    </w:p>
    <w:p w14:paraId="3C6A3CFF" w14:textId="77777777" w:rsidR="00E00AFC" w:rsidRDefault="004807D4">
      <w:pPr>
        <w:pStyle w:val="Prrafodelista"/>
        <w:numPr>
          <w:ilvl w:val="0"/>
          <w:numId w:val="2"/>
        </w:numPr>
        <w:spacing w:after="80"/>
      </w:pPr>
      <w:r>
        <w:t>Uso de datasets públicos: TCGA es accesible de forma abierta para datos no controlados a través</w:t>
      </w:r>
      <w:r>
        <w:t xml:space="preserve"> del GDC Data Portal, y de forma controlada (previo acuerdo de acceso) para ciertos tipos de datos. METABRIC está disponible a través de cBioPortal para uso no comercial. En ambos casos, el acceso a los datos se realizará cumpliendo estrictamente los térmi</w:t>
      </w:r>
      <w:r>
        <w:t>nos y condiciones de uso establecidos por las instituciones custodias.</w:t>
      </w:r>
    </w:p>
    <w:p w14:paraId="52B2D941" w14:textId="77777777" w:rsidR="00E00AFC" w:rsidRDefault="004807D4">
      <w:pPr>
        <w:pStyle w:val="Prrafodelista"/>
        <w:numPr>
          <w:ilvl w:val="0"/>
          <w:numId w:val="2"/>
        </w:numPr>
        <w:spacing w:after="80"/>
      </w:pPr>
      <w:r>
        <w:t>Buenas prácticas en ciencia de datos biomédica: Se seguirán las directrices FAIR (Findable, Accessible, Interoperable, Reusable) para la gestión de datos y código. El repositorio de cód</w:t>
      </w:r>
      <w:r>
        <w:t>igo será público, pero no incluirá datos de pacientes. Se utilizará control de versiones (Git) y se documentarán exhaustivamente todas las decisiones de preprocesamiento y modelado.</w:t>
      </w:r>
    </w:p>
    <w:p w14:paraId="32456B8E" w14:textId="77777777" w:rsidR="00E00AFC" w:rsidRDefault="00E00AFC">
      <w:pPr>
        <w:spacing w:after="120"/>
      </w:pPr>
    </w:p>
    <w:p w14:paraId="2C3BF15E" w14:textId="77777777" w:rsidR="00E00AFC" w:rsidRDefault="004807D4">
      <w:r>
        <w:br w:type="page"/>
      </w:r>
    </w:p>
    <w:p w14:paraId="12A76144" w14:textId="77777777" w:rsidR="00E00AFC" w:rsidRDefault="004807D4">
      <w:pPr>
        <w:pStyle w:val="Ttulo2"/>
      </w:pPr>
      <w:bookmarkStart w:id="17" w:name="_Toc222915350"/>
      <w:r>
        <w:lastRenderedPageBreak/>
        <w:t>1.4 Enfoque y método seguido</w:t>
      </w:r>
      <w:bookmarkEnd w:id="17"/>
    </w:p>
    <w:p w14:paraId="3A4B376F" w14:textId="77777777" w:rsidR="00E00AFC" w:rsidRDefault="004807D4">
      <w:pPr>
        <w:pStyle w:val="Ttulo3"/>
      </w:pPr>
      <w:bookmarkStart w:id="18" w:name="_Toc222915351"/>
      <w:r>
        <w:t>1.4.1 Tipo de estudio</w:t>
      </w:r>
      <w:bookmarkEnd w:id="18"/>
    </w:p>
    <w:p w14:paraId="729A6CF8" w14:textId="77777777" w:rsidR="00E00AFC" w:rsidRDefault="004807D4">
      <w:pPr>
        <w:spacing w:after="160"/>
        <w:jc w:val="both"/>
      </w:pPr>
      <w:r>
        <w:t xml:space="preserve">El presente trabajo </w:t>
      </w:r>
      <w:r>
        <w:t>corresponde a un estudio observacional retrospectivo basado en análisis secundario de datos. No se realizará ninguna intervención sobre sujetos ni se recopilarán nuevos datos. El diseño analítico es de cohorte histórica: se parte de conjuntos de datos de p</w:t>
      </w:r>
      <w:r>
        <w:t>acientes oncológicos con seguimiento conocido, y se modela el tiempo hasta el evento (muerte, recurrencia) en función de los perfiles genómicos y variables clínicas disponibles.</w:t>
      </w:r>
    </w:p>
    <w:p w14:paraId="29536985" w14:textId="77777777" w:rsidR="00E00AFC" w:rsidRDefault="00E00AFC">
      <w:pPr>
        <w:spacing w:after="120"/>
      </w:pPr>
    </w:p>
    <w:p w14:paraId="0003DDE0" w14:textId="77777777" w:rsidR="00E00AFC" w:rsidRDefault="004807D4">
      <w:pPr>
        <w:pStyle w:val="Ttulo3"/>
      </w:pPr>
      <w:bookmarkStart w:id="19" w:name="_Toc222915352"/>
      <w:r>
        <w:t>1.4.2 Pipeline metodológico</w:t>
      </w:r>
      <w:bookmarkEnd w:id="19"/>
    </w:p>
    <w:p w14:paraId="2F638396" w14:textId="77777777" w:rsidR="00E00AFC" w:rsidRDefault="004807D4">
      <w:pPr>
        <w:spacing w:after="160"/>
        <w:jc w:val="both"/>
      </w:pPr>
      <w:r>
        <w:t>El flujo de trabajo se estructura en las siguientes etapas secuenciales:</w:t>
      </w:r>
    </w:p>
    <w:p w14:paraId="17BBE797" w14:textId="77777777" w:rsidR="00E00AFC" w:rsidRDefault="00E00AF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2183"/>
        <w:gridCol w:w="3729"/>
        <w:gridCol w:w="2457"/>
      </w:tblGrid>
      <w:tr w:rsidR="00E00AFC" w14:paraId="02E3B4C4"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EB041D8" w14:textId="77777777" w:rsidR="00E00AFC" w:rsidRDefault="004807D4">
            <w:pPr>
              <w:jc w:val="center"/>
            </w:pPr>
            <w:r>
              <w:rPr>
                <w:b/>
                <w:bCs/>
                <w:color w:val="FFFFFF"/>
                <w:sz w:val="20"/>
                <w:szCs w:val="20"/>
              </w:rPr>
              <w:t>Fase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ADABD37" w14:textId="77777777" w:rsidR="00E00AFC" w:rsidRDefault="004807D4">
            <w:pPr>
              <w:jc w:val="center"/>
            </w:pPr>
            <w:r>
              <w:rPr>
                <w:b/>
                <w:bCs/>
                <w:color w:val="FFFFFF"/>
                <w:sz w:val="20"/>
                <w:szCs w:val="20"/>
              </w:rPr>
              <w:t>Etapa</w:t>
            </w:r>
          </w:p>
        </w:tc>
        <w:tc>
          <w:tcPr>
            <w:tcW w:w="38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499E2F3" w14:textId="77777777" w:rsidR="00E00AFC" w:rsidRDefault="004807D4">
            <w:pPr>
              <w:jc w:val="center"/>
            </w:pPr>
            <w:r>
              <w:rPr>
                <w:b/>
                <w:bCs/>
                <w:color w:val="FFFFFF"/>
                <w:sz w:val="20"/>
                <w:szCs w:val="20"/>
              </w:rPr>
              <w:t>Actividades principales</w:t>
            </w:r>
          </w:p>
        </w:tc>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EA45F29" w14:textId="77777777" w:rsidR="00E00AFC" w:rsidRDefault="004807D4">
            <w:pPr>
              <w:jc w:val="center"/>
            </w:pPr>
            <w:r>
              <w:rPr>
                <w:b/>
                <w:bCs/>
                <w:color w:val="FFFFFF"/>
                <w:sz w:val="20"/>
                <w:szCs w:val="20"/>
              </w:rPr>
              <w:t>Herramientas / Librerías</w:t>
            </w:r>
          </w:p>
        </w:tc>
      </w:tr>
      <w:tr w:rsidR="00E00AFC" w14:paraId="4BC881A9"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9A62E5" w14:textId="77777777" w:rsidR="00E00AFC" w:rsidRDefault="004807D4">
            <w:r>
              <w:rPr>
                <w:b/>
                <w:bCs/>
                <w:sz w:val="20"/>
                <w:szCs w:val="20"/>
              </w:rPr>
              <w:t>1</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1D0E507" w14:textId="77777777" w:rsidR="00E00AFC" w:rsidRDefault="004807D4">
            <w:r>
              <w:rPr>
                <w:sz w:val="20"/>
                <w:szCs w:val="20"/>
              </w:rPr>
              <w:t>Adquisición de datos</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5EF1570" w14:textId="77777777" w:rsidR="00E00AFC" w:rsidRDefault="004807D4">
            <w:r>
              <w:rPr>
                <w:sz w:val="20"/>
                <w:szCs w:val="20"/>
              </w:rPr>
              <w:t>Descarga de datasets TCGA y METABRIC; selección de variables relevantes (expresión génica, mutaciones, CNV, variables clínicas de supervivencia)</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0161FA2" w14:textId="77777777" w:rsidR="00E00AFC" w:rsidRDefault="004807D4">
            <w:r>
              <w:rPr>
                <w:sz w:val="20"/>
                <w:szCs w:val="20"/>
              </w:rPr>
              <w:t>GDC Data Transfer Tool, cBioPortal API, TCGAbiolinks (R/Python)</w:t>
            </w:r>
          </w:p>
        </w:tc>
      </w:tr>
      <w:tr w:rsidR="00E00AFC" w14:paraId="022CC686"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6231B3E" w14:textId="77777777" w:rsidR="00E00AFC" w:rsidRDefault="004807D4">
            <w:r>
              <w:rPr>
                <w:b/>
                <w:bCs/>
                <w:sz w:val="20"/>
                <w:szCs w:val="20"/>
              </w:rPr>
              <w:t>2</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BD8F41C" w14:textId="77777777" w:rsidR="00E00AFC" w:rsidRDefault="004807D4">
            <w:r>
              <w:rPr>
                <w:sz w:val="20"/>
                <w:szCs w:val="20"/>
              </w:rPr>
              <w:t>Preprocesamiento y calidad</w:t>
            </w:r>
          </w:p>
        </w:tc>
        <w:tc>
          <w:tcPr>
            <w:tcW w:w="38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D19C729" w14:textId="77777777" w:rsidR="00E00AFC" w:rsidRDefault="004807D4">
            <w:r>
              <w:rPr>
                <w:sz w:val="20"/>
                <w:szCs w:val="20"/>
              </w:rPr>
              <w:t>Filtrado de genes</w:t>
            </w:r>
            <w:r>
              <w:rPr>
                <w:sz w:val="20"/>
                <w:szCs w:val="20"/>
              </w:rPr>
              <w:t xml:space="preserve"> de baja varianza, normalización (TPM/FPKM), imputación de valores ausentes, selección de características (PCA, LASSO, top-k varianza)</w:t>
            </w:r>
          </w:p>
        </w:tc>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0FA6CCC" w14:textId="77777777" w:rsidR="00E00AFC" w:rsidRDefault="004807D4">
            <w:r>
              <w:rPr>
                <w:sz w:val="20"/>
                <w:szCs w:val="20"/>
              </w:rPr>
              <w:t>Python (pandas, numpy, scikit-learn), R (limma, edgeR)</w:t>
            </w:r>
          </w:p>
        </w:tc>
      </w:tr>
      <w:tr w:rsidR="00E00AFC" w14:paraId="19D5A20C"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AC8B230" w14:textId="77777777" w:rsidR="00E00AFC" w:rsidRDefault="004807D4">
            <w:r>
              <w:rPr>
                <w:b/>
                <w:bCs/>
                <w:sz w:val="20"/>
                <w:szCs w:val="20"/>
              </w:rPr>
              <w:t>3</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068950F" w14:textId="77777777" w:rsidR="00E00AFC" w:rsidRDefault="004807D4">
            <w:r>
              <w:rPr>
                <w:sz w:val="20"/>
                <w:szCs w:val="20"/>
              </w:rPr>
              <w:t>Análisis exploratorio (EDA)</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72B4511" w14:textId="77777777" w:rsidR="00E00AFC" w:rsidRDefault="004807D4">
            <w:r>
              <w:rPr>
                <w:sz w:val="20"/>
                <w:szCs w:val="20"/>
              </w:rPr>
              <w:t>Distribución de variables clínicas, tasas de eventos, análisis de censura, correlaciones entre expresión génica y supervivencia</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058BEC" w14:textId="77777777" w:rsidR="00E00AFC" w:rsidRDefault="004807D4">
            <w:r>
              <w:rPr>
                <w:sz w:val="20"/>
                <w:szCs w:val="20"/>
              </w:rPr>
              <w:t>matplotlib, seaborn, lifelines (Python)</w:t>
            </w:r>
          </w:p>
        </w:tc>
      </w:tr>
      <w:tr w:rsidR="00E00AFC" w14:paraId="27C61279"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3B65A83" w14:textId="77777777" w:rsidR="00E00AFC" w:rsidRDefault="004807D4">
            <w:r>
              <w:rPr>
                <w:b/>
                <w:bCs/>
                <w:sz w:val="20"/>
                <w:szCs w:val="20"/>
              </w:rPr>
              <w:t>4</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BB173F" w14:textId="77777777" w:rsidR="00E00AFC" w:rsidRDefault="004807D4">
            <w:r>
              <w:rPr>
                <w:sz w:val="20"/>
                <w:szCs w:val="20"/>
              </w:rPr>
              <w:t>Modelado de supervivencia</w:t>
            </w:r>
          </w:p>
        </w:tc>
        <w:tc>
          <w:tcPr>
            <w:tcW w:w="38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577CCEA" w14:textId="77777777" w:rsidR="00E00AFC" w:rsidRDefault="004807D4">
            <w:r>
              <w:rPr>
                <w:sz w:val="20"/>
                <w:szCs w:val="20"/>
              </w:rPr>
              <w:t>Implementación de Kaplan-Meier, Cox PH, RSF y DeepSurv; ajuste de hiperparámetros mediante búsqueda en rejilla o Bayesiana</w:t>
            </w:r>
          </w:p>
        </w:tc>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FFCFEC0" w14:textId="77777777" w:rsidR="00E00AFC" w:rsidRDefault="004807D4">
            <w:r>
              <w:rPr>
                <w:sz w:val="20"/>
                <w:szCs w:val="20"/>
              </w:rPr>
              <w:t>lifelines, scikit-survival, pycox, PyTorch / TensorFlow</w:t>
            </w:r>
          </w:p>
        </w:tc>
      </w:tr>
      <w:tr w:rsidR="00E00AFC" w14:paraId="38E65525"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BF7635" w14:textId="77777777" w:rsidR="00E00AFC" w:rsidRDefault="004807D4">
            <w:r>
              <w:rPr>
                <w:b/>
                <w:bCs/>
                <w:sz w:val="20"/>
                <w:szCs w:val="20"/>
              </w:rPr>
              <w:t>5</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026CFAE" w14:textId="77777777" w:rsidR="00E00AFC" w:rsidRDefault="004807D4">
            <w:r>
              <w:rPr>
                <w:sz w:val="20"/>
                <w:szCs w:val="20"/>
              </w:rPr>
              <w:t>Evaluación y validación</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BFA2CF1" w14:textId="77777777" w:rsidR="00E00AFC" w:rsidRDefault="004807D4">
            <w:r>
              <w:rPr>
                <w:sz w:val="20"/>
                <w:szCs w:val="20"/>
              </w:rPr>
              <w:t>C-index, Brier Score, log-rank test; validación cruzada k-fold (k=5 o k=10); validación externa cruzando datasets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79ACE39" w14:textId="77777777" w:rsidR="00E00AFC" w:rsidRDefault="004807D4">
            <w:r>
              <w:rPr>
                <w:sz w:val="20"/>
                <w:szCs w:val="20"/>
              </w:rPr>
              <w:t>scikit-survival, lifelines, scipy.stats</w:t>
            </w:r>
          </w:p>
        </w:tc>
      </w:tr>
      <w:tr w:rsidR="00E00AFC" w14:paraId="5A75C066"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75D509E" w14:textId="77777777" w:rsidR="00E00AFC" w:rsidRDefault="004807D4">
            <w:r>
              <w:rPr>
                <w:b/>
                <w:bCs/>
                <w:sz w:val="20"/>
                <w:szCs w:val="20"/>
              </w:rPr>
              <w:t>6</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1EAB7FB" w14:textId="77777777" w:rsidR="00E00AFC" w:rsidRDefault="004807D4">
            <w:r>
              <w:rPr>
                <w:sz w:val="20"/>
                <w:szCs w:val="20"/>
              </w:rPr>
              <w:t>Interpretabilidad y análisis de importancia</w:t>
            </w:r>
          </w:p>
        </w:tc>
        <w:tc>
          <w:tcPr>
            <w:tcW w:w="38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A0F851" w14:textId="77777777" w:rsidR="00E00AFC" w:rsidRDefault="004807D4">
            <w:r>
              <w:rPr>
                <w:sz w:val="20"/>
                <w:szCs w:val="20"/>
              </w:rPr>
              <w:t>Extracción de variables más relevantes; análisis SHAP para modelos complejos; comparación con literatura genómica</w:t>
            </w:r>
          </w:p>
        </w:tc>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E6316FE" w14:textId="77777777" w:rsidR="00E00AFC" w:rsidRDefault="004807D4">
            <w:r>
              <w:rPr>
                <w:sz w:val="20"/>
                <w:szCs w:val="20"/>
              </w:rPr>
              <w:t>shap, RSF feature importance, coeficientes Cox</w:t>
            </w:r>
          </w:p>
        </w:tc>
      </w:tr>
      <w:tr w:rsidR="00E00AFC" w14:paraId="5E3F0954" w14:textId="77777777">
        <w:tblPrEx>
          <w:tblCellMar>
            <w:top w:w="0" w:type="dxa"/>
            <w:bottom w:w="0" w:type="dxa"/>
          </w:tblCellMar>
        </w:tblPrEx>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62F6BF" w14:textId="77777777" w:rsidR="00E00AFC" w:rsidRDefault="004807D4">
            <w:r>
              <w:rPr>
                <w:b/>
                <w:bCs/>
                <w:sz w:val="20"/>
                <w:szCs w:val="20"/>
              </w:rPr>
              <w:t>7</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9A0FA97" w14:textId="77777777" w:rsidR="00E00AFC" w:rsidRDefault="004807D4">
            <w:r>
              <w:rPr>
                <w:sz w:val="20"/>
                <w:szCs w:val="20"/>
              </w:rPr>
              <w:t>Análisis comparativo inter-dataset</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FBA60C7" w14:textId="77777777" w:rsidR="00E00AFC" w:rsidRDefault="004807D4">
            <w:r>
              <w:rPr>
                <w:sz w:val="20"/>
                <w:szCs w:val="20"/>
              </w:rPr>
              <w:t>Transferencia de modelos entre TCGA y METABRIC; análisis de diferencias en rendimiento; discusión de causas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C1F77AC" w14:textId="77777777" w:rsidR="00E00AFC" w:rsidRDefault="004807D4">
            <w:r>
              <w:rPr>
                <w:sz w:val="20"/>
                <w:szCs w:val="20"/>
              </w:rPr>
              <w:t>Python, tablas comparativas, visualizaciones</w:t>
            </w:r>
          </w:p>
        </w:tc>
      </w:tr>
    </w:tbl>
    <w:p w14:paraId="3355C17E" w14:textId="77777777" w:rsidR="00E00AFC" w:rsidRDefault="00E00AFC">
      <w:pPr>
        <w:spacing w:after="120"/>
      </w:pPr>
    </w:p>
    <w:p w14:paraId="7BECE0C7" w14:textId="77777777" w:rsidR="00E00AFC" w:rsidRDefault="004807D4">
      <w:pPr>
        <w:pStyle w:val="Ttulo3"/>
      </w:pPr>
      <w:bookmarkStart w:id="20" w:name="_Toc222915353"/>
      <w:r>
        <w:t>1.4.3 Técnicas de análisis de supervivencia</w:t>
      </w:r>
      <w:bookmarkEnd w:id="20"/>
    </w:p>
    <w:p w14:paraId="4978229C" w14:textId="77777777" w:rsidR="00E00AFC" w:rsidRDefault="004807D4">
      <w:pPr>
        <w:spacing w:after="160"/>
        <w:jc w:val="both"/>
      </w:pPr>
      <w:r>
        <w:t>Se describen a continuación las técnicas metodológicas que se implementarán en el trabajo:</w:t>
      </w:r>
    </w:p>
    <w:p w14:paraId="20D49F4E" w14:textId="77777777" w:rsidR="00E00AFC" w:rsidRDefault="00E00AFC">
      <w:pPr>
        <w:spacing w:after="120"/>
      </w:pPr>
    </w:p>
    <w:p w14:paraId="17F024A4" w14:textId="77777777" w:rsidR="00E00AFC" w:rsidRDefault="004807D4">
      <w:pPr>
        <w:pStyle w:val="Prrafodelista"/>
        <w:numPr>
          <w:ilvl w:val="0"/>
          <w:numId w:val="2"/>
        </w:numPr>
        <w:spacing w:after="80"/>
      </w:pPr>
      <w:r>
        <w:t>Estimador de Kaplan-Meier: Método no paramétrico para la estimación de la función de supervivencia a partir de datos censurados. Se utilizará para la descripción inicial de las curvas de supervivencia por grupos (subtipos moleculares, estadios) y para la v</w:t>
      </w:r>
      <w:r>
        <w:t>isualización de diferencias entre cohortes mediante el test log-rank.</w:t>
      </w:r>
    </w:p>
    <w:p w14:paraId="72BA6EFB" w14:textId="77777777" w:rsidR="00E00AFC" w:rsidRDefault="004807D4">
      <w:pPr>
        <w:pStyle w:val="Prrafodelista"/>
        <w:numPr>
          <w:ilvl w:val="0"/>
          <w:numId w:val="2"/>
        </w:numPr>
        <w:spacing w:after="80"/>
      </w:pPr>
      <w:r>
        <w:t>Modelo de riesgos proporcionales de Cox (Cox PH): Modelo semiparamétrico que modela la tasa de riesgo instantánea (hazard) como producto de una función basal no especificada y una funció</w:t>
      </w:r>
      <w:r>
        <w:t>n exponencial de las covariables. Permite estimar el efecto relativo de cada variable genómica sobre el riesgo de evento. Se explorará la regularización mediante penalización LASSO para el manejo de alta dimensionalidad.</w:t>
      </w:r>
    </w:p>
    <w:p w14:paraId="7540975B" w14:textId="77777777" w:rsidR="00E00AFC" w:rsidRDefault="004807D4">
      <w:pPr>
        <w:pStyle w:val="Prrafodelista"/>
        <w:numPr>
          <w:ilvl w:val="0"/>
          <w:numId w:val="2"/>
        </w:numPr>
        <w:spacing w:after="80"/>
      </w:pPr>
      <w:r>
        <w:t>Random Survival Forest (RSF): Exten</w:t>
      </w:r>
      <w:r>
        <w:t>sión del algoritmo de bosque aleatorio al contexto de supervivencia, basada en la construcción de múltiples árboles de supervivencia mediante la función de log-rank como criterio de división. Permite capturar relaciones no lineales e interacciones entre va</w:t>
      </w:r>
      <w:r>
        <w:t>riables sin necesidad de asumir proporcionalidad de los riesgos.</w:t>
      </w:r>
    </w:p>
    <w:p w14:paraId="49FB67C8" w14:textId="77777777" w:rsidR="00E00AFC" w:rsidRDefault="004807D4">
      <w:pPr>
        <w:pStyle w:val="Prrafodelista"/>
        <w:numPr>
          <w:ilvl w:val="0"/>
          <w:numId w:val="2"/>
        </w:numPr>
        <w:spacing w:after="80"/>
      </w:pPr>
      <w:r>
        <w:t>DeepSurv: Red neuronal profunda de tipo feedforward que minimiza la función de pérdida de verosimilitud parcial de Cox. Permite modelar relaciones altamente no lineales entre las variables de</w:t>
      </w:r>
      <w:r>
        <w:t xml:space="preserve"> entrada y el riesgo de evento, ofreciendo mayor flexibilidad a costa de mayor complejidad de entrenamiento e interpretabilidad reducida.</w:t>
      </w:r>
    </w:p>
    <w:p w14:paraId="4CC948E2" w14:textId="77777777" w:rsidR="00E00AFC" w:rsidRDefault="00E00AFC">
      <w:pPr>
        <w:spacing w:after="120"/>
      </w:pPr>
    </w:p>
    <w:p w14:paraId="60FDEF26" w14:textId="77777777" w:rsidR="00E00AFC" w:rsidRDefault="004807D4">
      <w:pPr>
        <w:pStyle w:val="Ttulo3"/>
      </w:pPr>
      <w:bookmarkStart w:id="21" w:name="_Toc222915354"/>
      <w:r>
        <w:t>1.4.4 Métricas de evaluación</w:t>
      </w:r>
      <w:bookmarkEnd w:id="21"/>
    </w:p>
    <w:p w14:paraId="08CC77F9" w14:textId="77777777" w:rsidR="00E00AFC" w:rsidRDefault="004807D4">
      <w:pPr>
        <w:spacing w:after="160"/>
        <w:jc w:val="both"/>
      </w:pPr>
      <w:r>
        <w:t>Se utilizarán las siguientes métricas para la evaluación y comparación de modelos:</w:t>
      </w:r>
    </w:p>
    <w:p w14:paraId="272345E7" w14:textId="77777777" w:rsidR="00E00AFC" w:rsidRDefault="00E00AFC">
      <w:pPr>
        <w:spacing w:after="120"/>
      </w:pPr>
    </w:p>
    <w:p w14:paraId="0F3D7C79" w14:textId="77777777" w:rsidR="00E00AFC" w:rsidRDefault="004807D4">
      <w:pPr>
        <w:pStyle w:val="Prrafodelista"/>
        <w:numPr>
          <w:ilvl w:val="0"/>
          <w:numId w:val="2"/>
        </w:numPr>
        <w:spacing w:after="80"/>
      </w:pPr>
      <w:r>
        <w:t>C-index (Concordance Index): Mide la probabilidad de que, dado un par de pacientes, el modelo asigne un riesgo mayor al que experimenta el evento primero. Equivalente al área bajo la curva ROC para datos de supervivencia. Valores próximos a 1 indican discr</w:t>
      </w:r>
      <w:r>
        <w:t>iminación excelente; valores cercanos a 0,5 indican rendimiento similar al azar.</w:t>
      </w:r>
    </w:p>
    <w:p w14:paraId="44DCE15C" w14:textId="77777777" w:rsidR="00E00AFC" w:rsidRDefault="004807D4">
      <w:pPr>
        <w:pStyle w:val="Prrafodelista"/>
        <w:numPr>
          <w:ilvl w:val="0"/>
          <w:numId w:val="2"/>
        </w:numPr>
        <w:spacing w:after="80"/>
      </w:pPr>
      <w:r>
        <w:t>Brier Score integrado (IBS): Mide el error cuadrático medio de la probabilidad de supervivencia estimada respecto al resultado real observado, integrado sobre el horizonte tem</w:t>
      </w:r>
      <w:r>
        <w:t>poral de seguimiento. Proporciona una medida de calibración y discriminación conjunta.</w:t>
      </w:r>
    </w:p>
    <w:p w14:paraId="68BE5120" w14:textId="77777777" w:rsidR="00E00AFC" w:rsidRDefault="004807D4">
      <w:pPr>
        <w:pStyle w:val="Prrafodelista"/>
        <w:numPr>
          <w:ilvl w:val="0"/>
          <w:numId w:val="2"/>
        </w:numPr>
        <w:spacing w:after="80"/>
      </w:pPr>
      <w:r>
        <w:t>Log-rank test: Test estadístico no paramétrico para la comparación de curvas de supervivencia entre grupos. Se utilizará para evaluar si las diferencias en supervivencia</w:t>
      </w:r>
      <w:r>
        <w:t xml:space="preserve"> entre subgrupos definidos por perfil genómico o por dataset son estadísticamente significativas.</w:t>
      </w:r>
    </w:p>
    <w:p w14:paraId="683B1622" w14:textId="77777777" w:rsidR="00E00AFC" w:rsidRDefault="00E00AFC">
      <w:pPr>
        <w:spacing w:after="120"/>
      </w:pPr>
    </w:p>
    <w:p w14:paraId="3DCD0A91" w14:textId="77777777" w:rsidR="00E00AFC" w:rsidRDefault="004807D4">
      <w:r>
        <w:br w:type="page"/>
      </w:r>
    </w:p>
    <w:p w14:paraId="7E1B2BF2" w14:textId="77777777" w:rsidR="00E00AFC" w:rsidRDefault="004807D4">
      <w:pPr>
        <w:pStyle w:val="Ttulo2"/>
      </w:pPr>
      <w:bookmarkStart w:id="22" w:name="_Toc222915355"/>
      <w:r>
        <w:lastRenderedPageBreak/>
        <w:t>1.5 Planificación del trabajo</w:t>
      </w:r>
      <w:bookmarkEnd w:id="22"/>
    </w:p>
    <w:p w14:paraId="7371E9DB" w14:textId="77777777" w:rsidR="00E00AFC" w:rsidRDefault="004807D4">
      <w:pPr>
        <w:pStyle w:val="Ttulo3"/>
      </w:pPr>
      <w:bookmarkStart w:id="23" w:name="_Toc222915356"/>
      <w:r>
        <w:t>1.5.1 Fases, tareas, entregables e hitos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088"/>
        <w:gridCol w:w="2200"/>
        <w:gridCol w:w="1460"/>
        <w:gridCol w:w="1344"/>
      </w:tblGrid>
      <w:tr w:rsidR="00E00AFC" w14:paraId="78AF8E8D"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4257C01" w14:textId="77777777" w:rsidR="00E00AFC" w:rsidRDefault="004807D4">
            <w:pPr>
              <w:jc w:val="center"/>
            </w:pPr>
            <w:r>
              <w:rPr>
                <w:b/>
                <w:bCs/>
                <w:color w:val="FFFFFF"/>
                <w:sz w:val="20"/>
                <w:szCs w:val="20"/>
              </w:rPr>
              <w:t>Fase</w:t>
            </w:r>
          </w:p>
        </w:tc>
        <w:tc>
          <w:tcPr>
            <w:tcW w:w="2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D131F88" w14:textId="77777777" w:rsidR="00E00AFC" w:rsidRDefault="004807D4">
            <w:pPr>
              <w:jc w:val="center"/>
            </w:pPr>
            <w:r>
              <w:rPr>
                <w:b/>
                <w:bCs/>
                <w:color w:val="FFFFFF"/>
                <w:sz w:val="20"/>
                <w:szCs w:val="20"/>
              </w:rPr>
              <w:t>Tareas principales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1AD9746" w14:textId="77777777" w:rsidR="00E00AFC" w:rsidRDefault="004807D4">
            <w:pPr>
              <w:jc w:val="center"/>
            </w:pPr>
            <w:r>
              <w:rPr>
                <w:b/>
                <w:bCs/>
                <w:color w:val="FFFFFF"/>
                <w:sz w:val="20"/>
                <w:szCs w:val="20"/>
              </w:rPr>
              <w:t>Entregables</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B911D5D" w14:textId="77777777" w:rsidR="00E00AFC" w:rsidRDefault="004807D4">
            <w:pPr>
              <w:jc w:val="center"/>
            </w:pPr>
            <w:r>
              <w:rPr>
                <w:b/>
                <w:bCs/>
                <w:color w:val="FFFFFF"/>
                <w:sz w:val="20"/>
                <w:szCs w:val="20"/>
              </w:rPr>
              <w:t>Hito</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92056D2" w14:textId="77777777" w:rsidR="00E00AFC" w:rsidRDefault="004807D4">
            <w:pPr>
              <w:jc w:val="center"/>
            </w:pPr>
            <w:r>
              <w:rPr>
                <w:b/>
                <w:bCs/>
                <w:color w:val="FFFFFF"/>
                <w:sz w:val="20"/>
                <w:szCs w:val="20"/>
              </w:rPr>
              <w:t>Duración est.</w:t>
            </w:r>
          </w:p>
        </w:tc>
      </w:tr>
      <w:tr w:rsidR="00E00AFC" w14:paraId="739BBBC4"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1FCB661" w14:textId="77777777" w:rsidR="00E00AFC" w:rsidRDefault="004807D4">
            <w:r>
              <w:rPr>
                <w:b/>
                <w:bCs/>
                <w:sz w:val="20"/>
                <w:szCs w:val="20"/>
              </w:rPr>
              <w:t>F1 – Definición y estado del arte</w:t>
            </w:r>
          </w:p>
        </w:tc>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6ED6427" w14:textId="77777777" w:rsidR="00E00AFC" w:rsidRDefault="004807D4">
            <w:r>
              <w:rPr>
                <w:sz w:val="20"/>
                <w:szCs w:val="20"/>
              </w:rPr>
              <w:t>Revisión bibliográfica; definición del alcance; selección definitiva de datasets y metodología</w:t>
            </w:r>
          </w:p>
        </w:tc>
        <w:tc>
          <w:tcPr>
            <w:tcW w:w="2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C281FDB" w14:textId="77777777" w:rsidR="00E00AFC" w:rsidRDefault="004807D4">
            <w:r>
              <w:rPr>
                <w:sz w:val="20"/>
                <w:szCs w:val="20"/>
              </w:rPr>
              <w:t>Capítulo 1 (Introducción) + Capítulo 2 (Estado del arte)</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A5B16C8" w14:textId="77777777" w:rsidR="00E00AFC" w:rsidRDefault="004807D4">
            <w:r>
              <w:rPr>
                <w:sz w:val="20"/>
                <w:szCs w:val="20"/>
              </w:rPr>
              <w:t>Aprobación del plan por el tutor</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385EB2B" w14:textId="77777777" w:rsidR="00E00AFC" w:rsidRDefault="004807D4">
            <w:r>
              <w:rPr>
                <w:sz w:val="20"/>
                <w:szCs w:val="20"/>
              </w:rPr>
              <w:t>Mes 1 – Mes 2</w:t>
            </w:r>
          </w:p>
        </w:tc>
      </w:tr>
      <w:tr w:rsidR="00E00AFC" w14:paraId="2EFB4EA2"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7F44D1" w14:textId="77777777" w:rsidR="00E00AFC" w:rsidRDefault="004807D4">
            <w:r>
              <w:rPr>
                <w:b/>
                <w:bCs/>
                <w:sz w:val="20"/>
                <w:szCs w:val="20"/>
              </w:rPr>
              <w:t>F2 – Adquisición y preprocesamiento</w:t>
            </w:r>
          </w:p>
        </w:tc>
        <w:tc>
          <w:tcPr>
            <w:tcW w:w="2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57FCE16" w14:textId="77777777" w:rsidR="00E00AFC" w:rsidRDefault="004807D4">
            <w:r>
              <w:rPr>
                <w:sz w:val="20"/>
                <w:szCs w:val="20"/>
              </w:rPr>
              <w:t>Descarga de TCGA y METABRIC; limpieza, normalización, reducción dimensional y análisis exploratorio</w:t>
            </w:r>
          </w:p>
        </w:tc>
        <w:tc>
          <w:tcPr>
            <w:tcW w:w="2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311D266" w14:textId="77777777" w:rsidR="00E00AFC" w:rsidRDefault="004807D4">
            <w:r>
              <w:rPr>
                <w:sz w:val="20"/>
                <w:szCs w:val="20"/>
              </w:rPr>
              <w:t>Capítulo 3 (Datos) + scripts de preprocesamiento</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DC15392" w14:textId="77777777" w:rsidR="00E00AFC" w:rsidRDefault="004807D4">
            <w:r>
              <w:rPr>
                <w:sz w:val="20"/>
                <w:szCs w:val="20"/>
              </w:rPr>
              <w:t>Dataset listo para modelado</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CAFCA93" w14:textId="77777777" w:rsidR="00E00AFC" w:rsidRDefault="004807D4">
            <w:r>
              <w:rPr>
                <w:sz w:val="20"/>
                <w:szCs w:val="20"/>
              </w:rPr>
              <w:t>Mes 2 – Mes 3</w:t>
            </w:r>
          </w:p>
        </w:tc>
      </w:tr>
      <w:tr w:rsidR="00E00AFC" w14:paraId="2385F417"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A045F9C" w14:textId="77777777" w:rsidR="00E00AFC" w:rsidRDefault="004807D4">
            <w:r>
              <w:rPr>
                <w:b/>
                <w:bCs/>
                <w:sz w:val="20"/>
                <w:szCs w:val="20"/>
              </w:rPr>
              <w:t>F3 – Implementación de modelos</w:t>
            </w:r>
          </w:p>
        </w:tc>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4D4DDCF" w14:textId="77777777" w:rsidR="00E00AFC" w:rsidRDefault="004807D4">
            <w:r>
              <w:rPr>
                <w:sz w:val="20"/>
                <w:szCs w:val="20"/>
              </w:rPr>
              <w:t>Implementación de KM, Cox, RSF y DeepSurv; ajuste de hiperparámetros; primera evaluación</w:t>
            </w:r>
          </w:p>
        </w:tc>
        <w:tc>
          <w:tcPr>
            <w:tcW w:w="2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54E04AC" w14:textId="77777777" w:rsidR="00E00AFC" w:rsidRDefault="004807D4">
            <w:r>
              <w:rPr>
                <w:sz w:val="20"/>
                <w:szCs w:val="20"/>
              </w:rPr>
              <w:t>Capítulo 4 (Metodología) + notebooks de modelos</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D161658" w14:textId="77777777" w:rsidR="00E00AFC" w:rsidRDefault="004807D4">
            <w:r>
              <w:rPr>
                <w:sz w:val="20"/>
                <w:szCs w:val="20"/>
              </w:rPr>
              <w:t>Modelos entrenados y evaluados</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642255" w14:textId="77777777" w:rsidR="00E00AFC" w:rsidRDefault="004807D4">
            <w:r>
              <w:rPr>
                <w:sz w:val="20"/>
                <w:szCs w:val="20"/>
              </w:rPr>
              <w:t>Mes 3 – Mes 4,5</w:t>
            </w:r>
          </w:p>
        </w:tc>
      </w:tr>
      <w:tr w:rsidR="00E00AFC" w14:paraId="49BAD12A"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4F1EEB2" w14:textId="77777777" w:rsidR="00E00AFC" w:rsidRDefault="004807D4">
            <w:r>
              <w:rPr>
                <w:b/>
                <w:bCs/>
                <w:sz w:val="20"/>
                <w:szCs w:val="20"/>
              </w:rPr>
              <w:t>F4 – Análisis y validación</w:t>
            </w:r>
          </w:p>
        </w:tc>
        <w:tc>
          <w:tcPr>
            <w:tcW w:w="2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05F026C" w14:textId="77777777" w:rsidR="00E00AFC" w:rsidRDefault="004807D4">
            <w:r>
              <w:rPr>
                <w:sz w:val="20"/>
                <w:szCs w:val="20"/>
              </w:rPr>
              <w:t>Validación cruzada; análisis de importancia de variables; validación externa entre datasets</w:t>
            </w:r>
          </w:p>
        </w:tc>
        <w:tc>
          <w:tcPr>
            <w:tcW w:w="2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7ECC851" w14:textId="77777777" w:rsidR="00E00AFC" w:rsidRDefault="004807D4">
            <w:r>
              <w:rPr>
                <w:sz w:val="20"/>
                <w:szCs w:val="20"/>
              </w:rPr>
              <w:t>Capítulo 5 (Resultados) + tablas y figuras</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1CDB885" w14:textId="77777777" w:rsidR="00E00AFC" w:rsidRDefault="004807D4">
            <w:r>
              <w:rPr>
                <w:sz w:val="20"/>
                <w:szCs w:val="20"/>
              </w:rPr>
              <w:t>Resultados comparativos completos</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C2CB224" w14:textId="77777777" w:rsidR="00E00AFC" w:rsidRDefault="004807D4">
            <w:r>
              <w:rPr>
                <w:sz w:val="20"/>
                <w:szCs w:val="20"/>
              </w:rPr>
              <w:t>Mes 4,5 – Mes 5,5</w:t>
            </w:r>
          </w:p>
        </w:tc>
      </w:tr>
      <w:tr w:rsidR="00E00AFC" w14:paraId="19B7C64F"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F71A0B" w14:textId="77777777" w:rsidR="00E00AFC" w:rsidRDefault="004807D4">
            <w:r>
              <w:rPr>
                <w:b/>
                <w:bCs/>
                <w:sz w:val="20"/>
                <w:szCs w:val="20"/>
              </w:rPr>
              <w:t>F5 – Redacción y revisión</w:t>
            </w:r>
          </w:p>
        </w:tc>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8AECD0D" w14:textId="77777777" w:rsidR="00E00AFC" w:rsidRDefault="004807D4">
            <w:r>
              <w:rPr>
                <w:sz w:val="20"/>
                <w:szCs w:val="20"/>
              </w:rPr>
              <w:t>Redacción de Capítulos 6 y 7; revisión integral de la memoria; preparación del repositorio público</w:t>
            </w:r>
          </w:p>
        </w:tc>
        <w:tc>
          <w:tcPr>
            <w:tcW w:w="2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4FD0FEA" w14:textId="77777777" w:rsidR="00E00AFC" w:rsidRDefault="004807D4">
            <w:r>
              <w:rPr>
                <w:sz w:val="20"/>
                <w:szCs w:val="20"/>
              </w:rPr>
              <w:t>Memoria completa (capítulos 1-7) + repositorio GitHub</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B585394" w14:textId="77777777" w:rsidR="00E00AFC" w:rsidRDefault="004807D4">
            <w:r>
              <w:rPr>
                <w:sz w:val="20"/>
                <w:szCs w:val="20"/>
              </w:rPr>
              <w:t>Entrega formal del TFM</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68B5139" w14:textId="77777777" w:rsidR="00E00AFC" w:rsidRDefault="004807D4">
            <w:r>
              <w:rPr>
                <w:sz w:val="20"/>
                <w:szCs w:val="20"/>
              </w:rPr>
              <w:t>Mes 5,5 – Mes 6</w:t>
            </w:r>
          </w:p>
        </w:tc>
      </w:tr>
    </w:tbl>
    <w:p w14:paraId="3A3F8CEE" w14:textId="77777777" w:rsidR="00E00AFC" w:rsidRDefault="00E00AFC">
      <w:pPr>
        <w:spacing w:after="120"/>
      </w:pPr>
    </w:p>
    <w:p w14:paraId="330E6433" w14:textId="77777777" w:rsidR="00E00AFC" w:rsidRDefault="004807D4">
      <w:pPr>
        <w:pStyle w:val="Ttulo3"/>
      </w:pPr>
      <w:bookmarkStart w:id="24" w:name="_Toc222915357"/>
      <w:r>
        <w:t>1.5.2 Orientación para el diagrama de Gantt</w:t>
      </w:r>
      <w:bookmarkEnd w:id="24"/>
    </w:p>
    <w:p w14:paraId="4A26B4EB" w14:textId="77777777" w:rsidR="00E00AFC" w:rsidRDefault="004807D4">
      <w:pPr>
        <w:spacing w:after="160"/>
        <w:jc w:val="both"/>
      </w:pPr>
      <w:r>
        <w:t>Se recomienda elaborar el diagrama de Gantt en una herramienta específica (Ganttproject, TeamGantt, Notion, Excel o ProjectLibre). La tabla anterior puede servir de base estructural. Para una buena práctica en la</w:t>
      </w:r>
      <w:r>
        <w:t xml:space="preserve"> elaboración del Gantt:</w:t>
      </w:r>
    </w:p>
    <w:p w14:paraId="49F784A5" w14:textId="77777777" w:rsidR="00E00AFC" w:rsidRDefault="00E00AFC">
      <w:pPr>
        <w:spacing w:after="120"/>
      </w:pPr>
    </w:p>
    <w:p w14:paraId="37A88FA6" w14:textId="77777777" w:rsidR="00E00AFC" w:rsidRDefault="004807D4">
      <w:pPr>
        <w:pStyle w:val="Prrafodelista"/>
        <w:numPr>
          <w:ilvl w:val="0"/>
          <w:numId w:val="2"/>
        </w:numPr>
        <w:spacing w:after="80"/>
      </w:pPr>
      <w:r>
        <w:t>Descomponer cada fase en tareas de no más de 5-10 días de duración para facilitar el seguimiento.</w:t>
      </w:r>
    </w:p>
    <w:p w14:paraId="589BA7BF" w14:textId="77777777" w:rsidR="00E00AFC" w:rsidRDefault="004807D4">
      <w:pPr>
        <w:pStyle w:val="Prrafodelista"/>
        <w:numPr>
          <w:ilvl w:val="0"/>
          <w:numId w:val="2"/>
        </w:numPr>
        <w:spacing w:after="80"/>
      </w:pPr>
      <w:r>
        <w:t>Identificar las dependencias entre tareas (por ejemplo, el modelado depende del preprocesamiento).</w:t>
      </w:r>
    </w:p>
    <w:p w14:paraId="667F3F6C" w14:textId="77777777" w:rsidR="00E00AFC" w:rsidRDefault="004807D4">
      <w:pPr>
        <w:pStyle w:val="Prrafodelista"/>
        <w:numPr>
          <w:ilvl w:val="0"/>
          <w:numId w:val="2"/>
        </w:numPr>
        <w:spacing w:after="80"/>
      </w:pPr>
      <w:r>
        <w:t>Incluir hitos como puntos de contr</w:t>
      </w:r>
      <w:r>
        <w:t>ol (diamonds en la mayoría de herramientas).</w:t>
      </w:r>
    </w:p>
    <w:p w14:paraId="3AB107CC" w14:textId="77777777" w:rsidR="00E00AFC" w:rsidRDefault="004807D4">
      <w:pPr>
        <w:pStyle w:val="Prrafodelista"/>
        <w:numPr>
          <w:ilvl w:val="0"/>
          <w:numId w:val="2"/>
        </w:numPr>
        <w:spacing w:after="80"/>
      </w:pPr>
      <w:r>
        <w:t>Reservar al menos un 15-20% de tiempo adicional como margen de contingencia en cada fase.</w:t>
      </w:r>
    </w:p>
    <w:p w14:paraId="3484F6BA" w14:textId="77777777" w:rsidR="00E00AFC" w:rsidRDefault="004807D4">
      <w:pPr>
        <w:pStyle w:val="Prrafodelista"/>
        <w:numPr>
          <w:ilvl w:val="0"/>
          <w:numId w:val="2"/>
        </w:numPr>
        <w:spacing w:after="80"/>
      </w:pPr>
      <w:r>
        <w:lastRenderedPageBreak/>
        <w:t>Revisar el Gantt con el tutor al inicio del trabajo para validar la planificación temporal.</w:t>
      </w:r>
    </w:p>
    <w:p w14:paraId="6BF9FA56" w14:textId="77777777" w:rsidR="00E00AFC" w:rsidRDefault="00E00AFC">
      <w:pPr>
        <w:spacing w:after="120"/>
      </w:pPr>
    </w:p>
    <w:p w14:paraId="70059AFE" w14:textId="77777777" w:rsidR="00E00AFC" w:rsidRDefault="004807D4">
      <w:pPr>
        <w:pStyle w:val="Ttulo3"/>
      </w:pPr>
      <w:bookmarkStart w:id="25" w:name="_Toc222915358"/>
      <w:r>
        <w:t>1.5.3 Tabla de riesgos y mitigaciones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412"/>
        <w:gridCol w:w="967"/>
        <w:gridCol w:w="2150"/>
        <w:gridCol w:w="2135"/>
      </w:tblGrid>
      <w:tr w:rsidR="00E00AFC" w14:paraId="3BD8C70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217F5E4" w14:textId="77777777" w:rsidR="00E00AFC" w:rsidRDefault="004807D4">
            <w:pPr>
              <w:jc w:val="center"/>
            </w:pPr>
            <w:r>
              <w:rPr>
                <w:b/>
                <w:bCs/>
                <w:color w:val="FFFFFF"/>
                <w:sz w:val="20"/>
                <w:szCs w:val="20"/>
              </w:rPr>
              <w:t>Riesgo identificado</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C40E9CC" w14:textId="77777777" w:rsidR="00E00AFC" w:rsidRDefault="004807D4">
            <w:pPr>
              <w:jc w:val="center"/>
            </w:pPr>
            <w:r>
              <w:rPr>
                <w:b/>
                <w:bCs/>
                <w:color w:val="FFFFFF"/>
                <w:sz w:val="20"/>
                <w:szCs w:val="20"/>
              </w:rPr>
              <w:t>Probabilidad</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155F2E7" w14:textId="77777777" w:rsidR="00E00AFC" w:rsidRDefault="004807D4">
            <w:pPr>
              <w:jc w:val="center"/>
            </w:pPr>
            <w:r>
              <w:rPr>
                <w:b/>
                <w:bCs/>
                <w:color w:val="FFFFFF"/>
                <w:sz w:val="20"/>
                <w:szCs w:val="20"/>
              </w:rPr>
              <w:t>Impacto</w:t>
            </w:r>
          </w:p>
        </w:tc>
        <w:tc>
          <w:tcPr>
            <w:tcW w:w="236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9545FCF" w14:textId="77777777" w:rsidR="00E00AFC" w:rsidRDefault="004807D4">
            <w:pPr>
              <w:jc w:val="center"/>
            </w:pPr>
            <w:r>
              <w:rPr>
                <w:b/>
                <w:bCs/>
                <w:color w:val="FFFFFF"/>
                <w:sz w:val="20"/>
                <w:szCs w:val="20"/>
              </w:rPr>
              <w:t>Plan de mitigación</w:t>
            </w:r>
          </w:p>
        </w:tc>
        <w:tc>
          <w:tcPr>
            <w:tcW w:w="236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4EC6483" w14:textId="77777777" w:rsidR="00E00AFC" w:rsidRDefault="004807D4">
            <w:pPr>
              <w:jc w:val="center"/>
            </w:pPr>
            <w:r>
              <w:rPr>
                <w:b/>
                <w:bCs/>
                <w:color w:val="FFFFFF"/>
                <w:sz w:val="20"/>
                <w:szCs w:val="20"/>
              </w:rPr>
              <w:t>Plan de contingencia</w:t>
            </w:r>
          </w:p>
        </w:tc>
      </w:tr>
      <w:tr w:rsidR="00E00AFC" w14:paraId="3F9A98B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6588F1F" w14:textId="77777777" w:rsidR="00E00AFC" w:rsidRDefault="004807D4">
            <w:r>
              <w:rPr>
                <w:sz w:val="20"/>
                <w:szCs w:val="20"/>
              </w:rPr>
              <w:t>Problemas de acceso o descarga de datos (TCGA/METABRIC)</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E774C7D" w14:textId="77777777" w:rsidR="00E00AFC" w:rsidRDefault="004807D4">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1BE220B" w14:textId="77777777" w:rsidR="00E00AFC" w:rsidRDefault="004807D4">
            <w:r>
              <w:rPr>
                <w:sz w:val="20"/>
                <w:szCs w:val="20"/>
              </w:rPr>
              <w:t>Alto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62CB02D" w14:textId="77777777" w:rsidR="00E00AFC" w:rsidRDefault="004807D4">
            <w:r>
              <w:rPr>
                <w:sz w:val="20"/>
                <w:szCs w:val="20"/>
              </w:rPr>
              <w:t>Consultar documentación oficial; usar herramientas de descarga altern</w:t>
            </w:r>
            <w:r>
              <w:rPr>
                <w:sz w:val="20"/>
                <w:szCs w:val="20"/>
              </w:rPr>
              <w:t>ativas (TCGAbiolinks, cBioPortal API)</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B6F8052" w14:textId="77777777" w:rsidR="00E00AFC" w:rsidRDefault="004807D4">
            <w:r>
              <w:rPr>
                <w:sz w:val="20"/>
                <w:szCs w:val="20"/>
              </w:rPr>
              <w:t>Usar versión pre-procesada disponible en repositorios de referencia (Synapse, GEO)</w:t>
            </w:r>
          </w:p>
        </w:tc>
      </w:tr>
      <w:tr w:rsidR="00E00AFC" w14:paraId="23B21C4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E07C0B" w14:textId="77777777" w:rsidR="00E00AFC" w:rsidRDefault="004807D4">
            <w:r>
              <w:rPr>
                <w:sz w:val="20"/>
                <w:szCs w:val="20"/>
              </w:rPr>
              <w:t>Alta dimensionalidad que dificulte convergencia de modelos</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7037F3F" w14:textId="77777777" w:rsidR="00E00AFC" w:rsidRDefault="004807D4">
            <w:r>
              <w:rPr>
                <w:sz w:val="20"/>
                <w:szCs w:val="20"/>
              </w:rPr>
              <w:t>Alta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C357823" w14:textId="77777777" w:rsidR="00E00AFC" w:rsidRDefault="004807D4">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A4ED844" w14:textId="77777777" w:rsidR="00E00AFC" w:rsidRDefault="004807D4">
            <w:r>
              <w:rPr>
                <w:sz w:val="20"/>
                <w:szCs w:val="20"/>
              </w:rPr>
              <w:t>Aplicar reducción dimensional previa (PCA, LASSO, selección por varianza)</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DCB84CB" w14:textId="77777777" w:rsidR="00E00AFC" w:rsidRDefault="004807D4">
            <w:r>
              <w:rPr>
                <w:sz w:val="20"/>
                <w:szCs w:val="20"/>
              </w:rPr>
              <w:t>Limitar el análisis a un subconjunto de genes validados en la literatura</w:t>
            </w:r>
          </w:p>
        </w:tc>
      </w:tr>
      <w:tr w:rsidR="00E00AFC" w14:paraId="2BB207F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2F413BC" w14:textId="77777777" w:rsidR="00E00AFC" w:rsidRDefault="004807D4">
            <w:r>
              <w:rPr>
                <w:sz w:val="20"/>
                <w:szCs w:val="20"/>
              </w:rPr>
              <w:t>Bajo número de eventos en algún dataset (pocos fallecimientos registrados)</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A5C665" w14:textId="77777777" w:rsidR="00E00AFC" w:rsidRDefault="004807D4">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AB90C40" w14:textId="77777777" w:rsidR="00E00AFC" w:rsidRDefault="004807D4">
            <w:r>
              <w:rPr>
                <w:sz w:val="20"/>
                <w:szCs w:val="20"/>
              </w:rPr>
              <w:t>Alto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17D1E2" w14:textId="77777777" w:rsidR="00E00AFC" w:rsidRDefault="004807D4">
            <w:r>
              <w:rPr>
                <w:sz w:val="20"/>
                <w:szCs w:val="20"/>
              </w:rPr>
              <w:t>Verificar tasas de evento antes de comenzar el análisis; ajustar el horizonte temporal de seguimiento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DBB4BF" w14:textId="77777777" w:rsidR="00E00AFC" w:rsidRDefault="004807D4">
            <w:r>
              <w:rPr>
                <w:sz w:val="20"/>
                <w:szCs w:val="20"/>
              </w:rPr>
              <w:t xml:space="preserve">Combinar endpoints (muerte + recurrencia); o enfocar el análisis en </w:t>
            </w:r>
            <w:r>
              <w:rPr>
                <w:sz w:val="20"/>
                <w:szCs w:val="20"/>
              </w:rPr>
              <w:t>supervivencia libre de enfermedad</w:t>
            </w:r>
          </w:p>
        </w:tc>
      </w:tr>
      <w:tr w:rsidR="00E00AFC" w14:paraId="6FB29D9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7E74219" w14:textId="77777777" w:rsidR="00E00AFC" w:rsidRDefault="004807D4">
            <w:r>
              <w:rPr>
                <w:sz w:val="20"/>
                <w:szCs w:val="20"/>
              </w:rPr>
              <w:t>Tiempo de entrenamiento excesivo para modelos de deep learning</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DDFB6F7" w14:textId="77777777" w:rsidR="00E00AFC" w:rsidRDefault="004807D4">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7ADB32" w14:textId="77777777" w:rsidR="00E00AFC" w:rsidRDefault="004807D4">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6381994" w14:textId="77777777" w:rsidR="00E00AFC" w:rsidRDefault="004807D4">
            <w:r>
              <w:rPr>
                <w:sz w:val="20"/>
                <w:szCs w:val="20"/>
              </w:rPr>
              <w:t>Usar GPU de Google Colab Pro / Kaggle Notebooks; limitar número de épocas y usar early stopping</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13A2BE4" w14:textId="77777777" w:rsidR="00E00AFC" w:rsidRDefault="004807D4">
            <w:r>
              <w:rPr>
                <w:sz w:val="20"/>
                <w:szCs w:val="20"/>
              </w:rPr>
              <w:t>Simplificar la arquitectura de DeepSurv o priorizar RSF como modelo complejo principal</w:t>
            </w:r>
          </w:p>
        </w:tc>
      </w:tr>
      <w:tr w:rsidR="00E00AFC" w14:paraId="1A29DEA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54D345" w14:textId="77777777" w:rsidR="00E00AFC" w:rsidRDefault="004807D4">
            <w:r>
              <w:rPr>
                <w:sz w:val="20"/>
                <w:szCs w:val="20"/>
              </w:rPr>
              <w:t>Divergencia metodológica entre TCGA y METABRIC que dificulte la comparación</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B39CC10" w14:textId="77777777" w:rsidR="00E00AFC" w:rsidRDefault="004807D4">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3568562" w14:textId="77777777" w:rsidR="00E00AFC" w:rsidRDefault="004807D4">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947FF4E" w14:textId="77777777" w:rsidR="00E00AFC" w:rsidRDefault="004807D4">
            <w:r>
              <w:rPr>
                <w:sz w:val="20"/>
                <w:szCs w:val="20"/>
              </w:rPr>
              <w:t>Documentar diferencias en protocolos de recogida; realizar análisis de batch effect</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A1A332B" w14:textId="77777777" w:rsidR="00E00AFC" w:rsidRDefault="004807D4">
            <w:r>
              <w:rPr>
                <w:sz w:val="20"/>
                <w:szCs w:val="20"/>
              </w:rPr>
              <w:t xml:space="preserve">Centrar el análisis comparativo en variables comunes y bien caracterizadas en ambos </w:t>
            </w:r>
            <w:r>
              <w:rPr>
                <w:sz w:val="20"/>
                <w:szCs w:val="20"/>
              </w:rPr>
              <w:t>datasets</w:t>
            </w:r>
          </w:p>
        </w:tc>
      </w:tr>
      <w:tr w:rsidR="00E00AFC" w14:paraId="726CCE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3505575" w14:textId="77777777" w:rsidR="00E00AFC" w:rsidRDefault="004807D4">
            <w:r>
              <w:rPr>
                <w:sz w:val="20"/>
                <w:szCs w:val="20"/>
              </w:rPr>
              <w:t>Dificultades en la redacción y estructura de la memoria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BEB55B3" w14:textId="77777777" w:rsidR="00E00AFC" w:rsidRDefault="004807D4">
            <w:r>
              <w:rPr>
                <w:sz w:val="20"/>
                <w:szCs w:val="20"/>
              </w:rPr>
              <w:t>Baja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E4398F5" w14:textId="77777777" w:rsidR="00E00AFC" w:rsidRDefault="004807D4">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24FBC2F" w14:textId="77777777" w:rsidR="00E00AFC" w:rsidRDefault="004807D4">
            <w:r>
              <w:rPr>
                <w:sz w:val="20"/>
                <w:szCs w:val="20"/>
              </w:rPr>
              <w:t>Seguir la estructura definida en este Capítulo 1; mantener reuniones regulares con el tutor</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7F30DFF" w14:textId="77777777" w:rsidR="00E00AFC" w:rsidRDefault="004807D4">
            <w:r>
              <w:rPr>
                <w:sz w:val="20"/>
                <w:szCs w:val="20"/>
              </w:rPr>
              <w:t>Usar plantillas académicas y ejemplos de TFM anteriores aprobados en el máster</w:t>
            </w:r>
          </w:p>
        </w:tc>
      </w:tr>
    </w:tbl>
    <w:p w14:paraId="534BF58D" w14:textId="77777777" w:rsidR="00E00AFC" w:rsidRDefault="00E00AFC">
      <w:pPr>
        <w:spacing w:after="120"/>
      </w:pPr>
    </w:p>
    <w:p w14:paraId="241801C2" w14:textId="77777777" w:rsidR="00E00AFC" w:rsidRDefault="004807D4">
      <w:r>
        <w:br w:type="page"/>
      </w:r>
    </w:p>
    <w:p w14:paraId="480839A8" w14:textId="77777777" w:rsidR="00E00AFC" w:rsidRDefault="004807D4">
      <w:pPr>
        <w:pStyle w:val="Ttulo2"/>
      </w:pPr>
      <w:bookmarkStart w:id="26" w:name="_Toc222915359"/>
      <w:r>
        <w:lastRenderedPageBreak/>
        <w:t>1.6 Breve sumario de productos obtenidos</w:t>
      </w:r>
      <w:bookmarkEnd w:id="26"/>
    </w:p>
    <w:p w14:paraId="7E98B520" w14:textId="77777777" w:rsidR="00E00AFC" w:rsidRDefault="004807D4">
      <w:pPr>
        <w:spacing w:after="160"/>
        <w:jc w:val="both"/>
      </w:pPr>
      <w:r>
        <w:t>El presente TFM generará los siguientes productos concretos y verificables:</w:t>
      </w:r>
    </w:p>
    <w:p w14:paraId="43697753" w14:textId="77777777" w:rsidR="00E00AFC" w:rsidRDefault="00E00AFC">
      <w:pPr>
        <w:spacing w:after="120"/>
      </w:pPr>
    </w:p>
    <w:p w14:paraId="401377CE" w14:textId="77777777" w:rsidR="00E00AFC" w:rsidRDefault="004807D4">
      <w:pPr>
        <w:pStyle w:val="Prrafodelista"/>
        <w:numPr>
          <w:ilvl w:val="0"/>
          <w:numId w:val="2"/>
        </w:numPr>
        <w:spacing w:after="80"/>
      </w:pPr>
      <w:r>
        <w:t>Modelos de supervivencia entrenados: Se obtendrán al menos cuatro modelos entrenados y evaluados (Kaplan-Meier, Cox PH, Random Survival Forest y DeepSurv) sobre dos conjuntos de d</w:t>
      </w:r>
      <w:r>
        <w:t>atos (TCGA y METABRIC), para un total de hasta ocho configuraciones evaluadas. Los modelos serán serializados (formato pickle o similar) para su reproducibilidad.</w:t>
      </w:r>
    </w:p>
    <w:p w14:paraId="45E7ECB5" w14:textId="77777777" w:rsidR="00E00AFC" w:rsidRDefault="004807D4">
      <w:pPr>
        <w:pStyle w:val="Prrafodelista"/>
        <w:numPr>
          <w:ilvl w:val="0"/>
          <w:numId w:val="2"/>
        </w:numPr>
        <w:spacing w:after="80"/>
      </w:pPr>
      <w:r>
        <w:t>Código reproducible y documentado: Se desarrollará un repositorio GitHub que incluirá scripts</w:t>
      </w:r>
      <w:r>
        <w:t xml:space="preserve"> de preprocesamiento, notebooks de análisis exploratorio, implementación de modelos, evaluación y visualización. El repositorio seguirá estándares de reproducibilidad (requirements.txt, entornos conda/pip, instrucciones claras de ejecución).</w:t>
      </w:r>
    </w:p>
    <w:p w14:paraId="6D70B18B" w14:textId="77777777" w:rsidR="00E00AFC" w:rsidRDefault="004807D4">
      <w:pPr>
        <w:pStyle w:val="Prrafodelista"/>
        <w:numPr>
          <w:ilvl w:val="0"/>
          <w:numId w:val="2"/>
        </w:numPr>
        <w:spacing w:after="80"/>
      </w:pPr>
      <w:r>
        <w:t>Análisis compa</w:t>
      </w:r>
      <w:r>
        <w:t>rativo entre modelos y datasets: Se producirá un análisis sistemático que compare el rendimiento de cada modelo en términos de C-index, Brier Score y log-rank test, tanto dentro de cada dataset (validación cruzada interna) como entre datasets (validación e</w:t>
      </w:r>
      <w:r>
        <w:t>xterna cruzada).</w:t>
      </w:r>
    </w:p>
    <w:p w14:paraId="175820E1" w14:textId="77777777" w:rsidR="00E00AFC" w:rsidRDefault="004807D4">
      <w:pPr>
        <w:pStyle w:val="Prrafodelista"/>
        <w:numPr>
          <w:ilvl w:val="0"/>
          <w:numId w:val="2"/>
        </w:numPr>
        <w:spacing w:after="80"/>
      </w:pPr>
      <w:r>
        <w:t>Visualizaciones: Se generarán curvas de Kaplan-Meier estratificadas, gráficos de importancia de variables, mapas de calor de correlaciones genómicas, curvas de calibración y gráficos comparativos de métricas de evaluación. Se buscará que t</w:t>
      </w:r>
      <w:r>
        <w:t>odas las figuras sean reproducibles desde el repositorio.</w:t>
      </w:r>
    </w:p>
    <w:p w14:paraId="2AF20320" w14:textId="77777777" w:rsidR="00E00AFC" w:rsidRDefault="004807D4">
      <w:pPr>
        <w:pStyle w:val="Prrafodelista"/>
        <w:numPr>
          <w:ilvl w:val="0"/>
          <w:numId w:val="2"/>
        </w:numPr>
        <w:spacing w:after="80"/>
      </w:pPr>
      <w:r>
        <w:t>Repositorio público (GitHub): Además del código, el repositorio incluirá la documentación técnica del proyecto (README extendido), los archivos de configuración y las instrucciones para reproducir l</w:t>
      </w:r>
      <w:r>
        <w:t>os resultados. Los datos no serán incluidos directamente por motivos de licencia, pero se indicarán las instrucciones para su descarga.</w:t>
      </w:r>
    </w:p>
    <w:p w14:paraId="216E9C9F" w14:textId="77777777" w:rsidR="00E00AFC" w:rsidRDefault="004807D4">
      <w:pPr>
        <w:pStyle w:val="Prrafodelista"/>
        <w:numPr>
          <w:ilvl w:val="0"/>
          <w:numId w:val="2"/>
        </w:numPr>
        <w:spacing w:after="80"/>
      </w:pPr>
      <w:r>
        <w:t>Memoria académica completa (TFM): El producto central del trabajo será la memoria escrita, estructurada en siete capítul</w:t>
      </w:r>
      <w:r>
        <w:t>os, que documentará de forma rigurosa todo el proceso de investigación, desde la justificación hasta las conclusiones y las recomendaciones para trabajos futuros.</w:t>
      </w:r>
    </w:p>
    <w:p w14:paraId="2B7B49DE" w14:textId="77777777" w:rsidR="00E00AFC" w:rsidRDefault="00E00AFC">
      <w:pPr>
        <w:spacing w:after="120"/>
      </w:pPr>
    </w:p>
    <w:p w14:paraId="33CD95C7" w14:textId="77777777" w:rsidR="00E00AFC" w:rsidRDefault="004807D4">
      <w:r>
        <w:br w:type="page"/>
      </w:r>
    </w:p>
    <w:p w14:paraId="70F7BBBF" w14:textId="77777777" w:rsidR="00E00AFC" w:rsidRDefault="004807D4">
      <w:pPr>
        <w:pStyle w:val="Ttulo2"/>
      </w:pPr>
      <w:bookmarkStart w:id="27" w:name="_Toc222915360"/>
      <w:r>
        <w:lastRenderedPageBreak/>
        <w:t>1.7 Breve descripción de los otros capítulos</w:t>
      </w:r>
      <w:bookmarkEnd w:id="27"/>
    </w:p>
    <w:p w14:paraId="6AEA8106" w14:textId="77777777" w:rsidR="00E00AFC" w:rsidRDefault="004807D4">
      <w:pPr>
        <w:spacing w:after="160"/>
        <w:jc w:val="both"/>
      </w:pPr>
      <w:r>
        <w:t>La memoria del TFM se organiza en siete capítulos cuya estructura y contenido se describe a continuación:</w:t>
      </w:r>
    </w:p>
    <w:p w14:paraId="4164C016" w14:textId="77777777" w:rsidR="00E00AFC" w:rsidRDefault="00E00AFC">
      <w:pPr>
        <w:spacing w:after="120"/>
      </w:pPr>
    </w:p>
    <w:p w14:paraId="5129DE0A" w14:textId="77777777" w:rsidR="00E00AFC" w:rsidRDefault="004807D4">
      <w:pPr>
        <w:pStyle w:val="Prrafodelista"/>
        <w:numPr>
          <w:ilvl w:val="0"/>
          <w:numId w:val="2"/>
        </w:numPr>
        <w:spacing w:after="80"/>
      </w:pPr>
      <w:r>
        <w:t>Capítulo 2 – Estado del arte: Este capítulo realizará una revisión sistemática y actualizada de la literatura científica sobre análisis de superviven</w:t>
      </w:r>
      <w:r>
        <w:t>cia en oncología, con especial atención a los trabajos que incorporan datos genómicos. Se revisarán los fundamentos teóricos de los modelos utilizados, los datasets más empleados, las métricas de evaluación estándar y las limitaciones identificadas en estu</w:t>
      </w:r>
      <w:r>
        <w:t>dios previos. Se incluirá una sección específica sobre los avances en modelos de aprendizaje automático y deep learning aplicados a la supervivencia oncológica, con énfasis en DeepSurv, SurvivalNet y arquitecturas de transformers adaptadas al contexto.</w:t>
      </w:r>
    </w:p>
    <w:p w14:paraId="4E37FB80" w14:textId="77777777" w:rsidR="00E00AFC" w:rsidRDefault="00E00AFC">
      <w:pPr>
        <w:spacing w:after="120"/>
      </w:pPr>
    </w:p>
    <w:p w14:paraId="54B83D7B" w14:textId="77777777" w:rsidR="00E00AFC" w:rsidRDefault="004807D4">
      <w:pPr>
        <w:pStyle w:val="Prrafodelista"/>
        <w:numPr>
          <w:ilvl w:val="0"/>
          <w:numId w:val="2"/>
        </w:numPr>
        <w:spacing w:after="80"/>
      </w:pPr>
      <w:r>
        <w:t>Ca</w:t>
      </w:r>
      <w:r>
        <w:t>pítulo 3 – Datos: Este capítulo describirá en detalle los datasets utilizados (TCGA y METABRIC), incluyendo su origen, proceso de recogida, variables disponibles, estructura de los datos de supervivencia (tiempo al evento, indicador de censura), y el proce</w:t>
      </w:r>
      <w:r>
        <w:t>so completo de preprocesamiento y preparación de datos. Se documentarán todas las decisiones de limpieza, normalización, imputación y reducción dimensional, con justificación metodológica de cada elección. Se incluirán estadísticas descriptivas y visualiza</w:t>
      </w:r>
      <w:r>
        <w:t>ciones exploratorias de ambas cohortes.</w:t>
      </w:r>
    </w:p>
    <w:p w14:paraId="3B1B8BAC" w14:textId="77777777" w:rsidR="00E00AFC" w:rsidRDefault="00E00AFC">
      <w:pPr>
        <w:spacing w:after="120"/>
      </w:pPr>
    </w:p>
    <w:p w14:paraId="2ACA2638" w14:textId="77777777" w:rsidR="00E00AFC" w:rsidRDefault="004807D4">
      <w:pPr>
        <w:pStyle w:val="Prrafodelista"/>
        <w:numPr>
          <w:ilvl w:val="0"/>
          <w:numId w:val="2"/>
        </w:numPr>
        <w:spacing w:after="80"/>
      </w:pPr>
      <w:r>
        <w:t>Capítulo 4 – Metodología: Este capítulo describirá con máximo detalle el diseño metodológico del estudio, incluyendo la formalización matemática de cada modelo de supervivencia implementado, los criterios de selecci</w:t>
      </w:r>
      <w:r>
        <w:t>ón de hiperparámetros, los procedimientos de validación cruzada y las métricas de evaluación. Se explicarán las decisiones de diseño adoptadas y su justificación. Se incluirá también la descripción del entorno tecnológico utilizado (lenguajes, librerías, i</w:t>
      </w:r>
      <w:r>
        <w:t>nfraestructura computacional).</w:t>
      </w:r>
    </w:p>
    <w:p w14:paraId="2828F8EE" w14:textId="77777777" w:rsidR="00E00AFC" w:rsidRDefault="00E00AFC">
      <w:pPr>
        <w:spacing w:after="120"/>
      </w:pPr>
    </w:p>
    <w:p w14:paraId="46E279FC" w14:textId="77777777" w:rsidR="00E00AFC" w:rsidRDefault="004807D4">
      <w:pPr>
        <w:pStyle w:val="Prrafodelista"/>
        <w:numPr>
          <w:ilvl w:val="0"/>
          <w:numId w:val="2"/>
        </w:numPr>
        <w:spacing w:after="80"/>
      </w:pPr>
      <w:r>
        <w:t>Capítulo 5 – Resultados: Este capítulo presentará los resultados empíricos del análisis en forma de tablas, figuras y estadísticas interpretadas. Se presentarán las curvas de supervivencia, las métricas de rendimiento de cad</w:t>
      </w:r>
      <w:r>
        <w:t>a modelo en cada dataset, los análisis de importancia de variables y los resultados de la validación cruzada interna y externa. La presentación será objetiva y sistemática, reservando la interpretación crítica para el capítulo de discusión.</w:t>
      </w:r>
    </w:p>
    <w:p w14:paraId="796E82DF" w14:textId="77777777" w:rsidR="00E00AFC" w:rsidRDefault="00E00AFC">
      <w:pPr>
        <w:spacing w:after="120"/>
      </w:pPr>
    </w:p>
    <w:p w14:paraId="1F9FAC69" w14:textId="77777777" w:rsidR="00E00AFC" w:rsidRDefault="004807D4">
      <w:pPr>
        <w:pStyle w:val="Prrafodelista"/>
        <w:numPr>
          <w:ilvl w:val="0"/>
          <w:numId w:val="2"/>
        </w:numPr>
        <w:spacing w:after="80"/>
      </w:pPr>
      <w:r>
        <w:t>Capítulo 6 – D</w:t>
      </w:r>
      <w:r>
        <w:t>iscusión: Este capítulo analizará e interpretará críticamente los resultados obtenidos, comparándolos con los reportados en la literatura científica de referencia. Se discutirán las fortalezas y limitaciones del trabajo, el grado en que se han alcanzado lo</w:t>
      </w:r>
      <w:r>
        <w:t>s objetivos planteados, las implicaciones clínicas potenciales de los hallazgos y las líneas de investigación futura más prometedoras derivadas del estudio.</w:t>
      </w:r>
    </w:p>
    <w:p w14:paraId="4BA5F450" w14:textId="77777777" w:rsidR="00E00AFC" w:rsidRDefault="00E00AFC">
      <w:pPr>
        <w:spacing w:after="120"/>
      </w:pPr>
    </w:p>
    <w:p w14:paraId="389A756F" w14:textId="77777777" w:rsidR="00E00AFC" w:rsidRDefault="004807D4">
      <w:pPr>
        <w:pStyle w:val="Prrafodelista"/>
        <w:numPr>
          <w:ilvl w:val="0"/>
          <w:numId w:val="2"/>
        </w:numPr>
        <w:spacing w:after="80"/>
      </w:pPr>
      <w:r>
        <w:t>Capítulo 7 – Conclusiones: Este capítulo sintetizará las principales aportaciones del TFM, respondiendo de forma directa a cada uno de los objetivos específicos planteados en el Capítulo 1. Se presentarán las conclusiones de mayor relevancia científica y m</w:t>
      </w:r>
      <w:r>
        <w:t xml:space="preserve">etodológica, y se formulará una reflexión final sobre el </w:t>
      </w:r>
      <w:r>
        <w:lastRenderedPageBreak/>
        <w:t>valor del trabajo en el contexto de la medicina de precisión oncológica y la ciencia de datos biomédica.</w:t>
      </w:r>
    </w:p>
    <w:p w14:paraId="1897EB09" w14:textId="77777777" w:rsidR="00E00AFC" w:rsidRDefault="00E00AFC">
      <w:pPr>
        <w:spacing w:after="120"/>
      </w:pPr>
    </w:p>
    <w:p w14:paraId="1720653B" w14:textId="77777777" w:rsidR="00E00AFC" w:rsidRDefault="004807D4">
      <w:r>
        <w:br w:type="page"/>
      </w:r>
    </w:p>
    <w:p w14:paraId="50D83B4F" w14:textId="77777777" w:rsidR="00E00AFC" w:rsidRDefault="004807D4">
      <w:pPr>
        <w:pStyle w:val="Ttulo2"/>
      </w:pPr>
      <w:bookmarkStart w:id="28" w:name="_Toc222915361"/>
      <w:r>
        <w:lastRenderedPageBreak/>
        <w:t>1.8 Declaración sobre uso de inteligencia artificial generativa</w:t>
      </w:r>
      <w:bookmarkEnd w:id="28"/>
    </w:p>
    <w:p w14:paraId="12682C5B" w14:textId="77777777" w:rsidR="00E00AFC" w:rsidRDefault="004807D4">
      <w:pPr>
        <w:spacing w:after="160"/>
        <w:jc w:val="both"/>
      </w:pPr>
      <w:r>
        <w:t xml:space="preserve">El/la autor/a del presente </w:t>
      </w:r>
      <w:r>
        <w:t>Trabajo de Fin de Máster declara lo siguiente en relación con el uso de herramientas de inteligencia artificial generativa (en adelante, IAG) durante la elaboración de este trabajo:</w:t>
      </w:r>
    </w:p>
    <w:p w14:paraId="417A4CB1" w14:textId="77777777" w:rsidR="00E00AFC" w:rsidRDefault="00E00AFC">
      <w:pPr>
        <w:spacing w:after="120"/>
      </w:pPr>
    </w:p>
    <w:p w14:paraId="0BDCED88" w14:textId="77777777" w:rsidR="00E00AFC" w:rsidRDefault="004807D4">
      <w:pPr>
        <w:pStyle w:val="Prrafodelista"/>
        <w:numPr>
          <w:ilvl w:val="0"/>
          <w:numId w:val="2"/>
        </w:numPr>
        <w:spacing w:after="80"/>
      </w:pPr>
      <w:r>
        <w:t>Uso responsable y transparente: Durante el proceso de elaboración de este</w:t>
      </w:r>
      <w:r>
        <w:t xml:space="preserve"> TFM se ha hecho uso de herramientas de IAG —concretamente [indicar herramientas utilizadas, p.ej.: Claude (Anthropic), ChatGPT (OpenAI) u otras]— como apoyo en tareas de escritura académica, revisión estilística, búsqueda de referencias bibliográficas y e</w:t>
      </w:r>
      <w:r>
        <w:t>structuración del contenido. El uso de estas herramientas ha sido en todo momento consciente, declarado y subordinado al criterio intelectual del autor/a.</w:t>
      </w:r>
    </w:p>
    <w:p w14:paraId="35913BF8" w14:textId="77777777" w:rsidR="00E00AFC" w:rsidRDefault="004807D4">
      <w:pPr>
        <w:pStyle w:val="Prrafodelista"/>
        <w:numPr>
          <w:ilvl w:val="0"/>
          <w:numId w:val="2"/>
        </w:numPr>
        <w:spacing w:after="80"/>
      </w:pPr>
      <w:r>
        <w:t xml:space="preserve">Validación manual del contenido: Todo el contenido generado con ayuda de herramientas de IAG ha sido </w:t>
      </w:r>
      <w:r>
        <w:t>revisado, contrastado, editado y validado manualmente por el/la autor/a. En ningún caso se ha aceptado de forma acrítica el output de estas herramientas sin verificación. Las referencias bibliográficas sugeridas por herramientas de IAG han sido comprobadas</w:t>
      </w:r>
      <w:r>
        <w:t xml:space="preserve"> en bases de datos académicas originales (PubMed, Google Scholar, IEEE Xplore u otras) antes de su inclusión en el trabajo.</w:t>
      </w:r>
    </w:p>
    <w:p w14:paraId="1FB67076" w14:textId="77777777" w:rsidR="00E00AFC" w:rsidRDefault="004807D4">
      <w:pPr>
        <w:pStyle w:val="Prrafodelista"/>
        <w:numPr>
          <w:ilvl w:val="0"/>
          <w:numId w:val="2"/>
        </w:numPr>
        <w:spacing w:after="80"/>
      </w:pPr>
      <w:r>
        <w:t xml:space="preserve">Responsabilidad intelectual final: El/la autor/a asume plena y exclusiva responsabilidad intelectual y académica sobre la totalidad </w:t>
      </w:r>
      <w:r>
        <w:t>del contenido de este TFM, incluyendo las ideas, argumentaciones, análisis, interpretaciones de resultados y conclusiones presentadas. El uso de herramientas de IAG no exime al/a la autor/a de dicha responsabilidad, ni traslada la autoría del trabajo a dic</w:t>
      </w:r>
      <w:r>
        <w:t>has herramientas o a sus desarrolladores.</w:t>
      </w:r>
    </w:p>
    <w:p w14:paraId="350530C4" w14:textId="77777777" w:rsidR="00E00AFC" w:rsidRDefault="004807D4">
      <w:pPr>
        <w:pStyle w:val="Prrafodelista"/>
        <w:numPr>
          <w:ilvl w:val="0"/>
          <w:numId w:val="2"/>
        </w:numPr>
        <w:spacing w:after="80"/>
      </w:pPr>
      <w:r>
        <w:t>Conformidad con la normativa institucional: El uso de herramientas de IAG se ha realizado en conformidad con las directrices académicas vigentes en la institución donde se desarrolla el máster. En aquellos casos en</w:t>
      </w:r>
      <w:r>
        <w:t xml:space="preserve"> que la normativa institucional establezca restricciones adicionales o requiera comunicación específica al/a la tutor/a, el/la autor/a declara haber cumplido con dichas obligaciones.</w:t>
      </w:r>
    </w:p>
    <w:p w14:paraId="232C9723" w14:textId="77777777" w:rsidR="00E00AFC" w:rsidRDefault="00E00AFC">
      <w:pPr>
        <w:spacing w:after="120"/>
      </w:pPr>
    </w:p>
    <w:p w14:paraId="00AEDB95" w14:textId="77777777" w:rsidR="00E00AFC" w:rsidRDefault="004807D4">
      <w:pPr>
        <w:spacing w:before="400" w:after="200"/>
        <w:jc w:val="right"/>
      </w:pPr>
      <w:r>
        <w:t>[Lugar], [Fecha]</w:t>
      </w:r>
    </w:p>
    <w:p w14:paraId="4F2A89A4" w14:textId="77777777" w:rsidR="00E00AFC" w:rsidRDefault="004807D4">
      <w:pPr>
        <w:spacing w:after="80"/>
        <w:jc w:val="right"/>
      </w:pPr>
      <w:r>
        <w:t>Firmado:</w:t>
      </w:r>
    </w:p>
    <w:p w14:paraId="2DEF405B" w14:textId="77777777" w:rsidR="00E00AFC" w:rsidRDefault="004807D4">
      <w:pPr>
        <w:spacing w:after="80"/>
        <w:jc w:val="right"/>
      </w:pPr>
      <w:r>
        <w:rPr>
          <w:b/>
          <w:bCs/>
        </w:rPr>
        <w:t>[Nombre y apellidos del/la autor/a]</w:t>
      </w:r>
    </w:p>
    <w:p w14:paraId="4E84B7F4" w14:textId="77777777" w:rsidR="00E00AFC" w:rsidRDefault="00E00AFC">
      <w:pPr>
        <w:spacing w:after="120"/>
      </w:pPr>
    </w:p>
    <w:p w14:paraId="5491DDC3" w14:textId="77777777" w:rsidR="00E00AFC" w:rsidRDefault="004807D4">
      <w:r>
        <w:br w:type="page"/>
      </w:r>
    </w:p>
    <w:p w14:paraId="7AF55EAC" w14:textId="77777777" w:rsidR="00E00AFC" w:rsidRDefault="004807D4">
      <w:pPr>
        <w:pStyle w:val="Ttulo2"/>
      </w:pPr>
      <w:bookmarkStart w:id="29" w:name="_Toc222915362"/>
      <w:r>
        <w:lastRenderedPageBreak/>
        <w:t>Referencias bibliográficas sugeridas</w:t>
      </w:r>
      <w:bookmarkEnd w:id="29"/>
    </w:p>
    <w:p w14:paraId="323DEEB6" w14:textId="77777777" w:rsidR="00E00AFC" w:rsidRDefault="004807D4">
      <w:pPr>
        <w:spacing w:after="160"/>
        <w:jc w:val="both"/>
      </w:pPr>
      <w:r>
        <w:t>(A completar por el/la autor/a con las referencias verificadas y formateadas según el estilo requerido por la institución, habitualmente APA 7ª edición o Vancouver.)</w:t>
      </w:r>
    </w:p>
    <w:p w14:paraId="0CFB8A45" w14:textId="19F8E2F4" w:rsidR="00E00AFC" w:rsidRDefault="00E00AFC">
      <w:pPr>
        <w:spacing w:after="120"/>
      </w:pPr>
    </w:p>
    <w:p w14:paraId="7C2766E1" w14:textId="09A8E853" w:rsidR="004331B9" w:rsidRDefault="004331B9" w:rsidP="00121761">
      <w:pPr>
        <w:spacing w:after="120"/>
        <w:ind w:left="360" w:hanging="360"/>
        <w:rPr>
          <w:color w:val="222222"/>
          <w:sz w:val="20"/>
          <w:szCs w:val="20"/>
          <w:shd w:val="clear" w:color="auto" w:fill="FFFFFF"/>
        </w:rPr>
      </w:pPr>
      <w:r>
        <w:t xml:space="preserve">[1] </w:t>
      </w:r>
      <w:r w:rsidR="00121761">
        <w:tab/>
      </w:r>
      <w:r w:rsidR="00121761">
        <w:rPr>
          <w:color w:val="222222"/>
          <w:sz w:val="20"/>
          <w:szCs w:val="20"/>
          <w:shd w:val="clear" w:color="auto" w:fill="FFFFFF"/>
        </w:rPr>
        <w:t>Bray, F., Laversanne, M., Sung, H., Ferlay, J., Siegel, R. L., Soerjomataram, I., &amp; Jemal, A. (2024). Global cancer statistics 2022: GLOBOCAN estimates of incidence and mortality worldwide for 36 cancers in 185 countries. </w:t>
      </w:r>
      <w:r w:rsidR="00121761">
        <w:rPr>
          <w:i/>
          <w:iCs/>
          <w:color w:val="222222"/>
          <w:sz w:val="20"/>
          <w:szCs w:val="20"/>
          <w:shd w:val="clear" w:color="auto" w:fill="FFFFFF"/>
        </w:rPr>
        <w:t>CA: a cancer journal for clinicians</w:t>
      </w:r>
      <w:r w:rsidR="00121761">
        <w:rPr>
          <w:color w:val="222222"/>
          <w:sz w:val="20"/>
          <w:szCs w:val="20"/>
          <w:shd w:val="clear" w:color="auto" w:fill="FFFFFF"/>
        </w:rPr>
        <w:t>, </w:t>
      </w:r>
      <w:r w:rsidR="00121761">
        <w:rPr>
          <w:i/>
          <w:iCs/>
          <w:color w:val="222222"/>
          <w:sz w:val="20"/>
          <w:szCs w:val="20"/>
          <w:shd w:val="clear" w:color="auto" w:fill="FFFFFF"/>
        </w:rPr>
        <w:t>74</w:t>
      </w:r>
      <w:r w:rsidR="00121761">
        <w:rPr>
          <w:color w:val="222222"/>
          <w:sz w:val="20"/>
          <w:szCs w:val="20"/>
          <w:shd w:val="clear" w:color="auto" w:fill="FFFFFF"/>
        </w:rPr>
        <w:t>(3), 229-263.</w:t>
      </w:r>
    </w:p>
    <w:p w14:paraId="2FE57C6A" w14:textId="5B655F64" w:rsidR="00271C63" w:rsidRDefault="00271C63" w:rsidP="00121761">
      <w:pPr>
        <w:spacing w:after="120"/>
        <w:ind w:left="360" w:hanging="360"/>
      </w:pPr>
      <w:r>
        <w:rPr>
          <w:color w:val="222222"/>
          <w:sz w:val="20"/>
          <w:szCs w:val="20"/>
          <w:shd w:val="clear" w:color="auto" w:fill="FFFFFF"/>
        </w:rPr>
        <w:t xml:space="preserve">[2] </w:t>
      </w:r>
      <w:r w:rsidRPr="00271C63">
        <w:rPr>
          <w:color w:val="222222"/>
          <w:sz w:val="20"/>
          <w:szCs w:val="20"/>
          <w:shd w:val="clear" w:color="auto" w:fill="FFFFFF"/>
        </w:rPr>
        <w:t>https://www.ine.es/dyngs/Prensa/pEDCM2024.htm</w:t>
      </w:r>
      <w:r>
        <w:rPr>
          <w:color w:val="222222"/>
          <w:sz w:val="20"/>
          <w:szCs w:val="20"/>
          <w:shd w:val="clear" w:color="auto" w:fill="FFFFFF"/>
        </w:rPr>
        <w:t>l</w:t>
      </w:r>
    </w:p>
    <w:p w14:paraId="15C9FDB7" w14:textId="77777777" w:rsidR="004331B9" w:rsidRDefault="004331B9">
      <w:pPr>
        <w:spacing w:after="120"/>
      </w:pPr>
    </w:p>
    <w:p w14:paraId="28F43DDA" w14:textId="77777777" w:rsidR="00E00AFC" w:rsidRDefault="004807D4">
      <w:pPr>
        <w:pStyle w:val="Prrafodelista"/>
        <w:numPr>
          <w:ilvl w:val="0"/>
          <w:numId w:val="3"/>
        </w:numPr>
        <w:spacing w:after="80"/>
      </w:pPr>
      <w:r>
        <w:t>Kaplan, E. L.</w:t>
      </w:r>
      <w:r>
        <w:t>, &amp; Meier, P. (1958). Nonparametric estimation from incomplete observations. Journal of the American Statistical Association, 53(282), 457-481. https://doi.org/10.1080/01621459.1958.10501452</w:t>
      </w:r>
    </w:p>
    <w:p w14:paraId="3CF5A44B" w14:textId="77777777" w:rsidR="00E00AFC" w:rsidRDefault="004807D4">
      <w:pPr>
        <w:pStyle w:val="Prrafodelista"/>
        <w:numPr>
          <w:ilvl w:val="0"/>
          <w:numId w:val="3"/>
        </w:numPr>
        <w:spacing w:after="80"/>
      </w:pPr>
      <w:r>
        <w:t xml:space="preserve">Cox, D. R. (1972). Regression models and life-tables. Journal of </w:t>
      </w:r>
      <w:r>
        <w:t>the Royal Statistical Society: Series B (Methodological), 34(2), 187-202. https://doi.org/10.1111/j.2517-6161.1972.tb00899.x</w:t>
      </w:r>
    </w:p>
    <w:p w14:paraId="36ACB1C1" w14:textId="77777777" w:rsidR="00E00AFC" w:rsidRDefault="004807D4">
      <w:pPr>
        <w:pStyle w:val="Prrafodelista"/>
        <w:numPr>
          <w:ilvl w:val="0"/>
          <w:numId w:val="3"/>
        </w:numPr>
        <w:spacing w:after="80"/>
      </w:pPr>
      <w:r>
        <w:t xml:space="preserve">Ishwaran, H., Kogalur, U. B., Blackstone, E. H., &amp; Lauer, M. S. (2008). Random survival forests. The Annals of Applied Statistics, </w:t>
      </w:r>
      <w:r>
        <w:t>2(3), 841-860. https://doi.org/10.1214/08-AOAS169</w:t>
      </w:r>
    </w:p>
    <w:p w14:paraId="1A2C1128" w14:textId="77777777" w:rsidR="00E00AFC" w:rsidRDefault="004807D4">
      <w:pPr>
        <w:pStyle w:val="Prrafodelista"/>
        <w:numPr>
          <w:ilvl w:val="0"/>
          <w:numId w:val="3"/>
        </w:numPr>
        <w:spacing w:after="80"/>
      </w:pPr>
      <w:r>
        <w:t>Katzman, J. L., Shaham, U., Cloninger, A., Bates, J., Jiang, T., &amp; Kluger, Y. (2018). DeepSurv: personalized treatment recommender system using a Cox proportional hazards deep neural network. BMC Medical Re</w:t>
      </w:r>
      <w:r>
        <w:t>search Methodology, 18(1), 24. https://doi.org/10.1186/s12874-018-0482-1</w:t>
      </w:r>
    </w:p>
    <w:p w14:paraId="279AEF6B" w14:textId="77777777" w:rsidR="00E00AFC" w:rsidRDefault="004807D4">
      <w:pPr>
        <w:pStyle w:val="Prrafodelista"/>
        <w:numPr>
          <w:ilvl w:val="0"/>
          <w:numId w:val="3"/>
        </w:numPr>
        <w:spacing w:after="80"/>
      </w:pPr>
      <w:r>
        <w:t xml:space="preserve">Curtis, C., Shah, S. P., Chin, S.-F., Turashvili, G., Rueda, O. M., Dunning, M. J., … Aparicio, S. (2012). The genomic and transcriptomic architecture of 2,000 breast tumours reveals </w:t>
      </w:r>
      <w:r>
        <w:t>novel subgroups. Nature, 486(7403), 346-352. https://doi.org/10.1038/nature10983</w:t>
      </w:r>
    </w:p>
    <w:p w14:paraId="7DDFA513" w14:textId="77777777" w:rsidR="00E00AFC" w:rsidRDefault="004807D4">
      <w:pPr>
        <w:pStyle w:val="Prrafodelista"/>
        <w:numPr>
          <w:ilvl w:val="0"/>
          <w:numId w:val="3"/>
        </w:numPr>
        <w:spacing w:after="80"/>
      </w:pPr>
      <w:r>
        <w:t>Perou, C. M., Sørlie, T., Eisen, M. B., van de Rijn, M., Jeffrey, S. S., Rees, C. A., … Botstein, D. (2000). Molecular portraits of human breast tumours. Nature, 406(6797), 74</w:t>
      </w:r>
      <w:r>
        <w:t>7-752. https://doi.org/10.1038/35021093</w:t>
      </w:r>
    </w:p>
    <w:p w14:paraId="07CCB581" w14:textId="77777777" w:rsidR="00E00AFC" w:rsidRDefault="004807D4">
      <w:pPr>
        <w:pStyle w:val="Prrafodelista"/>
        <w:numPr>
          <w:ilvl w:val="0"/>
          <w:numId w:val="3"/>
        </w:numPr>
        <w:spacing w:after="80"/>
      </w:pPr>
      <w:r>
        <w:t>Cancer Genome Atlas Research Network. (2012). Comprehensive genomic characterization of squamous cell lung cancers. Nature, 489(7417), 519-525. https://doi.org/10.1038/nature11404</w:t>
      </w:r>
    </w:p>
    <w:p w14:paraId="535BC30B" w14:textId="77777777" w:rsidR="00E00AFC" w:rsidRDefault="004807D4">
      <w:pPr>
        <w:pStyle w:val="Prrafodelista"/>
        <w:numPr>
          <w:ilvl w:val="0"/>
          <w:numId w:val="3"/>
        </w:numPr>
        <w:spacing w:after="80"/>
      </w:pPr>
      <w:r>
        <w:t>Gymrek, M., McGuire, A. L., Golan, D</w:t>
      </w:r>
      <w:r>
        <w:t>., Halperin, E., &amp; Erlich, Y. (2013). Identifying personal genomes by surname inference. Science, 339(6117), 321-324. https://doi.org/10.1126/science.1229566</w:t>
      </w:r>
    </w:p>
    <w:p w14:paraId="02566B25" w14:textId="77777777" w:rsidR="00E00AFC" w:rsidRDefault="00E00AFC">
      <w:pPr>
        <w:spacing w:after="120"/>
      </w:pPr>
    </w:p>
    <w:sectPr w:rsidR="00E00AFC">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9E175" w14:textId="77777777" w:rsidR="004807D4" w:rsidRDefault="004807D4" w:rsidP="00D61758">
      <w:r>
        <w:separator/>
      </w:r>
    </w:p>
  </w:endnote>
  <w:endnote w:type="continuationSeparator" w:id="0">
    <w:p w14:paraId="47129FCD" w14:textId="77777777" w:rsidR="004807D4" w:rsidRDefault="004807D4"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72AE1" w14:textId="77777777" w:rsidR="004807D4" w:rsidRDefault="004807D4" w:rsidP="00D61758">
      <w:r>
        <w:separator/>
      </w:r>
    </w:p>
  </w:footnote>
  <w:footnote w:type="continuationSeparator" w:id="0">
    <w:p w14:paraId="43CCF206" w14:textId="77777777" w:rsidR="004807D4" w:rsidRDefault="004807D4"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A43F6DF" w:rsidR="00D61758" w:rsidRDefault="004331B9">
    <w:pPr>
      <w:pStyle w:val="Textoindependiente"/>
      <w:spacing w:line="14" w:lineRule="auto"/>
      <w:rPr>
        <w:sz w:val="20"/>
      </w:rPr>
    </w:pPr>
    <w:r>
      <w:rPr>
        <w:noProof/>
        <w:sz w:val="20"/>
      </w:rPr>
      <w:drawing>
        <wp:anchor distT="0" distB="0" distL="0" distR="0" simplePos="0" relativeHeight="251660288" behindDoc="1" locked="0" layoutInCell="1" allowOverlap="1" wp14:anchorId="433C6852" wp14:editId="43970552">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62336" behindDoc="1" locked="0" layoutInCell="1" allowOverlap="1" wp14:anchorId="2B30652E" wp14:editId="79217682">
              <wp:simplePos x="0" y="0"/>
              <wp:positionH relativeFrom="page">
                <wp:posOffset>4514850</wp:posOffset>
              </wp:positionH>
              <wp:positionV relativeFrom="page">
                <wp:posOffset>361951</wp:posOffset>
              </wp:positionV>
              <wp:extent cx="232410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65100"/>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margin-left:355.5pt;margin-top:28.5pt;width:183pt;height:13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1"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2"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3"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121761"/>
    <w:rsid w:val="00175EA2"/>
    <w:rsid w:val="002417BC"/>
    <w:rsid w:val="00271C63"/>
    <w:rsid w:val="003500D8"/>
    <w:rsid w:val="00361CB4"/>
    <w:rsid w:val="004331B9"/>
    <w:rsid w:val="004807D4"/>
    <w:rsid w:val="00497E18"/>
    <w:rsid w:val="006C3C75"/>
    <w:rsid w:val="00A234CC"/>
    <w:rsid w:val="00AB7473"/>
    <w:rsid w:val="00AD3D98"/>
    <w:rsid w:val="00CB7D6B"/>
    <w:rsid w:val="00D61758"/>
    <w:rsid w:val="00E00AFC"/>
    <w:rsid w:val="00F71F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280" w:after="160"/>
      <w:outlineLvl w:val="1"/>
    </w:pPr>
    <w:rPr>
      <w:b/>
      <w:bCs/>
      <w:color w:val="2E5496"/>
      <w:sz w:val="28"/>
      <w:szCs w:val="28"/>
    </w:rPr>
  </w:style>
  <w:style w:type="paragraph" w:styleId="Ttulo3">
    <w:name w:val="heading 3"/>
    <w:uiPriority w:val="9"/>
    <w:unhideWhenUsed/>
    <w:qFormat/>
    <w:pPr>
      <w:spacing w:before="220" w:after="12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 w:val="24"/>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 w:val="24"/>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 w:val="24"/>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semiHidden/>
    <w:unhideWhenUsed/>
    <w:rsid w:val="00D61758"/>
    <w:pPr>
      <w:spacing w:before="100" w:beforeAutospacing="1" w:after="100" w:afterAutospacing="1"/>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6255/exon-publications-breast-cancer-subtype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ine.es/dyngs/Prensa/pEDCM202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ativecommons.org/licenses/by-nc/3.0/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22</Pages>
  <Words>6639</Words>
  <Characters>36517</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Ubeda Quesada, Julio</cp:lastModifiedBy>
  <cp:revision>4</cp:revision>
  <dcterms:created xsi:type="dcterms:W3CDTF">2026-02-25T08:31:00Z</dcterms:created>
  <dcterms:modified xsi:type="dcterms:W3CDTF">2026-02-25T16:17:00Z</dcterms:modified>
</cp:coreProperties>
</file>