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B2B2D" w14:textId="77777777" w:rsidR="00CD2C6D" w:rsidRDefault="00887AE1">
      <w:pPr>
        <w:spacing w:before="200" w:after="200"/>
      </w:pPr>
      <w:r>
        <w:rPr>
          <w:b/>
          <w:bCs/>
          <w:caps/>
          <w:color w:val="1F3864"/>
          <w:sz w:val="40"/>
          <w:szCs w:val="40"/>
        </w:rPr>
        <w:t>CAPÍTULO 1</w:t>
      </w:r>
    </w:p>
    <w:p w14:paraId="1D044414" w14:textId="77777777" w:rsidR="00CD2C6D" w:rsidRDefault="00887AE1">
      <w:pPr>
        <w:spacing w:after="400"/>
      </w:pPr>
      <w:r>
        <w:rPr>
          <w:b/>
          <w:bCs/>
          <w:caps/>
          <w:color w:val="1F3864"/>
          <w:sz w:val="40"/>
          <w:szCs w:val="40"/>
        </w:rPr>
        <w:t>INTRODUCCIÓN</w:t>
      </w:r>
    </w:p>
    <w:p w14:paraId="47B467DD" w14:textId="77777777" w:rsidR="00CD2C6D" w:rsidRDefault="00887AE1">
      <w:pPr>
        <w:pStyle w:val="Ttulo2"/>
      </w:pPr>
      <w:r>
        <w:t>1.1 Contexto y justificación del trabajo</w:t>
      </w:r>
    </w:p>
    <w:p w14:paraId="6F0176C1" w14:textId="77777777" w:rsidR="00CD2C6D" w:rsidRDefault="00887AE1">
      <w:pPr>
        <w:pStyle w:val="Ttulo3"/>
      </w:pPr>
      <w:r>
        <w:t>1.1.1 Situación actual de la supervivencia en cáncer</w:t>
      </w:r>
    </w:p>
    <w:p w14:paraId="750A605A" w14:textId="67824C5F" w:rsidR="00CD2C6D" w:rsidRDefault="00887AE1" w:rsidP="00CE2ADF">
      <w:pPr>
        <w:spacing w:after="160"/>
        <w:jc w:val="both"/>
      </w:pPr>
      <w:r>
        <w:t>El cáncer constituye uno de los mayores retos de salud pública del siglo XXI. Según los datos publicados por la Agencia Internacional para la Investigación sobre el Cáncer (IARC) en el informe GLOBOCAN 2022, se diagnosticaron en ese año aproximadamente 20 millones de nuevos casos de cáncer en todo el mundo, con una mortalidad asociada de casi 10 millones de personas. En España, el cáncer representa la segunda causa de muerte, por detrás de las enfermedades cardiovasculares, y es la primera causa de años de vida potencialmente perdidos. A pesar de los avances significativos en el diagnóstico y tratamiento oncológico producidos durante las últimas décadas, la supervivencia global a cinco años continúa siendo heterogénea y altamente dependiente del tipo tumoral, del estadio en el momento del diagnóstico, de las características biológicas del tumor y de los factores individuales del paciente.</w:t>
      </w:r>
    </w:p>
    <w:p w14:paraId="2A1F405A" w14:textId="77777777" w:rsidR="00CD2C6D" w:rsidRDefault="00887AE1">
      <w:pPr>
        <w:spacing w:after="160"/>
        <w:jc w:val="both"/>
      </w:pPr>
      <w:r>
        <w:t>El cáncer de mama y el cáncer de pulmón son, respectivamente, el cáncer con mayor incidencia en mujeres y el de mayor mortalidad en ambos sexos a nivel mundial. En el cáncer de mama, la supervivencia relativa a cinco años supera el 90% en estadios localizados, pero cae dramáticamente por debajo del 30% en estadios metastásicos. El cáncer de pulmón, cuya supervivencia global a cinco años se sitúa en torno al 19-22%, presenta una heterogeneidad molecular y clínica enorme que condiciona de forma crítica el pronóstico y la respuesta al tratamiento. Estas características hacen de ambos tipos ideales para el desarrollo de modelos predictivos basados en perfiles genómicos.</w:t>
      </w:r>
    </w:p>
    <w:p w14:paraId="0BF486A7" w14:textId="77777777" w:rsidR="00CD2C6D" w:rsidRDefault="00CD2C6D">
      <w:pPr>
        <w:spacing w:after="120"/>
      </w:pPr>
    </w:p>
    <w:p w14:paraId="3EDE72DC" w14:textId="77777777" w:rsidR="00CD2C6D" w:rsidRDefault="00887AE1">
      <w:pPr>
        <w:pStyle w:val="Ttulo3"/>
      </w:pPr>
      <w:r>
        <w:t>1.1.2 Relevancia del análisis de supervivencia en oncología</w:t>
      </w:r>
    </w:p>
    <w:p w14:paraId="76E9329E" w14:textId="77777777" w:rsidR="00CD2C6D" w:rsidRDefault="00887AE1">
      <w:pPr>
        <w:spacing w:after="160"/>
        <w:jc w:val="both"/>
      </w:pPr>
      <w:r>
        <w:t>El análisis de supervivencia constituye el conjunto de técnicas estadísticas diseñadas para modelar el tiempo hasta la ocurrencia de un evento de interés, habitualmente la muerte del paciente o la recurrencia tumoral. A diferencia de los modelos de regresión convencionales, el análisis de supervivencia incorpora de forma nativa el fenómeno de la censura, es decir, la situación en que un sujeto abandona el estudio antes de experimentar el evento o el seguimiento finaliza sin que este se haya producido. Esta capacidad resulta imprescindible en estudios longitudinales oncológicos, en los que la censura es inevitable y su tratamiento incorrecto introduce sesgos graves en las estimaciones pronósticas.</w:t>
      </w:r>
    </w:p>
    <w:p w14:paraId="3C01F952" w14:textId="2225A632" w:rsidR="00CD2C6D" w:rsidRDefault="00887AE1" w:rsidP="00CE2ADF">
      <w:pPr>
        <w:spacing w:after="160"/>
        <w:jc w:val="both"/>
      </w:pPr>
      <w:r w:rsidRPr="00CE2ADF">
        <w:t>Desde su introducción en la década de 1950, los métodos de análisis de supervivencia han evolucionado considerablemente. El estimador no paramétrico de Kaplan-Meier (Kaplan y Meier, 1958) sigue siendo el estándar de referencia para la descripción gráfica de curvas de supervivencia en grupos de pacientes. El modelo de riesgos proporcionales de Cox (Cox, 1972) introdujo la posibilidad de ajustar el efecto de múltiples covariables simultáneamente, convirtiéndose en el modelo más utilizado en la literatura clínica. Sin embargo, la creciente disponibilidad de datos genómicos de alta dimensionalidad —con decenas de miles de variables por paciente— ha impulsado el desarrollo de métodos más potentes, capaces de</w:t>
      </w:r>
      <w:r>
        <w:t xml:space="preserve"> capturar relaciones no lineales y de manejar espacios de características de alta dimensión.</w:t>
      </w:r>
    </w:p>
    <w:p w14:paraId="250393D8" w14:textId="77777777" w:rsidR="00CE2ADF" w:rsidRDefault="00CE2ADF">
      <w:pPr>
        <w:pStyle w:val="Ttulo3"/>
      </w:pPr>
    </w:p>
    <w:p w14:paraId="0505CAC1" w14:textId="0CB8B4FA" w:rsidR="00CD2C6D" w:rsidRDefault="00887AE1">
      <w:pPr>
        <w:pStyle w:val="Ttulo3"/>
      </w:pPr>
      <w:r>
        <w:lastRenderedPageBreak/>
        <w:t>1.1.3 Papel de los factores genéticos en el pronóstico oncológico</w:t>
      </w:r>
    </w:p>
    <w:p w14:paraId="4A4003D6" w14:textId="77777777" w:rsidR="00CD2C6D" w:rsidRDefault="00887AE1">
      <w:pPr>
        <w:spacing w:after="160"/>
        <w:jc w:val="both"/>
      </w:pPr>
      <w:r>
        <w:t>La genómica ha transformado profundamente la comprensión del cáncer. La secuenciación masiva del genoma tumoral ha revelado que los tumores, incluso del mismo tipo histológico, presentan perfiles moleculares radicalmente distintos que condicionan de forma determinante su comportamiento biológico, su agresividad y su respuesta a los tratamientos. En el cáncer de mama, la clasificación molecular en subtipos intrínsecos (Luminal A, Luminal B, HER2-enriched y Triple Negativo) ha demostrado tener mayor valor pronóstico que la estadificación TNM convencional (</w:t>
      </w:r>
      <w:proofErr w:type="spellStart"/>
      <w:r>
        <w:t>Perou</w:t>
      </w:r>
      <w:proofErr w:type="spellEnd"/>
      <w:r>
        <w:t xml:space="preserve"> et al., 2000). En el cáncer de pulmón no microcítico, la identificación de mutaciones en EGFR, ALK, ROS1 o KRAS tiene implicaciones directas en la selección del tratamiento dirigido.</w:t>
      </w:r>
    </w:p>
    <w:p w14:paraId="722BB026" w14:textId="77777777" w:rsidR="00CD2C6D" w:rsidRDefault="00887AE1">
      <w:pPr>
        <w:spacing w:after="160"/>
        <w:jc w:val="both"/>
      </w:pPr>
      <w:r>
        <w:t>La integración de datos de expresión génica, mutaciones somáticas, variaciones en el número de copias (CNV) y metilación del ADN en modelos predictivos de supervivencia ha demostrado mejorar significativamente la capacidad pronóstica respecto a los modelos basados exclusivamente en variables clínicas. No obstante, el análisis de este tipo de datos multimodales presenta desafíos metodológicos sustanciales, entre los que destacan la alta dimensionalidad, la colinealidad entre variables, el desequilibrio entre el número de eventos y el tamaño muestral, y la necesidad de validación externa en cohortes independientes.</w:t>
      </w:r>
    </w:p>
    <w:p w14:paraId="1111A1A3" w14:textId="77777777" w:rsidR="00CD2C6D" w:rsidRDefault="00CD2C6D">
      <w:pPr>
        <w:spacing w:after="120"/>
      </w:pPr>
    </w:p>
    <w:p w14:paraId="6C729931" w14:textId="77777777" w:rsidR="00CD2C6D" w:rsidRDefault="00887AE1">
      <w:pPr>
        <w:pStyle w:val="Ttulo3"/>
      </w:pPr>
      <w:r>
        <w:t>1.1.4 Limitaciones actuales en modelos predictivos</w:t>
      </w:r>
    </w:p>
    <w:p w14:paraId="036BE8BC" w14:textId="4E7BA534" w:rsidR="00CD2C6D" w:rsidRDefault="00887AE1">
      <w:pPr>
        <w:spacing w:after="160"/>
        <w:jc w:val="both"/>
      </w:pPr>
      <w:r>
        <w:t xml:space="preserve">A pesar del notable progreso experimentado en los últimos años, los modelos predictivos de supervivencia oncológica presentan limitaciones importantes que justifican nuevas investigaciones en el campo. En primer lugar, muchos modelos publicados en la literatura han sido entrenados y validados sobre un único </w:t>
      </w:r>
      <w:r w:rsidR="00CE2ADF">
        <w:t>conjunto de datos</w:t>
      </w:r>
      <w:r>
        <w:t xml:space="preserve">, sin comprobación de su capacidad de generalización en cohortes independientes, lo que introduce riesgos de sobreajuste. En segundo lugar, la interpretabilidad de los modelos de aprendizaje automático más complejos </w:t>
      </w:r>
      <w:r w:rsidR="00CE2ADF">
        <w:t>(</w:t>
      </w:r>
      <w:r>
        <w:t>como las redes neuronales profundas</w:t>
      </w:r>
      <w:r w:rsidR="00CE2ADF">
        <w:t>)</w:t>
      </w:r>
      <w:r>
        <w:t xml:space="preserve"> sigue siendo un reto pendiente, con implicaciones directas en la adopción clínica de estas herramientas. En tercer lugar, la heterogeneidad en los protocolos de recogida y codificación de datos entre distintos repositorios dificulta la armonización y el análisis conjunto de cohortes diversas.</w:t>
      </w:r>
    </w:p>
    <w:p w14:paraId="7EA28BA1" w14:textId="0846A6D7" w:rsidR="00CD2C6D" w:rsidRDefault="00887AE1">
      <w:pPr>
        <w:spacing w:after="160"/>
        <w:jc w:val="both"/>
      </w:pPr>
      <w:r>
        <w:t xml:space="preserve">El presente TFM aborda explícitamente estas limitaciones al proponer un diseño metodológico que incorpora dos </w:t>
      </w:r>
      <w:r w:rsidR="00CE2ADF">
        <w:t>conjuntos de datos</w:t>
      </w:r>
      <w:r>
        <w:t xml:space="preserve"> independientes (TCGA y METABRIC), aplica múltiples familias de modelos con distinto nivel de complejidad e interpretabilidad, e implementa protocolos rigurosos de validación cruzada y evaluación mediante métricas estandarizadas.</w:t>
      </w:r>
    </w:p>
    <w:p w14:paraId="3CD39CD8" w14:textId="77777777" w:rsidR="00CD2C6D" w:rsidRDefault="00CD2C6D">
      <w:pPr>
        <w:spacing w:after="120"/>
      </w:pPr>
    </w:p>
    <w:p w14:paraId="1D34DFF7" w14:textId="77777777" w:rsidR="00CD2C6D" w:rsidRDefault="00887AE1">
      <w:pPr>
        <w:pStyle w:val="Ttulo3"/>
      </w:pPr>
      <w:r>
        <w:t>1.1.5 Propuesta concreta de tipos de cáncer y justificación</w:t>
      </w:r>
    </w:p>
    <w:p w14:paraId="1080C3E0" w14:textId="77777777" w:rsidR="00CD2C6D" w:rsidRDefault="00887AE1">
      <w:pPr>
        <w:spacing w:after="160"/>
        <w:jc w:val="both"/>
      </w:pPr>
      <w:r>
        <w:t>Aunque el análisis de supervivencia puede aplicarse a cualquier tipo de cáncer, la amplitud del enfoque genómico exige una delimitación precisa del objeto de estudio. Se propone centrar el análisis en dos tipos de cáncer con características complementarias:</w:t>
      </w:r>
    </w:p>
    <w:p w14:paraId="36E7243E" w14:textId="77777777" w:rsidR="00CD2C6D" w:rsidRDefault="00CD2C6D">
      <w:pPr>
        <w:spacing w:after="120"/>
      </w:pPr>
    </w:p>
    <w:p w14:paraId="5C663D62" w14:textId="77777777" w:rsidR="00CD2C6D" w:rsidRDefault="00887AE1">
      <w:pPr>
        <w:pStyle w:val="Prrafodelista"/>
        <w:numPr>
          <w:ilvl w:val="0"/>
          <w:numId w:val="2"/>
        </w:numPr>
        <w:spacing w:after="80"/>
      </w:pPr>
      <w:r>
        <w:t>Cáncer de mama (</w:t>
      </w:r>
      <w:proofErr w:type="spellStart"/>
      <w:r>
        <w:t>breast</w:t>
      </w:r>
      <w:proofErr w:type="spellEnd"/>
      <w:r>
        <w:t xml:space="preserve"> </w:t>
      </w:r>
      <w:proofErr w:type="spellStart"/>
      <w:r>
        <w:t>cancer</w:t>
      </w:r>
      <w:proofErr w:type="spellEnd"/>
      <w:r>
        <w:t>): presenta la mayor disponibilidad de datos genómicos públicos de alta calidad (TCGA-BRCA, METABRIC), una clasificación molecular bien establecida y una extensa literatura de referencia para la comparación de resultados. La elevada incidencia y la variabilidad pronóstica entre subtipos moleculares lo convierten en un caso paradigmático para el análisis de supervivencia basado en genómica.</w:t>
      </w:r>
    </w:p>
    <w:p w14:paraId="594DB0CA" w14:textId="77777777" w:rsidR="00CD2C6D" w:rsidRDefault="00887AE1">
      <w:pPr>
        <w:pStyle w:val="Prrafodelista"/>
        <w:numPr>
          <w:ilvl w:val="0"/>
          <w:numId w:val="2"/>
        </w:numPr>
        <w:spacing w:after="80"/>
      </w:pPr>
      <w:r>
        <w:lastRenderedPageBreak/>
        <w:t xml:space="preserve">Cáncer de pulmón no microcítico (NSCLC – Non-Small Cell </w:t>
      </w:r>
      <w:proofErr w:type="spellStart"/>
      <w:r>
        <w:t>Lung</w:t>
      </w:r>
      <w:proofErr w:type="spellEnd"/>
      <w:r>
        <w:t xml:space="preserve"> </w:t>
      </w:r>
      <w:proofErr w:type="spellStart"/>
      <w:r>
        <w:t>Cancer</w:t>
      </w:r>
      <w:proofErr w:type="spellEnd"/>
      <w:r>
        <w:t>): presenta la mayor mortalidad oncológica mundial, elevada heterogeneidad molecular, y una disponibilidad adecuada de datos en TCGA (cohortes TCGA-LUAD y TCGA-LUSC). El contraste entre sus subtipos histológicos (adenocarcinoma vs. carcinoma escamoso) añade valor analítico al estudio comparativo.</w:t>
      </w:r>
    </w:p>
    <w:p w14:paraId="14842D92" w14:textId="77777777" w:rsidR="00CD2C6D" w:rsidRDefault="00CD2C6D">
      <w:pPr>
        <w:spacing w:after="120"/>
      </w:pPr>
    </w:p>
    <w:p w14:paraId="2DD4FB01" w14:textId="77777777" w:rsidR="00CD2C6D" w:rsidRDefault="00887AE1">
      <w:pPr>
        <w:spacing w:after="160"/>
        <w:jc w:val="both"/>
      </w:pPr>
      <w:r>
        <w:t>La elección de cáncer de mama como foco primario se justifica por la superior disponibilidad y calidad de datos, en particular la cohorte METABRIC (n &gt; 2.000 pacientes con seguimiento largo), que permite una validación cruzada externa robusta. El cáncer de pulmón actuará como tipo secundario de análisis, permitiendo evaluar la transferibilidad metodológica del enfoque.</w:t>
      </w:r>
    </w:p>
    <w:p w14:paraId="5EAE1B58" w14:textId="77777777" w:rsidR="00CD2C6D" w:rsidRDefault="00CD2C6D">
      <w:pPr>
        <w:spacing w:after="120"/>
      </w:pPr>
    </w:p>
    <w:p w14:paraId="585BF1D5" w14:textId="77777777" w:rsidR="00CD2C6D" w:rsidRDefault="00887AE1">
      <w:pPr>
        <w:pStyle w:val="Ttulo3"/>
      </w:pPr>
      <w:r>
        <w:t>1.1.6 Datasets propuestos – Tabla comparativa</w:t>
      </w:r>
    </w:p>
    <w:p w14:paraId="5A5963AD" w14:textId="77777777" w:rsidR="00CD2C6D" w:rsidRDefault="00887AE1">
      <w:pPr>
        <w:spacing w:after="160"/>
        <w:jc w:val="both"/>
      </w:pPr>
      <w:r>
        <w:t xml:space="preserve">A </w:t>
      </w:r>
      <w:proofErr w:type="gramStart"/>
      <w:r>
        <w:t>continuación</w:t>
      </w:r>
      <w:proofErr w:type="gramEnd"/>
      <w:r>
        <w:t xml:space="preserve"> se presenta una tabla comparativa de los principales repositorios públicos de datos oncológicos disponibles para este tipo de análisis:</w:t>
      </w:r>
    </w:p>
    <w:p w14:paraId="3251C1E2" w14:textId="77777777" w:rsidR="00CD2C6D" w:rsidRDefault="00CD2C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1445"/>
        <w:gridCol w:w="1623"/>
        <w:gridCol w:w="1541"/>
        <w:gridCol w:w="1371"/>
        <w:gridCol w:w="1523"/>
      </w:tblGrid>
      <w:tr w:rsidR="00CD2C6D" w14:paraId="15E24A95" w14:textId="77777777">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587D35F" w14:textId="77777777" w:rsidR="00CD2C6D" w:rsidRDefault="00887AE1">
            <w:pPr>
              <w:jc w:val="center"/>
            </w:pPr>
            <w:proofErr w:type="spellStart"/>
            <w:r>
              <w:rPr>
                <w:b/>
                <w:bCs/>
                <w:color w:val="FFFFFF"/>
                <w:sz w:val="20"/>
                <w:szCs w:val="20"/>
              </w:rPr>
              <w:t>Dataset</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6C495F0" w14:textId="77777777" w:rsidR="00CD2C6D" w:rsidRDefault="00887AE1">
            <w:pPr>
              <w:jc w:val="center"/>
            </w:pPr>
            <w:r>
              <w:rPr>
                <w:b/>
                <w:bCs/>
                <w:color w:val="FFFFFF"/>
                <w:sz w:val="20"/>
                <w:szCs w:val="20"/>
              </w:rPr>
              <w:t>Organismo / Fuente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7EB8FB64" w14:textId="77777777" w:rsidR="00CD2C6D" w:rsidRDefault="00887AE1">
            <w:pPr>
              <w:jc w:val="center"/>
            </w:pPr>
            <w:r>
              <w:rPr>
                <w:b/>
                <w:bCs/>
                <w:color w:val="FFFFFF"/>
                <w:sz w:val="20"/>
                <w:szCs w:val="20"/>
              </w:rPr>
              <w:t>Tipo de datos</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991180D" w14:textId="77777777" w:rsidR="00CD2C6D" w:rsidRDefault="00887AE1">
            <w:pPr>
              <w:jc w:val="center"/>
            </w:pPr>
            <w:r>
              <w:rPr>
                <w:b/>
                <w:bCs/>
                <w:color w:val="FFFFFF"/>
                <w:sz w:val="20"/>
                <w:szCs w:val="20"/>
              </w:rPr>
              <w:t>N aprox.</w:t>
            </w:r>
          </w:p>
        </w:tc>
        <w:tc>
          <w:tcPr>
            <w:tcW w:w="14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E5473C6" w14:textId="77777777" w:rsidR="00CD2C6D" w:rsidRDefault="00887AE1">
            <w:pPr>
              <w:jc w:val="center"/>
            </w:pPr>
            <w:r>
              <w:rPr>
                <w:b/>
                <w:bCs/>
                <w:color w:val="FFFFFF"/>
                <w:sz w:val="20"/>
                <w:szCs w:val="20"/>
              </w:rPr>
              <w:t>Acceso</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8EA76F4" w14:textId="77777777" w:rsidR="00CD2C6D" w:rsidRDefault="00887AE1">
            <w:pPr>
              <w:jc w:val="center"/>
            </w:pPr>
            <w:r>
              <w:rPr>
                <w:b/>
                <w:bCs/>
                <w:color w:val="FFFFFF"/>
                <w:sz w:val="20"/>
                <w:szCs w:val="20"/>
              </w:rPr>
              <w:t>Ventajas principales</w:t>
            </w:r>
          </w:p>
        </w:tc>
      </w:tr>
      <w:tr w:rsidR="00CD2C6D" w14:paraId="2014FE58" w14:textId="77777777">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553E4BC" w14:textId="77777777" w:rsidR="00CD2C6D" w:rsidRDefault="00887AE1">
            <w:r>
              <w:rPr>
                <w:b/>
                <w:bCs/>
                <w:sz w:val="20"/>
                <w:szCs w:val="20"/>
              </w:rPr>
              <w:t>TCGA (</w:t>
            </w:r>
            <w:proofErr w:type="spellStart"/>
            <w:r>
              <w:rPr>
                <w:b/>
                <w:bCs/>
                <w:sz w:val="20"/>
                <w:szCs w:val="20"/>
              </w:rPr>
              <w:t>The</w:t>
            </w:r>
            <w:proofErr w:type="spellEnd"/>
            <w:r>
              <w:rPr>
                <w:b/>
                <w:bCs/>
                <w:sz w:val="20"/>
                <w:szCs w:val="20"/>
              </w:rPr>
              <w:t xml:space="preserve"> </w:t>
            </w:r>
            <w:proofErr w:type="spellStart"/>
            <w:r>
              <w:rPr>
                <w:b/>
                <w:bCs/>
                <w:sz w:val="20"/>
                <w:szCs w:val="20"/>
              </w:rPr>
              <w:t>Cancer</w:t>
            </w:r>
            <w:proofErr w:type="spellEnd"/>
            <w:r>
              <w:rPr>
                <w:b/>
                <w:bCs/>
                <w:sz w:val="20"/>
                <w:szCs w:val="20"/>
              </w:rPr>
              <w:t xml:space="preserve"> </w:t>
            </w:r>
            <w:proofErr w:type="spellStart"/>
            <w:r>
              <w:rPr>
                <w:b/>
                <w:bCs/>
                <w:sz w:val="20"/>
                <w:szCs w:val="20"/>
              </w:rPr>
              <w:t>Genome</w:t>
            </w:r>
            <w:proofErr w:type="spellEnd"/>
            <w:r>
              <w:rPr>
                <w:b/>
                <w:bCs/>
                <w:sz w:val="20"/>
                <w:szCs w:val="20"/>
              </w:rPr>
              <w:t xml:space="preserve"> Atlas)</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E7AD964" w14:textId="77777777" w:rsidR="00CD2C6D" w:rsidRDefault="00887AE1">
            <w:r>
              <w:rPr>
                <w:sz w:val="20"/>
                <w:szCs w:val="20"/>
              </w:rPr>
              <w:t>NCI / NIH (EE.UU.)</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9F283AD" w14:textId="77777777" w:rsidR="00CD2C6D" w:rsidRDefault="00887AE1">
            <w:r>
              <w:rPr>
                <w:sz w:val="20"/>
                <w:szCs w:val="20"/>
              </w:rPr>
              <w:t>Expresión génica, mutaciones, CNV, metilación, clínico</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B28673" w14:textId="77777777" w:rsidR="00CD2C6D" w:rsidRDefault="00887AE1">
            <w:r>
              <w:rPr>
                <w:sz w:val="20"/>
                <w:szCs w:val="20"/>
              </w:rPr>
              <w:t>&gt;11.000 pacientes, &gt;30 tipos de cáncer</w:t>
            </w:r>
          </w:p>
        </w:tc>
        <w:tc>
          <w:tcPr>
            <w:tcW w:w="1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6DCB442" w14:textId="77777777" w:rsidR="00CD2C6D" w:rsidRDefault="00887AE1">
            <w:r>
              <w:rPr>
                <w:sz w:val="20"/>
                <w:szCs w:val="20"/>
              </w:rPr>
              <w:t>Público (GDC Portal)</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BFC1095" w14:textId="77777777" w:rsidR="00CD2C6D" w:rsidRDefault="00887AE1">
            <w:r>
              <w:rPr>
                <w:sz w:val="20"/>
                <w:szCs w:val="20"/>
              </w:rPr>
              <w:t>Multimodal, estándar de referencia en la literatura</w:t>
            </w:r>
          </w:p>
        </w:tc>
      </w:tr>
      <w:tr w:rsidR="00CD2C6D" w14:paraId="096C34B7"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06E441E" w14:textId="77777777" w:rsidR="00CD2C6D" w:rsidRDefault="00887AE1">
            <w:r>
              <w:rPr>
                <w:b/>
                <w:bCs/>
                <w:sz w:val="20"/>
                <w:szCs w:val="20"/>
              </w:rPr>
              <w:t>METABRIC</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1381E0D" w14:textId="77777777" w:rsidR="00CD2C6D" w:rsidRDefault="00887AE1">
            <w:r>
              <w:rPr>
                <w:sz w:val="20"/>
                <w:szCs w:val="20"/>
              </w:rPr>
              <w:t>CRUK / EBI</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0E58275" w14:textId="77777777" w:rsidR="00CD2C6D" w:rsidRDefault="00887AE1">
            <w:proofErr w:type="spellStart"/>
            <w:r>
              <w:rPr>
                <w:sz w:val="20"/>
                <w:szCs w:val="20"/>
              </w:rPr>
              <w:t>Microarrays</w:t>
            </w:r>
            <w:proofErr w:type="spellEnd"/>
            <w:r>
              <w:rPr>
                <w:sz w:val="20"/>
                <w:szCs w:val="20"/>
              </w:rPr>
              <w:t xml:space="preserve"> expresión génica, CNV, clínico</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FCAA303" w14:textId="77777777" w:rsidR="00CD2C6D" w:rsidRDefault="00887AE1">
            <w:r>
              <w:rPr>
                <w:sz w:val="20"/>
                <w:szCs w:val="20"/>
              </w:rPr>
              <w:t>&gt;2.000 pacientes (cáncer de mama)</w:t>
            </w:r>
          </w:p>
        </w:tc>
        <w:tc>
          <w:tcPr>
            <w:tcW w:w="1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BDC8D97" w14:textId="77777777" w:rsidR="00CD2C6D" w:rsidRDefault="00887AE1">
            <w:r>
              <w:rPr>
                <w:sz w:val="20"/>
                <w:szCs w:val="20"/>
              </w:rPr>
              <w:t>Público (</w:t>
            </w:r>
            <w:proofErr w:type="spellStart"/>
            <w:r>
              <w:rPr>
                <w:sz w:val="20"/>
                <w:szCs w:val="20"/>
              </w:rPr>
              <w:t>cBioPortal</w:t>
            </w:r>
            <w:proofErr w:type="spellEnd"/>
            <w:r>
              <w:rPr>
                <w:sz w:val="20"/>
                <w:szCs w:val="20"/>
              </w:rPr>
              <w:t xml:space="preserve"> / EGA)</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730E273" w14:textId="77777777" w:rsidR="00CD2C6D" w:rsidRDefault="00887AE1">
            <w:r>
              <w:rPr>
                <w:sz w:val="20"/>
                <w:szCs w:val="20"/>
              </w:rPr>
              <w:t>Gran seguimiento, subtipos moleculares validados</w:t>
            </w:r>
          </w:p>
        </w:tc>
      </w:tr>
      <w:tr w:rsidR="00CD2C6D" w14:paraId="4E1CC292" w14:textId="77777777">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2F0947" w14:textId="77777777" w:rsidR="00CD2C6D" w:rsidRDefault="00887AE1">
            <w:r>
              <w:rPr>
                <w:b/>
                <w:bCs/>
                <w:sz w:val="20"/>
                <w:szCs w:val="20"/>
              </w:rPr>
              <w:t>SEER</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283B67F" w14:textId="77777777" w:rsidR="00CD2C6D" w:rsidRDefault="00887AE1">
            <w:r>
              <w:rPr>
                <w:sz w:val="20"/>
                <w:szCs w:val="20"/>
              </w:rPr>
              <w:t>NCI (EE.UU.)</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1FCE77A" w14:textId="77777777" w:rsidR="00CD2C6D" w:rsidRDefault="00887AE1">
            <w:r>
              <w:rPr>
                <w:sz w:val="20"/>
                <w:szCs w:val="20"/>
              </w:rPr>
              <w:t>Epidemiológico-clínico (sin datos genómicos)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E48F5C9" w14:textId="77777777" w:rsidR="00CD2C6D" w:rsidRDefault="00887AE1">
            <w:r>
              <w:rPr>
                <w:sz w:val="20"/>
                <w:szCs w:val="20"/>
              </w:rPr>
              <w:t>&gt;9 millones de casos</w:t>
            </w:r>
          </w:p>
        </w:tc>
        <w:tc>
          <w:tcPr>
            <w:tcW w:w="1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009EEEB" w14:textId="77777777" w:rsidR="00CD2C6D" w:rsidRDefault="00887AE1">
            <w:r>
              <w:rPr>
                <w:sz w:val="20"/>
                <w:szCs w:val="20"/>
              </w:rPr>
              <w:t>Público (previo registro)</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81F9179" w14:textId="77777777" w:rsidR="00CD2C6D" w:rsidRDefault="00887AE1">
            <w:r>
              <w:rPr>
                <w:sz w:val="20"/>
                <w:szCs w:val="20"/>
              </w:rPr>
              <w:t>Muy grande; no incluye datos moleculares</w:t>
            </w:r>
          </w:p>
        </w:tc>
      </w:tr>
      <w:tr w:rsidR="00CD2C6D" w14:paraId="0977176F" w14:textId="77777777">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0613F4B" w14:textId="77777777" w:rsidR="00CD2C6D" w:rsidRDefault="00887AE1">
            <w:r>
              <w:rPr>
                <w:b/>
                <w:bCs/>
                <w:sz w:val="20"/>
                <w:szCs w:val="20"/>
              </w:rPr>
              <w:t>GDC Data Portal</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DC5FB6E" w14:textId="77777777" w:rsidR="00CD2C6D" w:rsidRDefault="00887AE1">
            <w:r>
              <w:rPr>
                <w:sz w:val="20"/>
                <w:szCs w:val="20"/>
              </w:rPr>
              <w:t>NIH/NCI</w:t>
            </w:r>
          </w:p>
        </w:tc>
        <w:tc>
          <w:tcPr>
            <w:tcW w:w="14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F4BAD56" w14:textId="77777777" w:rsidR="00CD2C6D" w:rsidRDefault="00887AE1">
            <w:r>
              <w:rPr>
                <w:sz w:val="20"/>
                <w:szCs w:val="20"/>
              </w:rPr>
              <w:t>Portal de acceso a TCGA, TARGET y otros</w:t>
            </w:r>
          </w:p>
        </w:tc>
        <w:tc>
          <w:tcPr>
            <w:tcW w:w="16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545982D" w14:textId="77777777" w:rsidR="00CD2C6D" w:rsidRDefault="00887AE1">
            <w:r>
              <w:rPr>
                <w:sz w:val="20"/>
                <w:szCs w:val="20"/>
              </w:rPr>
              <w:t>Variable (depende del proyecto)</w:t>
            </w:r>
          </w:p>
        </w:tc>
        <w:tc>
          <w:tcPr>
            <w:tcW w:w="1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9EBF1AF" w14:textId="77777777" w:rsidR="00CD2C6D" w:rsidRDefault="00887AE1">
            <w:r>
              <w:rPr>
                <w:sz w:val="20"/>
                <w:szCs w:val="20"/>
              </w:rPr>
              <w:t>Público / Controlado</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BA37973" w14:textId="77777777" w:rsidR="00CD2C6D" w:rsidRDefault="00887AE1">
            <w:r>
              <w:rPr>
                <w:sz w:val="20"/>
                <w:szCs w:val="20"/>
              </w:rPr>
              <w:t xml:space="preserve">Acceso unificado y estandarizado a datos </w:t>
            </w:r>
            <w:proofErr w:type="spellStart"/>
            <w:r>
              <w:rPr>
                <w:sz w:val="20"/>
                <w:szCs w:val="20"/>
              </w:rPr>
              <w:t>ómicos</w:t>
            </w:r>
            <w:proofErr w:type="spellEnd"/>
          </w:p>
        </w:tc>
      </w:tr>
      <w:tr w:rsidR="00CD2C6D" w14:paraId="1D735038" w14:textId="77777777">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8CAAAF5" w14:textId="77777777" w:rsidR="00CD2C6D" w:rsidRDefault="00887AE1">
            <w:r>
              <w:rPr>
                <w:b/>
                <w:bCs/>
                <w:sz w:val="20"/>
                <w:szCs w:val="20"/>
              </w:rPr>
              <w:t xml:space="preserve">UK </w:t>
            </w:r>
            <w:proofErr w:type="spellStart"/>
            <w:r>
              <w:rPr>
                <w:b/>
                <w:bCs/>
                <w:sz w:val="20"/>
                <w:szCs w:val="20"/>
              </w:rPr>
              <w:t>Biobank</w:t>
            </w:r>
            <w:proofErr w:type="spellEnd"/>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0D443B" w14:textId="77777777" w:rsidR="00CD2C6D" w:rsidRDefault="00887AE1">
            <w:r>
              <w:rPr>
                <w:sz w:val="20"/>
                <w:szCs w:val="20"/>
              </w:rPr>
              <w:t xml:space="preserve">MRC / </w:t>
            </w:r>
            <w:proofErr w:type="spellStart"/>
            <w:r>
              <w:rPr>
                <w:sz w:val="20"/>
                <w:szCs w:val="20"/>
              </w:rPr>
              <w:t>Wellcome</w:t>
            </w:r>
            <w:proofErr w:type="spellEnd"/>
            <w:r>
              <w:rPr>
                <w:sz w:val="20"/>
                <w:szCs w:val="20"/>
              </w:rPr>
              <w:t xml:space="preserve"> Trust (UK)</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1FF735B" w14:textId="77777777" w:rsidR="00CD2C6D" w:rsidRDefault="00887AE1">
            <w:r>
              <w:rPr>
                <w:sz w:val="20"/>
                <w:szCs w:val="20"/>
              </w:rPr>
              <w:t>Genómica (GWAS), clínico, imágenes</w:t>
            </w:r>
          </w:p>
        </w:tc>
        <w:tc>
          <w:tcPr>
            <w:tcW w:w="16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FF967CA" w14:textId="77777777" w:rsidR="00CD2C6D" w:rsidRDefault="00887AE1">
            <w:r>
              <w:rPr>
                <w:sz w:val="20"/>
                <w:szCs w:val="20"/>
              </w:rPr>
              <w:t>&gt;500.000 participantes</w:t>
            </w:r>
          </w:p>
        </w:tc>
        <w:tc>
          <w:tcPr>
            <w:tcW w:w="1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E0F8248" w14:textId="77777777" w:rsidR="00CD2C6D" w:rsidRDefault="00887AE1">
            <w:r>
              <w:rPr>
                <w:sz w:val="20"/>
                <w:szCs w:val="20"/>
              </w:rPr>
              <w:t>Controlado (previa solicitud)</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405CC16" w14:textId="77777777" w:rsidR="00CD2C6D" w:rsidRDefault="00887AE1">
            <w:r>
              <w:rPr>
                <w:sz w:val="20"/>
                <w:szCs w:val="20"/>
              </w:rPr>
              <w:t>Muy representativo; acceso más complejo para TFM</w:t>
            </w:r>
          </w:p>
        </w:tc>
      </w:tr>
    </w:tbl>
    <w:p w14:paraId="6BD9414B" w14:textId="77777777" w:rsidR="00CD2C6D" w:rsidRDefault="00CD2C6D">
      <w:pPr>
        <w:spacing w:after="120"/>
      </w:pPr>
    </w:p>
    <w:p w14:paraId="08AAC8FE" w14:textId="77777777" w:rsidR="00CD2C6D" w:rsidRDefault="00887AE1">
      <w:pPr>
        <w:spacing w:after="160"/>
        <w:jc w:val="both"/>
      </w:pPr>
      <w:r>
        <w:t xml:space="preserve">Para este TFM se propone la combinación TCGA (cohortes BRCA y LUAD/LUSC) + METABRIC como estrategia más viable, dado que ambos están disponibles de forma pública o </w:t>
      </w:r>
      <w:proofErr w:type="spellStart"/>
      <w:r>
        <w:t>semi-pública</w:t>
      </w:r>
      <w:proofErr w:type="spellEnd"/>
      <w:r>
        <w:t>, están ampliamente documentados en la literatura y presentan solapamiento parcial de variables que facilitará el análisis comparativo e integrado.</w:t>
      </w:r>
    </w:p>
    <w:p w14:paraId="1AED7DBC" w14:textId="77777777" w:rsidR="00CD2C6D" w:rsidRDefault="00CD2C6D">
      <w:pPr>
        <w:spacing w:after="120"/>
      </w:pPr>
    </w:p>
    <w:p w14:paraId="23FD5763" w14:textId="77777777" w:rsidR="00CD2C6D" w:rsidRDefault="00887AE1">
      <w:pPr>
        <w:pStyle w:val="Ttulo3"/>
      </w:pPr>
      <w:r>
        <w:t>1.1.7 Referencias científicas sugeridas</w:t>
      </w:r>
    </w:p>
    <w:p w14:paraId="490E2C62" w14:textId="77777777" w:rsidR="00CD2C6D" w:rsidRDefault="00887AE1">
      <w:pPr>
        <w:spacing w:after="160"/>
        <w:jc w:val="both"/>
      </w:pPr>
      <w:r>
        <w:t xml:space="preserve">A </w:t>
      </w:r>
      <w:proofErr w:type="gramStart"/>
      <w:r>
        <w:t>continuación</w:t>
      </w:r>
      <w:proofErr w:type="gramEnd"/>
      <w:r>
        <w:t xml:space="preserve"> se indican cinco referencias académicas fundamentales que sustentan el marco teórico y metodológico de este TFM. Se recomienda consultarlas directamente para verificar su vigencia:</w:t>
      </w:r>
    </w:p>
    <w:p w14:paraId="3FC98704" w14:textId="77777777" w:rsidR="00CD2C6D" w:rsidRDefault="00CD2C6D">
      <w:pPr>
        <w:spacing w:after="120"/>
      </w:pPr>
    </w:p>
    <w:p w14:paraId="314D6F02" w14:textId="77777777" w:rsidR="00CD2C6D" w:rsidRDefault="00887AE1">
      <w:pPr>
        <w:pStyle w:val="Prrafodelista"/>
        <w:numPr>
          <w:ilvl w:val="0"/>
          <w:numId w:val="2"/>
        </w:numPr>
        <w:spacing w:after="80"/>
      </w:pPr>
      <w:r>
        <w:t>Kaplan, E. L. y Meier, P. (1958). «</w:t>
      </w:r>
      <w:proofErr w:type="spellStart"/>
      <w:r>
        <w:t>Nonparametric</w:t>
      </w:r>
      <w:proofErr w:type="spellEnd"/>
      <w:r>
        <w:t xml:space="preserve"> </w:t>
      </w:r>
      <w:proofErr w:type="spellStart"/>
      <w:r>
        <w:t>estimation</w:t>
      </w:r>
      <w:proofErr w:type="spellEnd"/>
      <w:r>
        <w:t xml:space="preserve"> </w:t>
      </w:r>
      <w:proofErr w:type="spellStart"/>
      <w:r>
        <w:t>from</w:t>
      </w:r>
      <w:proofErr w:type="spellEnd"/>
      <w:r>
        <w:t xml:space="preserve"> incomplete </w:t>
      </w:r>
      <w:proofErr w:type="spellStart"/>
      <w:r>
        <w:t>observations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Statistical</w:t>
      </w:r>
      <w:proofErr w:type="spellEnd"/>
      <w:r>
        <w:t xml:space="preserve"> </w:t>
      </w:r>
      <w:proofErr w:type="spellStart"/>
      <w:r>
        <w:t>Association</w:t>
      </w:r>
      <w:proofErr w:type="spellEnd"/>
      <w:r>
        <w:t>, 53(282), 457-481. Contribución: Formulación del estimador no paramétrico de supervivencia que sigue siendo referencia universal en oncología clínica.</w:t>
      </w:r>
    </w:p>
    <w:p w14:paraId="02A86F4E" w14:textId="77777777" w:rsidR="00CD2C6D" w:rsidRDefault="00887AE1">
      <w:pPr>
        <w:pStyle w:val="Prrafodelista"/>
        <w:numPr>
          <w:ilvl w:val="0"/>
          <w:numId w:val="2"/>
        </w:numPr>
        <w:spacing w:after="80"/>
      </w:pPr>
      <w:r>
        <w:t>Cox, D. R. (1972). «</w:t>
      </w:r>
      <w:proofErr w:type="spellStart"/>
      <w:r>
        <w:t>Regression</w:t>
      </w:r>
      <w:proofErr w:type="spellEnd"/>
      <w:r>
        <w:t xml:space="preserve"> </w:t>
      </w:r>
      <w:proofErr w:type="spellStart"/>
      <w:r>
        <w:t>models</w:t>
      </w:r>
      <w:proofErr w:type="spellEnd"/>
      <w:r>
        <w:t xml:space="preserve"> and </w:t>
      </w:r>
      <w:proofErr w:type="spellStart"/>
      <w:r>
        <w:t>life</w:t>
      </w:r>
      <w:proofErr w:type="spellEnd"/>
      <w:r>
        <w:t xml:space="preserve">-tables».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Royal </w:t>
      </w:r>
      <w:proofErr w:type="spellStart"/>
      <w:r>
        <w:t>Statistical</w:t>
      </w:r>
      <w:proofErr w:type="spellEnd"/>
      <w:r>
        <w:t xml:space="preserve"> </w:t>
      </w:r>
      <w:proofErr w:type="spellStart"/>
      <w:r>
        <w:t>Society</w:t>
      </w:r>
      <w:proofErr w:type="spellEnd"/>
      <w:r>
        <w:t xml:space="preserve">: Series B, 34(2), 187-220. Contribución: Definición del modelo de riesgos proporcionales </w:t>
      </w:r>
      <w:proofErr w:type="spellStart"/>
      <w:r>
        <w:t>semiparamétrico</w:t>
      </w:r>
      <w:proofErr w:type="spellEnd"/>
      <w:r>
        <w:t xml:space="preserve"> que permite ajustar covariables en estudios longitudinales.</w:t>
      </w:r>
    </w:p>
    <w:p w14:paraId="12C2B311" w14:textId="77777777" w:rsidR="00CD2C6D" w:rsidRDefault="00887AE1">
      <w:pPr>
        <w:pStyle w:val="Prrafodelista"/>
        <w:numPr>
          <w:ilvl w:val="0"/>
          <w:numId w:val="2"/>
        </w:numPr>
        <w:spacing w:after="80"/>
      </w:pPr>
      <w:proofErr w:type="spellStart"/>
      <w:r>
        <w:t>Ishwaran</w:t>
      </w:r>
      <w:proofErr w:type="spellEnd"/>
      <w:r>
        <w:t xml:space="preserve">, H., </w:t>
      </w:r>
      <w:proofErr w:type="spellStart"/>
      <w:r>
        <w:t>Kogalur</w:t>
      </w:r>
      <w:proofErr w:type="spellEnd"/>
      <w:r>
        <w:t xml:space="preserve">, U. B., </w:t>
      </w:r>
      <w:proofErr w:type="spellStart"/>
      <w:r>
        <w:t>Blackstone</w:t>
      </w:r>
      <w:proofErr w:type="spellEnd"/>
      <w:r>
        <w:t>, E. H. y Lauer, M. S. (2008). «</w:t>
      </w:r>
      <w:proofErr w:type="spellStart"/>
      <w:r>
        <w:t>Random</w:t>
      </w:r>
      <w:proofErr w:type="spellEnd"/>
      <w:r>
        <w:t xml:space="preserve"> </w:t>
      </w:r>
      <w:proofErr w:type="spellStart"/>
      <w:r>
        <w:t>survival</w:t>
      </w:r>
      <w:proofErr w:type="spellEnd"/>
      <w:r>
        <w:t xml:space="preserve"> </w:t>
      </w:r>
      <w:proofErr w:type="spellStart"/>
      <w:r>
        <w:t>forests</w:t>
      </w:r>
      <w:proofErr w:type="spellEnd"/>
      <w:r>
        <w:t xml:space="preserve">». </w:t>
      </w:r>
      <w:proofErr w:type="spellStart"/>
      <w:r>
        <w:t>The</w:t>
      </w:r>
      <w:proofErr w:type="spellEnd"/>
      <w:r>
        <w:t xml:space="preserve"> </w:t>
      </w:r>
      <w:proofErr w:type="spellStart"/>
      <w:r>
        <w:t>Annals</w:t>
      </w:r>
      <w:proofErr w:type="spellEnd"/>
      <w:r>
        <w:t xml:space="preserve"> </w:t>
      </w:r>
      <w:proofErr w:type="spellStart"/>
      <w:r>
        <w:t>of</w:t>
      </w:r>
      <w:proofErr w:type="spellEnd"/>
      <w:r>
        <w:t xml:space="preserve"> </w:t>
      </w:r>
      <w:proofErr w:type="spellStart"/>
      <w:r>
        <w:t>Applied</w:t>
      </w:r>
      <w:proofErr w:type="spellEnd"/>
      <w:r>
        <w:t xml:space="preserve"> </w:t>
      </w:r>
      <w:proofErr w:type="spellStart"/>
      <w:r>
        <w:t>Statistics</w:t>
      </w:r>
      <w:proofErr w:type="spellEnd"/>
      <w:r>
        <w:t xml:space="preserve">, 2(3), 841-860. Contribución: Extensión del algoritmo </w:t>
      </w:r>
      <w:proofErr w:type="spellStart"/>
      <w:r>
        <w:t>Random</w:t>
      </w:r>
      <w:proofErr w:type="spellEnd"/>
      <w:r>
        <w:t xml:space="preserve"> Forest al contexto de supervivencia, con manejo nativo de datos censados y alta dimensionalidad.</w:t>
      </w:r>
    </w:p>
    <w:p w14:paraId="525C61B4" w14:textId="77777777" w:rsidR="00CD2C6D" w:rsidRDefault="00887AE1">
      <w:pPr>
        <w:pStyle w:val="Prrafodelista"/>
        <w:numPr>
          <w:ilvl w:val="0"/>
          <w:numId w:val="2"/>
        </w:numPr>
        <w:spacing w:after="80"/>
      </w:pPr>
      <w:proofErr w:type="spellStart"/>
      <w:r>
        <w:t>Katzman</w:t>
      </w:r>
      <w:proofErr w:type="spellEnd"/>
      <w:r>
        <w:t xml:space="preserve">, J. L., </w:t>
      </w:r>
      <w:proofErr w:type="spellStart"/>
      <w:r>
        <w:t>Shaham</w:t>
      </w:r>
      <w:proofErr w:type="spellEnd"/>
      <w:r>
        <w:t xml:space="preserve">, U., </w:t>
      </w:r>
      <w:proofErr w:type="spellStart"/>
      <w:r>
        <w:t>Cloninger</w:t>
      </w:r>
      <w:proofErr w:type="spellEnd"/>
      <w:r>
        <w:t xml:space="preserve">, A., Bates, J., </w:t>
      </w:r>
      <w:proofErr w:type="spellStart"/>
      <w:r>
        <w:t>Jiang</w:t>
      </w:r>
      <w:proofErr w:type="spellEnd"/>
      <w:r>
        <w:t xml:space="preserve">, T. y </w:t>
      </w:r>
      <w:proofErr w:type="spellStart"/>
      <w:r>
        <w:t>Kluger</w:t>
      </w:r>
      <w:proofErr w:type="spellEnd"/>
      <w:r>
        <w:t>, Y. (2018). «</w:t>
      </w:r>
      <w:proofErr w:type="spellStart"/>
      <w:r>
        <w:t>DeepSurv</w:t>
      </w:r>
      <w:proofErr w:type="spellEnd"/>
      <w:r>
        <w:t xml:space="preserve">: </w:t>
      </w:r>
      <w:proofErr w:type="spellStart"/>
      <w:r>
        <w:t>personalized</w:t>
      </w:r>
      <w:proofErr w:type="spellEnd"/>
      <w:r>
        <w:t xml:space="preserve"> </w:t>
      </w:r>
      <w:proofErr w:type="spellStart"/>
      <w:r>
        <w:t>treatment</w:t>
      </w:r>
      <w:proofErr w:type="spellEnd"/>
      <w:r>
        <w:t xml:space="preserve"> </w:t>
      </w:r>
      <w:proofErr w:type="spellStart"/>
      <w:r>
        <w:t>recommender</w:t>
      </w:r>
      <w:proofErr w:type="spellEnd"/>
      <w:r>
        <w:t xml:space="preserve"> </w:t>
      </w:r>
      <w:proofErr w:type="spellStart"/>
      <w:r>
        <w:t>system</w:t>
      </w:r>
      <w:proofErr w:type="spellEnd"/>
      <w:r>
        <w:t xml:space="preserve"> </w:t>
      </w:r>
      <w:proofErr w:type="spellStart"/>
      <w:r>
        <w:t>using</w:t>
      </w:r>
      <w:proofErr w:type="spellEnd"/>
      <w:r>
        <w:t xml:space="preserve"> a Cox </w:t>
      </w:r>
      <w:proofErr w:type="spellStart"/>
      <w:r>
        <w:t>proportional</w:t>
      </w:r>
      <w:proofErr w:type="spellEnd"/>
      <w:r>
        <w:t xml:space="preserve"> </w:t>
      </w:r>
      <w:proofErr w:type="spellStart"/>
      <w:r>
        <w:t>hazards</w:t>
      </w:r>
      <w:proofErr w:type="spellEnd"/>
      <w:r>
        <w:t xml:space="preserve"> </w:t>
      </w:r>
      <w:proofErr w:type="spellStart"/>
      <w:r>
        <w:t>deep</w:t>
      </w:r>
      <w:proofErr w:type="spellEnd"/>
      <w:r>
        <w:t xml:space="preserve"> neural </w:t>
      </w:r>
      <w:proofErr w:type="spellStart"/>
      <w:r>
        <w:t>network</w:t>
      </w:r>
      <w:proofErr w:type="spellEnd"/>
      <w:r>
        <w:t xml:space="preserve">». BMC Medical </w:t>
      </w:r>
      <w:proofErr w:type="spellStart"/>
      <w:r>
        <w:t>Research</w:t>
      </w:r>
      <w:proofErr w:type="spellEnd"/>
      <w:r>
        <w:t xml:space="preserve"> </w:t>
      </w:r>
      <w:proofErr w:type="spellStart"/>
      <w:r>
        <w:t>Methodology</w:t>
      </w:r>
      <w:proofErr w:type="spellEnd"/>
      <w:r>
        <w:t>, 18(1), 24. Contribución: Propuesta de red neuronal profunda basada en la función de pérdida de Cox para la predicción personalizada de supervivencia.</w:t>
      </w:r>
    </w:p>
    <w:p w14:paraId="3D1D0EA8" w14:textId="77777777" w:rsidR="00CD2C6D" w:rsidRDefault="00887AE1">
      <w:pPr>
        <w:pStyle w:val="Prrafodelista"/>
        <w:numPr>
          <w:ilvl w:val="0"/>
          <w:numId w:val="2"/>
        </w:numPr>
        <w:spacing w:after="80"/>
      </w:pPr>
      <w:r>
        <w:t xml:space="preserve">Curtis, C., </w:t>
      </w:r>
      <w:proofErr w:type="spellStart"/>
      <w:r>
        <w:t>Shah</w:t>
      </w:r>
      <w:proofErr w:type="spellEnd"/>
      <w:r>
        <w:t>, S. P., Chin, S. F., et al. (2012). «</w:t>
      </w:r>
      <w:proofErr w:type="spellStart"/>
      <w:r>
        <w:t>The</w:t>
      </w:r>
      <w:proofErr w:type="spellEnd"/>
      <w:r>
        <w:t xml:space="preserve"> </w:t>
      </w:r>
      <w:proofErr w:type="spellStart"/>
      <w:r>
        <w:t>genomic</w:t>
      </w:r>
      <w:proofErr w:type="spellEnd"/>
      <w:r>
        <w:t xml:space="preserve"> and </w:t>
      </w:r>
      <w:proofErr w:type="spellStart"/>
      <w:r>
        <w:t>transcriptomic</w:t>
      </w:r>
      <w:proofErr w:type="spellEnd"/>
      <w:r>
        <w:t xml:space="preserve"> </w:t>
      </w:r>
      <w:proofErr w:type="spellStart"/>
      <w:r>
        <w:t>architecture</w:t>
      </w:r>
      <w:proofErr w:type="spellEnd"/>
      <w:r>
        <w:t xml:space="preserve"> </w:t>
      </w:r>
      <w:proofErr w:type="spellStart"/>
      <w:r>
        <w:t>of</w:t>
      </w:r>
      <w:proofErr w:type="spellEnd"/>
      <w:r>
        <w:t xml:space="preserve"> 2,000 </w:t>
      </w:r>
      <w:proofErr w:type="spellStart"/>
      <w:r>
        <w:t>breast</w:t>
      </w:r>
      <w:proofErr w:type="spellEnd"/>
      <w:r>
        <w:t xml:space="preserve"> </w:t>
      </w:r>
      <w:proofErr w:type="spellStart"/>
      <w:r>
        <w:t>tumours</w:t>
      </w:r>
      <w:proofErr w:type="spellEnd"/>
      <w:r>
        <w:t xml:space="preserve"> </w:t>
      </w:r>
      <w:proofErr w:type="spellStart"/>
      <w:r>
        <w:t>reveals</w:t>
      </w:r>
      <w:proofErr w:type="spellEnd"/>
      <w:r>
        <w:t xml:space="preserve"> novel </w:t>
      </w:r>
      <w:proofErr w:type="spellStart"/>
      <w:r>
        <w:t>subgroups</w:t>
      </w:r>
      <w:proofErr w:type="spellEnd"/>
      <w:r>
        <w:t xml:space="preserve">». </w:t>
      </w:r>
      <w:proofErr w:type="spellStart"/>
      <w:r>
        <w:t>Nature</w:t>
      </w:r>
      <w:proofErr w:type="spellEnd"/>
      <w:r>
        <w:t xml:space="preserve">, 486(7403), 346-352. Contribución: Descripción del </w:t>
      </w:r>
      <w:proofErr w:type="spellStart"/>
      <w:r>
        <w:t>dataset</w:t>
      </w:r>
      <w:proofErr w:type="spellEnd"/>
      <w:r>
        <w:t xml:space="preserve"> METABRIC y clasificación de subtipos moleculares de cáncer de mama con valor pronóstico diferencial.</w:t>
      </w:r>
    </w:p>
    <w:p w14:paraId="1EC81BD3" w14:textId="77777777" w:rsidR="00CD2C6D" w:rsidRDefault="00CD2C6D">
      <w:pPr>
        <w:spacing w:after="120"/>
      </w:pPr>
    </w:p>
    <w:p w14:paraId="7DE02A7E" w14:textId="77777777" w:rsidR="00CD2C6D" w:rsidRDefault="00887AE1">
      <w:r>
        <w:br w:type="page"/>
      </w:r>
    </w:p>
    <w:p w14:paraId="1BCB107F" w14:textId="77777777" w:rsidR="00CD2C6D" w:rsidRDefault="00887AE1">
      <w:pPr>
        <w:pStyle w:val="Ttulo2"/>
      </w:pPr>
      <w:r>
        <w:lastRenderedPageBreak/>
        <w:t>1.2 Objetivos del trabajo</w:t>
      </w:r>
    </w:p>
    <w:p w14:paraId="5844A131" w14:textId="77777777" w:rsidR="00CD2C6D" w:rsidRDefault="00887AE1">
      <w:pPr>
        <w:pStyle w:val="Ttulo3"/>
      </w:pPr>
      <w:r>
        <w:t>Objetivo general</w:t>
      </w:r>
    </w:p>
    <w:p w14:paraId="5BE8B276" w14:textId="77777777" w:rsidR="00CD2C6D" w:rsidRDefault="00887AE1">
      <w:pPr>
        <w:spacing w:after="160"/>
        <w:jc w:val="both"/>
      </w:pPr>
      <w:r>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w:t>
      </w:r>
    </w:p>
    <w:p w14:paraId="091334A8" w14:textId="77777777" w:rsidR="00CD2C6D" w:rsidRDefault="00CD2C6D">
      <w:pPr>
        <w:spacing w:after="120"/>
      </w:pPr>
    </w:p>
    <w:p w14:paraId="40D7D810" w14:textId="77777777" w:rsidR="00CD2C6D" w:rsidRDefault="00887AE1">
      <w:pPr>
        <w:pStyle w:val="Ttulo3"/>
      </w:pPr>
      <w:r>
        <w:t>Objetivos específicos</w:t>
      </w:r>
    </w:p>
    <w:p w14:paraId="3388BF25" w14:textId="77777777" w:rsidR="00CD2C6D" w:rsidRDefault="00887AE1">
      <w:pPr>
        <w:pStyle w:val="Prrafodelista"/>
        <w:numPr>
          <w:ilvl w:val="0"/>
          <w:numId w:val="3"/>
        </w:numPr>
        <w:spacing w:after="80"/>
      </w:pPr>
      <w:r>
        <w:t>Realizar una revisión sistemática del estado del arte en análisis de supervivencia oncológica con datos genómicos, identificando los modelos más utilizados, sus fundamentos teóricos y sus limitaciones metodológicas documentadas.</w:t>
      </w:r>
    </w:p>
    <w:p w14:paraId="2019C669" w14:textId="77777777" w:rsidR="00CD2C6D" w:rsidRDefault="00887AE1">
      <w:pPr>
        <w:pStyle w:val="Prrafodelista"/>
        <w:numPr>
          <w:ilvl w:val="0"/>
          <w:numId w:val="3"/>
        </w:numPr>
        <w:spacing w:after="80"/>
      </w:pPr>
      <w:r>
        <w:t>Adquirir, preprocesar e integrar los datos genómicos y clínicos procedentes de las cohortes TCGA-BRCA, TCGA-LUAD/LUSC y METABRIC, garantizando la calidad, coherencia y trazabilidad del proceso de preparación de datos.</w:t>
      </w:r>
    </w:p>
    <w:p w14:paraId="17DD6710" w14:textId="77777777" w:rsidR="00CD2C6D" w:rsidRDefault="00887AE1">
      <w:pPr>
        <w:pStyle w:val="Prrafodelista"/>
        <w:numPr>
          <w:ilvl w:val="0"/>
          <w:numId w:val="3"/>
        </w:numPr>
        <w:spacing w:after="80"/>
      </w:pPr>
      <w:r>
        <w:t xml:space="preserve">Implementar y entrenar al menos cuatro modelos de análisis de supervivencia —Kaplan-Meier, regresión de Cox,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xml:space="preserve">— sobre los datos de entrenamiento, documentando los </w:t>
      </w:r>
      <w:proofErr w:type="spellStart"/>
      <w:r>
        <w:t>hiperparámetros</w:t>
      </w:r>
      <w:proofErr w:type="spellEnd"/>
      <w:r>
        <w:t xml:space="preserve"> y decisiones de diseño adoptadas.</w:t>
      </w:r>
    </w:p>
    <w:p w14:paraId="23C79E24" w14:textId="77777777" w:rsidR="00CD2C6D" w:rsidRDefault="00887AE1">
      <w:pPr>
        <w:pStyle w:val="Prrafodelista"/>
        <w:numPr>
          <w:ilvl w:val="0"/>
          <w:numId w:val="3"/>
        </w:numPr>
        <w:spacing w:after="80"/>
      </w:pPr>
      <w:r>
        <w:t>Evaluar y comparar el rendimiento de los modelos implementados mediante métricas estándar de supervivencia (C-</w:t>
      </w:r>
      <w:proofErr w:type="spellStart"/>
      <w:r>
        <w:t>index</w:t>
      </w:r>
      <w:proofErr w:type="spellEnd"/>
      <w:r>
        <w:t xml:space="preserve">, </w:t>
      </w:r>
      <w:proofErr w:type="spellStart"/>
      <w:r>
        <w:t>Brier</w:t>
      </w:r>
      <w:proofErr w:type="spellEnd"/>
      <w:r>
        <w:t xml:space="preserve"> Score y log-</w:t>
      </w:r>
      <w:proofErr w:type="spellStart"/>
      <w:r>
        <w:t>rank</w:t>
      </w:r>
      <w:proofErr w:type="spellEnd"/>
      <w:r>
        <w:t xml:space="preserve"> test), aplicando validación cruzada k-</w:t>
      </w:r>
      <w:proofErr w:type="spellStart"/>
      <w:r>
        <w:t>fold</w:t>
      </w:r>
      <w:proofErr w:type="spellEnd"/>
      <w:r>
        <w:t xml:space="preserve"> para estimar la varianza del rendimiento y detectar posibles sobreajustes.</w:t>
      </w:r>
    </w:p>
    <w:p w14:paraId="3C0A8FF0" w14:textId="77777777" w:rsidR="00CD2C6D" w:rsidRDefault="00887AE1">
      <w:pPr>
        <w:pStyle w:val="Prrafodelista"/>
        <w:numPr>
          <w:ilvl w:val="0"/>
          <w:numId w:val="3"/>
        </w:numPr>
        <w:spacing w:after="80"/>
      </w:pPr>
      <w:r>
        <w:t>Identificar y analizar los factores genómicos con mayor relevancia predictiva en cada modelo y tipo de cáncer, utilizando técnicas de interpretabilidad como importancia de variables (</w:t>
      </w:r>
      <w:proofErr w:type="spellStart"/>
      <w:r>
        <w:t>Random</w:t>
      </w:r>
      <w:proofErr w:type="spellEnd"/>
      <w:r>
        <w:t xml:space="preserve"> Forest) o coeficientes de Cox, y contrastar los resultados con la literatura científica disponible.</w:t>
      </w:r>
    </w:p>
    <w:p w14:paraId="7C40C140" w14:textId="77777777" w:rsidR="00CD2C6D" w:rsidRDefault="00887AE1">
      <w:pPr>
        <w:pStyle w:val="Prrafodelista"/>
        <w:numPr>
          <w:ilvl w:val="0"/>
          <w:numId w:val="3"/>
        </w:numPr>
        <w:spacing w:after="80"/>
      </w:pPr>
      <w:r>
        <w:t>Realizar un análisis comparativo entre los resultados obtenidos en TCGA y METABRIC, evaluando la transferibilidad y robustez de los modelos entrenados en una cohorte y validados en otra.</w:t>
      </w:r>
    </w:p>
    <w:p w14:paraId="5B42B700" w14:textId="77777777" w:rsidR="00CD2C6D" w:rsidRDefault="00887AE1">
      <w:pPr>
        <w:pStyle w:val="Prrafodelista"/>
        <w:numPr>
          <w:ilvl w:val="0"/>
          <w:numId w:val="3"/>
        </w:numPr>
        <w:spacing w:after="80"/>
      </w:pPr>
      <w:r>
        <w:t>Producir un repositorio de código reproducible, documentado y público (GitHub), con todos los scripts, pipelines de preprocesamiento, notebooks de análisis y visualizaciones generados durante el TFM.</w:t>
      </w:r>
    </w:p>
    <w:p w14:paraId="2973537E" w14:textId="77777777" w:rsidR="00CD2C6D" w:rsidRDefault="00887AE1">
      <w:pPr>
        <w:pStyle w:val="Prrafodelista"/>
        <w:numPr>
          <w:ilvl w:val="0"/>
          <w:numId w:val="3"/>
        </w:numPr>
        <w:spacing w:after="80"/>
      </w:pPr>
      <w:r>
        <w:t>Reflexionar críticamente sobre las limitaciones del trabajo, el impacto ético del uso de datos genéticos y las líneas de investigación futura que pueden derivarse de los hallazgos obtenidos.</w:t>
      </w:r>
    </w:p>
    <w:p w14:paraId="4856D01B" w14:textId="77777777" w:rsidR="00CD2C6D" w:rsidRDefault="00CD2C6D">
      <w:pPr>
        <w:spacing w:after="120"/>
      </w:pPr>
    </w:p>
    <w:p w14:paraId="457A72A7" w14:textId="77777777" w:rsidR="00CD2C6D" w:rsidRDefault="00887AE1">
      <w:r>
        <w:br w:type="page"/>
      </w:r>
    </w:p>
    <w:p w14:paraId="058D3827" w14:textId="77777777" w:rsidR="00CD2C6D" w:rsidRDefault="00887AE1">
      <w:pPr>
        <w:pStyle w:val="Ttulo2"/>
      </w:pPr>
      <w:r>
        <w:lastRenderedPageBreak/>
        <w:t>1.3 Impacto en sostenibilidad, ético-social y diversidad</w:t>
      </w:r>
    </w:p>
    <w:p w14:paraId="15AFEE96" w14:textId="77777777" w:rsidR="00CD2C6D" w:rsidRDefault="00887AE1">
      <w:pPr>
        <w:pStyle w:val="Ttulo3"/>
      </w:pPr>
      <w:r>
        <w:t>1.3.1 Impacto ético del uso de datos genéticos</w:t>
      </w:r>
    </w:p>
    <w:p w14:paraId="1960AFBC" w14:textId="77777777" w:rsidR="00CD2C6D" w:rsidRDefault="00887AE1">
      <w:pPr>
        <w:spacing w:after="160"/>
        <w:jc w:val="both"/>
      </w:pPr>
      <w:r>
        <w:t>El uso de datos genómicos en investigación biomédica plantea desafíos éticos de especial envergadura. A diferencia de los datos clínicos convencionales, los datos genéticos son inherentemente únicos y en principio irrevocablemente vinculados al individuo. Su análisis puede revelar información sensible no solo sobre el sujeto directamente estudiado, sino también sobre sus familiares biológicos, lo que amplía el perímetro de privacidad afectado más allá del paciente individual. En el contexto de un TFM basado exclusivamente en datasets públicos y previamente anonimizados, estos riesgos se minimizan, pero no desaparecen por completo.</w:t>
      </w:r>
    </w:p>
    <w:p w14:paraId="2D427E77" w14:textId="77777777" w:rsidR="00CD2C6D" w:rsidRDefault="00CD2C6D">
      <w:pPr>
        <w:spacing w:after="120"/>
      </w:pPr>
    </w:p>
    <w:p w14:paraId="6AFA536D" w14:textId="77777777" w:rsidR="00CD2C6D" w:rsidRDefault="00887AE1">
      <w:pPr>
        <w:spacing w:after="160"/>
        <w:jc w:val="both"/>
      </w:pPr>
      <w:r>
        <w:t xml:space="preserve">En particular, es relevante considerar el riesgo de reidentificación: la combinación de datos genómicos con variables fenotípicas o clínicas puede, en ciertos contextos, permitir identificar a individuos específicos incluso cuando los identificadores directos han sido eliminados. Estudios como el de </w:t>
      </w:r>
      <w:proofErr w:type="spellStart"/>
      <w:r>
        <w:t>Gymrek</w:t>
      </w:r>
      <w:proofErr w:type="spellEnd"/>
      <w:r>
        <w:t xml:space="preserve"> et al. (2013) han demostrado que la reidentificación de sujetos a partir de datos genómicos supuestamente anónimos es técnicamente posible, lo que subraya la necesidad de adoptar medidas adicionales de protección más allá de la simple eliminación de campos identificadores.</w:t>
      </w:r>
    </w:p>
    <w:p w14:paraId="205F5F48" w14:textId="77777777" w:rsidR="00CD2C6D" w:rsidRDefault="00CD2C6D">
      <w:pPr>
        <w:spacing w:after="120"/>
      </w:pPr>
    </w:p>
    <w:p w14:paraId="05D7092D" w14:textId="77777777" w:rsidR="00CD2C6D" w:rsidRDefault="00887AE1">
      <w:pPr>
        <w:pStyle w:val="Ttulo3"/>
      </w:pPr>
      <w:r>
        <w:t>1.3.2 Protección de datos y privacidad</w:t>
      </w:r>
    </w:p>
    <w:p w14:paraId="2587C9C8" w14:textId="77777777" w:rsidR="00CD2C6D" w:rsidRDefault="00887AE1">
      <w:pPr>
        <w:spacing w:after="160"/>
        <w:jc w:val="both"/>
      </w:pPr>
      <w:r>
        <w:t>El presente trabajo se realizará íntegramente sobre datos de acceso público o de acceso controlado previamente concedido por las instituciones custodias (en el caso de datos de acceso controlado en GDC). En ningún caso se recopilarán, procesarán ni almacenarán datos de pacientes de forma directa. No obstante, se seguirán estrictamente los principios del Reglamento General de Protección de Datos (RGPD, Reglamento UE 2016/679) y las directrices de la Ley Orgánica 3/2018 de Protección de Datos Personales y Garantía de los Derechos Digitales (LOPDGDD).</w:t>
      </w:r>
    </w:p>
    <w:p w14:paraId="6554CD9A" w14:textId="77777777" w:rsidR="00CD2C6D" w:rsidRDefault="00CD2C6D">
      <w:pPr>
        <w:spacing w:after="120"/>
      </w:pPr>
    </w:p>
    <w:p w14:paraId="016085E2" w14:textId="77777777" w:rsidR="00CD2C6D" w:rsidRDefault="00887AE1">
      <w:pPr>
        <w:pStyle w:val="Ttulo3"/>
      </w:pPr>
      <w:r>
        <w:t>1.3.3 Sesgos en datasets biomédicos y equidad sanitaria</w:t>
      </w:r>
    </w:p>
    <w:p w14:paraId="6EFCE905" w14:textId="77777777" w:rsidR="00CD2C6D" w:rsidRDefault="00887AE1">
      <w:pPr>
        <w:spacing w:after="160"/>
        <w:jc w:val="both"/>
      </w:pPr>
      <w:r>
        <w:t>Una limitación estructural relevante en los grandes repositorios genómicos públicos es la sobrerrepresentación de poblaciones de ancestría europea en detrimento de otras etnias. Los conjuntos de datos TCGA y METABRIC, aunque de gran valor científico, presentan esta característica. Esta falta de diversidad poblacional puede introducir sesgos en los modelos entrenados, cuya capacidad predictiva puede no generalizarse adecuadamente a pacientes de otras ancestrías. Este sesgo tiene implicaciones directas en la equidad sanitaria: si los modelos de predicción pronóstica son menos fiables para ciertas poblaciones, su adopción clínica puede acentuar las desigualdades en el acceso a un diagnóstico y tratamiento precisos.</w:t>
      </w:r>
    </w:p>
    <w:p w14:paraId="77844E50" w14:textId="77777777" w:rsidR="00CD2C6D" w:rsidRDefault="00CD2C6D">
      <w:pPr>
        <w:spacing w:after="120"/>
      </w:pPr>
    </w:p>
    <w:p w14:paraId="29BD5537" w14:textId="77777777" w:rsidR="00CD2C6D" w:rsidRDefault="00887AE1">
      <w:pPr>
        <w:spacing w:after="160"/>
        <w:jc w:val="both"/>
      </w:pPr>
      <w:r>
        <w:t xml:space="preserve">En el marco de este TFM se abordará esta limitación de forma explícita, documentando la composición étnica de los datasets utilizados y discutiendo el alcance de los resultados en función de esta característica. Se recomienda que trabajos futuros incorporen cohortes con mayor diversidad poblacional, como las disponibles en el </w:t>
      </w:r>
      <w:proofErr w:type="spellStart"/>
      <w:r>
        <w:t>African</w:t>
      </w:r>
      <w:proofErr w:type="spellEnd"/>
      <w:r>
        <w:t xml:space="preserve"> </w:t>
      </w:r>
      <w:proofErr w:type="spellStart"/>
      <w:r>
        <w:t>Cancer</w:t>
      </w:r>
      <w:proofErr w:type="spellEnd"/>
      <w:r>
        <w:t xml:space="preserve"> </w:t>
      </w:r>
      <w:proofErr w:type="spellStart"/>
      <w:r>
        <w:t>Registry</w:t>
      </w:r>
      <w:proofErr w:type="spellEnd"/>
      <w:r>
        <w:t xml:space="preserve"> Network (AFCRN) o en iniciativas más recientes del NCI orientadas a la diversidad en investigación genómica oncológica.</w:t>
      </w:r>
    </w:p>
    <w:p w14:paraId="5F7AE616" w14:textId="77777777" w:rsidR="00CD2C6D" w:rsidRDefault="00CD2C6D">
      <w:pPr>
        <w:spacing w:after="120"/>
      </w:pPr>
    </w:p>
    <w:p w14:paraId="08D9C24C" w14:textId="77777777" w:rsidR="00CD2C6D" w:rsidRDefault="00887AE1">
      <w:pPr>
        <w:pStyle w:val="Ttulo3"/>
      </w:pPr>
      <w:r>
        <w:lastRenderedPageBreak/>
        <w:t>1.3.4 Relevancia social del trabajo</w:t>
      </w:r>
    </w:p>
    <w:p w14:paraId="24FF8B18" w14:textId="77777777" w:rsidR="00CD2C6D" w:rsidRDefault="00887AE1">
      <w:pPr>
        <w:spacing w:after="160"/>
        <w:jc w:val="both"/>
      </w:pPr>
      <w:r>
        <w:t>El desarrollo de herramientas de predicción de supervivencia oncológica con base genómica tiene un impacto social potencialmente elevado. En el corto plazo, puede contribuir a una mejor estratificación del riesgo en el momento del diagnóstico, facilitando la personalización de los tratamientos y la priorización de recursos en sistemas de salud con capacidad limitada. En el medio y largo plazo, el avance en este campo puede contribuir a reducir la mortalidad por cáncer mediante una detección más temprana de perfiles de alto riesgo y una selección más precisa de las intervenciones terapéuticas.</w:t>
      </w:r>
    </w:p>
    <w:p w14:paraId="7A87D502" w14:textId="77777777" w:rsidR="00CD2C6D" w:rsidRDefault="00CD2C6D">
      <w:pPr>
        <w:spacing w:after="120"/>
      </w:pPr>
    </w:p>
    <w:p w14:paraId="48039DE5" w14:textId="77777777" w:rsidR="00CD2C6D" w:rsidRDefault="00887AE1">
      <w:pPr>
        <w:spacing w:after="160"/>
        <w:jc w:val="both"/>
      </w:pPr>
      <w:r>
        <w:t>Desde el punto de vista de la sostenibilidad, el trabajo tiene un impacto ambiental limitado al uso de recursos computacionales en la nube o en infraestructura universitaria. No obstante, se contempla la optimización del consumo computacional mediante el uso eficiente de algoritmos y la reutilización de representaciones intermedias de datos (</w:t>
      </w:r>
      <w:proofErr w:type="spellStart"/>
      <w:r>
        <w:t>embeddings</w:t>
      </w:r>
      <w:proofErr w:type="spellEnd"/>
      <w:r>
        <w:t>, preprocesados cacheados).</w:t>
      </w:r>
    </w:p>
    <w:p w14:paraId="4DCD30E2" w14:textId="77777777" w:rsidR="00CD2C6D" w:rsidRDefault="00CD2C6D">
      <w:pPr>
        <w:spacing w:after="120"/>
      </w:pPr>
    </w:p>
    <w:p w14:paraId="53D92E02" w14:textId="77777777" w:rsidR="00CD2C6D" w:rsidRDefault="00887AE1">
      <w:pPr>
        <w:pStyle w:val="Ttulo3"/>
      </w:pPr>
      <w:r>
        <w:t>1.3.5 Protocolo ético y protección de datos</w:t>
      </w:r>
    </w:p>
    <w:p w14:paraId="4DC6EFBF" w14:textId="77777777" w:rsidR="00CD2C6D" w:rsidRDefault="00887AE1">
      <w:pPr>
        <w:spacing w:after="160"/>
        <w:jc w:val="both"/>
      </w:pPr>
      <w:r>
        <w:t>El protocolo ético del presente TFM se basa en los siguientes principios y medidas concretas:</w:t>
      </w:r>
    </w:p>
    <w:p w14:paraId="63E8573D" w14:textId="77777777" w:rsidR="00CD2C6D" w:rsidRDefault="00CD2C6D">
      <w:pPr>
        <w:spacing w:after="120"/>
      </w:pPr>
    </w:p>
    <w:p w14:paraId="6367ABBB" w14:textId="77777777" w:rsidR="00CD2C6D" w:rsidRDefault="00887AE1">
      <w:pPr>
        <w:pStyle w:val="Prrafodelista"/>
        <w:numPr>
          <w:ilvl w:val="0"/>
          <w:numId w:val="2"/>
        </w:numPr>
        <w:spacing w:after="80"/>
      </w:pPr>
      <w:r>
        <w:t>RGPD y normativa aplicable: El trabajo se enmarca en el uso secundario de datos de investigación previamente anonimizados y recopilados con el consentimiento informado de los participantes en sus estudios de origen. El tratamiento de estos datos respeta los principios de minimización, finalidad y limitación del almacenamiento establecidos por el RGPD.</w:t>
      </w:r>
    </w:p>
    <w:p w14:paraId="1B340658" w14:textId="77777777" w:rsidR="00CD2C6D" w:rsidRDefault="00887AE1">
      <w:pPr>
        <w:pStyle w:val="Prrafodelista"/>
        <w:numPr>
          <w:ilvl w:val="0"/>
          <w:numId w:val="2"/>
        </w:numPr>
        <w:spacing w:after="80"/>
      </w:pPr>
      <w:proofErr w:type="spellStart"/>
      <w:r>
        <w:t>Anonimización</w:t>
      </w:r>
      <w:proofErr w:type="spellEnd"/>
      <w:r>
        <w:t xml:space="preserve">: Los </w:t>
      </w:r>
      <w:proofErr w:type="spellStart"/>
      <w:r>
        <w:t>datasets</w:t>
      </w:r>
      <w:proofErr w:type="spellEnd"/>
      <w:r>
        <w:t xml:space="preserve"> TCGA y METABRIC utilizan identificadores </w:t>
      </w:r>
      <w:proofErr w:type="spellStart"/>
      <w:r>
        <w:t>seudoanónimos</w:t>
      </w:r>
      <w:proofErr w:type="spellEnd"/>
      <w:r>
        <w:t xml:space="preserve"> (códigos alfanuméricos) en lugar de nombres, fechas de nacimiento exactas u otros datos directamente identificativos. El TFM no realizará ningún intento de reidentificación de sujetos y los identificadores internos de los datasets no serán publicados ni compartidos fuera del entorno de investigación.</w:t>
      </w:r>
    </w:p>
    <w:p w14:paraId="35E4168A" w14:textId="77777777" w:rsidR="00CD2C6D" w:rsidRDefault="00887AE1">
      <w:pPr>
        <w:pStyle w:val="Prrafodelista"/>
        <w:numPr>
          <w:ilvl w:val="0"/>
          <w:numId w:val="2"/>
        </w:numPr>
        <w:spacing w:after="80"/>
      </w:pPr>
      <w:r>
        <w:t xml:space="preserve">Uso de datasets públicos: TCGA es accesible de forma abierta para datos no controlados a través del GDC Data Portal, y de forma controlada (previo acuerdo de acceso) para ciertos tipos de datos. METABRIC está disponible a través de </w:t>
      </w:r>
      <w:proofErr w:type="spellStart"/>
      <w:r>
        <w:t>cBioPortal</w:t>
      </w:r>
      <w:proofErr w:type="spellEnd"/>
      <w:r>
        <w:t xml:space="preserve"> para uso no comercial. En ambos casos, el acceso a los datos se realizará cumpliendo estrictamente los términos y condiciones de uso establecidos por las instituciones custodias.</w:t>
      </w:r>
    </w:p>
    <w:p w14:paraId="0A418B4C" w14:textId="77777777" w:rsidR="00CD2C6D" w:rsidRDefault="00887AE1">
      <w:pPr>
        <w:pStyle w:val="Prrafodelista"/>
        <w:numPr>
          <w:ilvl w:val="0"/>
          <w:numId w:val="2"/>
        </w:numPr>
        <w:spacing w:after="80"/>
      </w:pPr>
      <w:r>
        <w:t>Buenas prácticas en ciencia de datos biomédica: Se seguirán las directrices FAIR (</w:t>
      </w:r>
      <w:proofErr w:type="spellStart"/>
      <w:r>
        <w:t>Findable</w:t>
      </w:r>
      <w:proofErr w:type="spellEnd"/>
      <w:r>
        <w:t xml:space="preserve">, </w:t>
      </w:r>
      <w:proofErr w:type="spellStart"/>
      <w:r>
        <w:t>Accessible</w:t>
      </w:r>
      <w:proofErr w:type="spellEnd"/>
      <w:r>
        <w:t>, Interoperable, Reusable) para la gestión de datos y código. El repositorio de código será público, pero no incluirá datos de pacientes. Se utilizará control de versiones (Git) y se documentarán exhaustivamente todas las decisiones de preprocesamiento y modelado.</w:t>
      </w:r>
    </w:p>
    <w:p w14:paraId="0F8989F3" w14:textId="77777777" w:rsidR="00CD2C6D" w:rsidRDefault="00CD2C6D">
      <w:pPr>
        <w:spacing w:after="120"/>
      </w:pPr>
    </w:p>
    <w:p w14:paraId="2A7DF09E" w14:textId="77777777" w:rsidR="00CD2C6D" w:rsidRDefault="00887AE1">
      <w:r>
        <w:br w:type="page"/>
      </w:r>
    </w:p>
    <w:p w14:paraId="3C849FDC" w14:textId="77777777" w:rsidR="00CD2C6D" w:rsidRDefault="00887AE1">
      <w:pPr>
        <w:pStyle w:val="Ttulo2"/>
      </w:pPr>
      <w:r>
        <w:lastRenderedPageBreak/>
        <w:t>1.4 Enfoque y método seguido</w:t>
      </w:r>
    </w:p>
    <w:p w14:paraId="46F5992E" w14:textId="77777777" w:rsidR="00CD2C6D" w:rsidRDefault="00887AE1">
      <w:pPr>
        <w:pStyle w:val="Ttulo3"/>
      </w:pPr>
      <w:r>
        <w:t>1.4.1 Tipo de estudio</w:t>
      </w:r>
    </w:p>
    <w:p w14:paraId="570266E1" w14:textId="77777777" w:rsidR="00CD2C6D" w:rsidRDefault="00887AE1">
      <w:pPr>
        <w:spacing w:after="160"/>
        <w:jc w:val="both"/>
      </w:pPr>
      <w:r>
        <w:t>El presente trabajo corresponde a un estudio observacional retrospectivo basado en análisis secundario de datos. No se realizará ninguna intervención sobre sujetos ni se recopilarán nuevos datos. El diseño analítico es de cohorte histórica: se parte de conjuntos de datos de pacientes oncológicos con seguimiento conocido, y se modela el tiempo hasta el evento (muerte, recurrencia) en función de los perfiles genómicos y variables clínicas disponibles.</w:t>
      </w:r>
    </w:p>
    <w:p w14:paraId="1231B888" w14:textId="77777777" w:rsidR="00CD2C6D" w:rsidRDefault="00CD2C6D">
      <w:pPr>
        <w:spacing w:after="120"/>
      </w:pPr>
    </w:p>
    <w:p w14:paraId="1880F760" w14:textId="77777777" w:rsidR="00CD2C6D" w:rsidRDefault="00887AE1">
      <w:pPr>
        <w:pStyle w:val="Ttulo3"/>
      </w:pPr>
      <w:r>
        <w:t>1.4.2 Pipeline metodológico</w:t>
      </w:r>
    </w:p>
    <w:p w14:paraId="269ED9AB" w14:textId="77777777" w:rsidR="00CD2C6D" w:rsidRDefault="00887AE1">
      <w:pPr>
        <w:spacing w:after="160"/>
        <w:jc w:val="both"/>
      </w:pPr>
      <w:r>
        <w:t>El flujo de trabajo se estructura en las siguientes etapas secuenciales:</w:t>
      </w:r>
    </w:p>
    <w:p w14:paraId="37114D03" w14:textId="77777777" w:rsidR="00CD2C6D" w:rsidRDefault="00CD2C6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
        <w:gridCol w:w="2183"/>
        <w:gridCol w:w="3729"/>
        <w:gridCol w:w="2457"/>
      </w:tblGrid>
      <w:tr w:rsidR="00CD2C6D" w14:paraId="552FEB2E" w14:textId="77777777">
        <w:tc>
          <w:tcPr>
            <w:tcW w:w="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DC44867" w14:textId="77777777" w:rsidR="00CD2C6D" w:rsidRDefault="00887AE1">
            <w:pPr>
              <w:jc w:val="center"/>
            </w:pPr>
            <w:r>
              <w:rPr>
                <w:b/>
                <w:bCs/>
                <w:color w:val="FFFFFF"/>
                <w:sz w:val="20"/>
                <w:szCs w:val="20"/>
              </w:rPr>
              <w:t>Fase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E1A68DD" w14:textId="77777777" w:rsidR="00CD2C6D" w:rsidRDefault="00887AE1">
            <w:pPr>
              <w:jc w:val="center"/>
            </w:pPr>
            <w:r>
              <w:rPr>
                <w:b/>
                <w:bCs/>
                <w:color w:val="FFFFFF"/>
                <w:sz w:val="20"/>
                <w:szCs w:val="20"/>
              </w:rPr>
              <w:t>Etapa</w:t>
            </w:r>
          </w:p>
        </w:tc>
        <w:tc>
          <w:tcPr>
            <w:tcW w:w="38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635D122" w14:textId="77777777" w:rsidR="00CD2C6D" w:rsidRDefault="00887AE1">
            <w:pPr>
              <w:jc w:val="center"/>
            </w:pPr>
            <w:r>
              <w:rPr>
                <w:b/>
                <w:bCs/>
                <w:color w:val="FFFFFF"/>
                <w:sz w:val="20"/>
                <w:szCs w:val="20"/>
              </w:rPr>
              <w:t>Actividades principales</w:t>
            </w:r>
          </w:p>
        </w:tc>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9A4DFF1" w14:textId="77777777" w:rsidR="00CD2C6D" w:rsidRDefault="00887AE1">
            <w:pPr>
              <w:jc w:val="center"/>
            </w:pPr>
            <w:r>
              <w:rPr>
                <w:b/>
                <w:bCs/>
                <w:color w:val="FFFFFF"/>
                <w:sz w:val="20"/>
                <w:szCs w:val="20"/>
              </w:rPr>
              <w:t>Herramientas / Librerías</w:t>
            </w:r>
          </w:p>
        </w:tc>
      </w:tr>
      <w:tr w:rsidR="00CD2C6D" w14:paraId="218C0586" w14:textId="77777777">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A5E1A41" w14:textId="77777777" w:rsidR="00CD2C6D" w:rsidRDefault="00887AE1">
            <w:r>
              <w:rPr>
                <w:b/>
                <w:bCs/>
                <w:sz w:val="20"/>
                <w:szCs w:val="20"/>
              </w:rPr>
              <w:t>1</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7220195" w14:textId="77777777" w:rsidR="00CD2C6D" w:rsidRDefault="00887AE1">
            <w:r>
              <w:rPr>
                <w:sz w:val="20"/>
                <w:szCs w:val="20"/>
              </w:rPr>
              <w:t>Adquisición de datos</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EA3A664" w14:textId="77777777" w:rsidR="00CD2C6D" w:rsidRDefault="00887AE1">
            <w:r>
              <w:rPr>
                <w:sz w:val="20"/>
                <w:szCs w:val="20"/>
              </w:rPr>
              <w:t>Descarga de datasets TCGA y METABRIC; selección de variables relevantes (expresión génica, mutaciones, CNV, variables clínicas de supervivencia)</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7332E83" w14:textId="77777777" w:rsidR="00CD2C6D" w:rsidRDefault="00887AE1">
            <w:r>
              <w:rPr>
                <w:sz w:val="20"/>
                <w:szCs w:val="20"/>
              </w:rPr>
              <w:t xml:space="preserve">GDC Data Transfer Tool, </w:t>
            </w:r>
            <w:proofErr w:type="spellStart"/>
            <w:r>
              <w:rPr>
                <w:sz w:val="20"/>
                <w:szCs w:val="20"/>
              </w:rPr>
              <w:t>cBioPortal</w:t>
            </w:r>
            <w:proofErr w:type="spellEnd"/>
            <w:r>
              <w:rPr>
                <w:sz w:val="20"/>
                <w:szCs w:val="20"/>
              </w:rPr>
              <w:t xml:space="preserve"> API, </w:t>
            </w:r>
            <w:proofErr w:type="spellStart"/>
            <w:r>
              <w:rPr>
                <w:sz w:val="20"/>
                <w:szCs w:val="20"/>
              </w:rPr>
              <w:t>TCGAbiolinks</w:t>
            </w:r>
            <w:proofErr w:type="spellEnd"/>
            <w:r>
              <w:rPr>
                <w:sz w:val="20"/>
                <w:szCs w:val="20"/>
              </w:rPr>
              <w:t xml:space="preserve"> (R/Python)</w:t>
            </w:r>
          </w:p>
        </w:tc>
      </w:tr>
      <w:tr w:rsidR="00CD2C6D" w14:paraId="2D2158AB" w14:textId="77777777">
        <w:tc>
          <w:tcPr>
            <w:tcW w:w="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3BCA66C" w14:textId="77777777" w:rsidR="00CD2C6D" w:rsidRDefault="00887AE1">
            <w:r>
              <w:rPr>
                <w:b/>
                <w:bCs/>
                <w:sz w:val="20"/>
                <w:szCs w:val="20"/>
              </w:rPr>
              <w:t>2</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7492E50" w14:textId="77777777" w:rsidR="00CD2C6D" w:rsidRDefault="00887AE1">
            <w:r>
              <w:rPr>
                <w:sz w:val="20"/>
                <w:szCs w:val="20"/>
              </w:rPr>
              <w:t>Preprocesamiento y calidad</w:t>
            </w:r>
          </w:p>
        </w:tc>
        <w:tc>
          <w:tcPr>
            <w:tcW w:w="38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D828BED" w14:textId="77777777" w:rsidR="00CD2C6D" w:rsidRDefault="00887AE1">
            <w:r>
              <w:rPr>
                <w:sz w:val="20"/>
                <w:szCs w:val="20"/>
              </w:rPr>
              <w:t>Filtrado de genes de baja varianza, normalización (TPM/FPKM), imputación de valores ausentes, selección de características (PCA, LASSO, top-k varianza)</w:t>
            </w:r>
          </w:p>
        </w:tc>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43EED45" w14:textId="77777777" w:rsidR="00CD2C6D" w:rsidRDefault="00887AE1">
            <w:r>
              <w:rPr>
                <w:sz w:val="20"/>
                <w:szCs w:val="20"/>
              </w:rPr>
              <w:t xml:space="preserve">Python (pandas, </w:t>
            </w:r>
            <w:proofErr w:type="spellStart"/>
            <w:r>
              <w:rPr>
                <w:sz w:val="20"/>
                <w:szCs w:val="20"/>
              </w:rPr>
              <w:t>numpy</w:t>
            </w:r>
            <w:proofErr w:type="spellEnd"/>
            <w:r>
              <w:rPr>
                <w:sz w:val="20"/>
                <w:szCs w:val="20"/>
              </w:rPr>
              <w:t xml:space="preserve">, </w:t>
            </w:r>
            <w:proofErr w:type="spellStart"/>
            <w:r>
              <w:rPr>
                <w:sz w:val="20"/>
                <w:szCs w:val="20"/>
              </w:rPr>
              <w:t>scikit-learn</w:t>
            </w:r>
            <w:proofErr w:type="spellEnd"/>
            <w:r>
              <w:rPr>
                <w:sz w:val="20"/>
                <w:szCs w:val="20"/>
              </w:rPr>
              <w:t>), R (</w:t>
            </w:r>
            <w:proofErr w:type="spellStart"/>
            <w:r>
              <w:rPr>
                <w:sz w:val="20"/>
                <w:szCs w:val="20"/>
              </w:rPr>
              <w:t>limma</w:t>
            </w:r>
            <w:proofErr w:type="spellEnd"/>
            <w:r>
              <w:rPr>
                <w:sz w:val="20"/>
                <w:szCs w:val="20"/>
              </w:rPr>
              <w:t xml:space="preserve">, </w:t>
            </w:r>
            <w:proofErr w:type="spellStart"/>
            <w:r>
              <w:rPr>
                <w:sz w:val="20"/>
                <w:szCs w:val="20"/>
              </w:rPr>
              <w:t>edgeR</w:t>
            </w:r>
            <w:proofErr w:type="spellEnd"/>
            <w:r>
              <w:rPr>
                <w:sz w:val="20"/>
                <w:szCs w:val="20"/>
              </w:rPr>
              <w:t>)</w:t>
            </w:r>
          </w:p>
        </w:tc>
      </w:tr>
      <w:tr w:rsidR="00CD2C6D" w14:paraId="4E621123" w14:textId="77777777">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3536179" w14:textId="77777777" w:rsidR="00CD2C6D" w:rsidRDefault="00887AE1">
            <w:r>
              <w:rPr>
                <w:b/>
                <w:bCs/>
                <w:sz w:val="20"/>
                <w:szCs w:val="20"/>
              </w:rPr>
              <w:t>3</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0CF587D" w14:textId="77777777" w:rsidR="00CD2C6D" w:rsidRDefault="00887AE1">
            <w:r>
              <w:rPr>
                <w:sz w:val="20"/>
                <w:szCs w:val="20"/>
              </w:rPr>
              <w:t>Análisis exploratorio (EDA)</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D82A53B" w14:textId="77777777" w:rsidR="00CD2C6D" w:rsidRDefault="00887AE1">
            <w:r>
              <w:rPr>
                <w:sz w:val="20"/>
                <w:szCs w:val="20"/>
              </w:rPr>
              <w:t>Distribución de variables clínicas, tasas de eventos, análisis de censura, correlaciones entre expresión génica y supervivencia</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8097889" w14:textId="77777777" w:rsidR="00CD2C6D" w:rsidRDefault="00887AE1">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lifelines</w:t>
            </w:r>
            <w:proofErr w:type="spellEnd"/>
            <w:r>
              <w:rPr>
                <w:sz w:val="20"/>
                <w:szCs w:val="20"/>
              </w:rPr>
              <w:t xml:space="preserve"> (Python)</w:t>
            </w:r>
          </w:p>
        </w:tc>
      </w:tr>
      <w:tr w:rsidR="00CD2C6D" w14:paraId="72D4AB0C" w14:textId="77777777">
        <w:tc>
          <w:tcPr>
            <w:tcW w:w="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3383EBD" w14:textId="77777777" w:rsidR="00CD2C6D" w:rsidRDefault="00887AE1">
            <w:r>
              <w:rPr>
                <w:b/>
                <w:bCs/>
                <w:sz w:val="20"/>
                <w:szCs w:val="20"/>
              </w:rPr>
              <w:t>4</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FCB9607" w14:textId="77777777" w:rsidR="00CD2C6D" w:rsidRDefault="00887AE1">
            <w:r>
              <w:rPr>
                <w:sz w:val="20"/>
                <w:szCs w:val="20"/>
              </w:rPr>
              <w:t>Modelado de supervivencia</w:t>
            </w:r>
          </w:p>
        </w:tc>
        <w:tc>
          <w:tcPr>
            <w:tcW w:w="38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0475B52" w14:textId="77777777" w:rsidR="00CD2C6D" w:rsidRDefault="00887AE1">
            <w:r>
              <w:rPr>
                <w:sz w:val="20"/>
                <w:szCs w:val="20"/>
              </w:rPr>
              <w:t xml:space="preserve">Implementación de Kaplan-Meier, Cox PH,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xml:space="preserve"> mediante búsqueda en rejilla o Bayesiana</w:t>
            </w:r>
          </w:p>
        </w:tc>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8704EC" w14:textId="77777777" w:rsidR="00CD2C6D" w:rsidRDefault="00887AE1">
            <w:proofErr w:type="spellStart"/>
            <w:r>
              <w:rPr>
                <w:sz w:val="20"/>
                <w:szCs w:val="20"/>
              </w:rPr>
              <w:t>lifelines</w:t>
            </w:r>
            <w:proofErr w:type="spellEnd"/>
            <w:r>
              <w:rPr>
                <w:sz w:val="20"/>
                <w:szCs w:val="20"/>
              </w:rPr>
              <w:t xml:space="preserve">, </w:t>
            </w:r>
            <w:proofErr w:type="spellStart"/>
            <w:r>
              <w:rPr>
                <w:sz w:val="20"/>
                <w:szCs w:val="20"/>
              </w:rPr>
              <w:t>scikit-survival</w:t>
            </w:r>
            <w:proofErr w:type="spellEnd"/>
            <w:r>
              <w:rPr>
                <w:sz w:val="20"/>
                <w:szCs w:val="20"/>
              </w:rPr>
              <w:t xml:space="preserve">, </w:t>
            </w:r>
            <w:proofErr w:type="spellStart"/>
            <w:r>
              <w:rPr>
                <w:sz w:val="20"/>
                <w:szCs w:val="20"/>
              </w:rPr>
              <w:t>pycox</w:t>
            </w:r>
            <w:proofErr w:type="spellEnd"/>
            <w:r>
              <w:rPr>
                <w:sz w:val="20"/>
                <w:szCs w:val="20"/>
              </w:rPr>
              <w:t xml:space="preserve">, </w:t>
            </w:r>
            <w:proofErr w:type="spellStart"/>
            <w:r>
              <w:rPr>
                <w:sz w:val="20"/>
                <w:szCs w:val="20"/>
              </w:rPr>
              <w:t>PyTorch</w:t>
            </w:r>
            <w:proofErr w:type="spellEnd"/>
            <w:r>
              <w:rPr>
                <w:sz w:val="20"/>
                <w:szCs w:val="20"/>
              </w:rPr>
              <w:t xml:space="preserve"> / </w:t>
            </w:r>
            <w:proofErr w:type="spellStart"/>
            <w:r>
              <w:rPr>
                <w:sz w:val="20"/>
                <w:szCs w:val="20"/>
              </w:rPr>
              <w:t>TensorFlow</w:t>
            </w:r>
            <w:proofErr w:type="spellEnd"/>
          </w:p>
        </w:tc>
      </w:tr>
      <w:tr w:rsidR="00CD2C6D" w14:paraId="4C4AC2CD" w14:textId="77777777">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3B2E75D" w14:textId="77777777" w:rsidR="00CD2C6D" w:rsidRDefault="00887AE1">
            <w:r>
              <w:rPr>
                <w:b/>
                <w:bCs/>
                <w:sz w:val="20"/>
                <w:szCs w:val="20"/>
              </w:rPr>
              <w:t>5</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162CC4D" w14:textId="77777777" w:rsidR="00CD2C6D" w:rsidRDefault="00887AE1">
            <w:r>
              <w:rPr>
                <w:sz w:val="20"/>
                <w:szCs w:val="20"/>
              </w:rPr>
              <w:t>Evaluación y validación</w:t>
            </w:r>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64486EF" w14:textId="77777777" w:rsidR="00CD2C6D" w:rsidRDefault="00887AE1">
            <w:r>
              <w:rPr>
                <w:sz w:val="20"/>
                <w:szCs w:val="20"/>
              </w:rPr>
              <w:t>C-</w:t>
            </w:r>
            <w:proofErr w:type="spellStart"/>
            <w:r>
              <w:rPr>
                <w:sz w:val="20"/>
                <w:szCs w:val="20"/>
              </w:rPr>
              <w:t>index</w:t>
            </w:r>
            <w:proofErr w:type="spellEnd"/>
            <w:r>
              <w:rPr>
                <w:sz w:val="20"/>
                <w:szCs w:val="20"/>
              </w:rPr>
              <w:t xml:space="preserve">, </w:t>
            </w:r>
            <w:proofErr w:type="spellStart"/>
            <w:r>
              <w:rPr>
                <w:sz w:val="20"/>
                <w:szCs w:val="20"/>
              </w:rPr>
              <w:t>Brier</w:t>
            </w:r>
            <w:proofErr w:type="spellEnd"/>
            <w:r>
              <w:rPr>
                <w:sz w:val="20"/>
                <w:szCs w:val="20"/>
              </w:rPr>
              <w:t xml:space="preserve"> Score, log-</w:t>
            </w:r>
            <w:proofErr w:type="spellStart"/>
            <w:r>
              <w:rPr>
                <w:sz w:val="20"/>
                <w:szCs w:val="20"/>
              </w:rPr>
              <w:t>rank</w:t>
            </w:r>
            <w:proofErr w:type="spellEnd"/>
            <w:r>
              <w:rPr>
                <w:sz w:val="20"/>
                <w:szCs w:val="20"/>
              </w:rPr>
              <w:t xml:space="preserve"> test; validación cruzada k-</w:t>
            </w:r>
            <w:proofErr w:type="spellStart"/>
            <w:r>
              <w:rPr>
                <w:sz w:val="20"/>
                <w:szCs w:val="20"/>
              </w:rPr>
              <w:t>fold</w:t>
            </w:r>
            <w:proofErr w:type="spellEnd"/>
            <w:r>
              <w:rPr>
                <w:sz w:val="20"/>
                <w:szCs w:val="20"/>
              </w:rPr>
              <w:t xml:space="preserve"> (k=5 o k=10); validación externa cruzando datasets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DF933F3" w14:textId="77777777" w:rsidR="00CD2C6D" w:rsidRDefault="00887AE1">
            <w:proofErr w:type="spellStart"/>
            <w:r>
              <w:rPr>
                <w:sz w:val="20"/>
                <w:szCs w:val="20"/>
              </w:rPr>
              <w:t>scikit-survival</w:t>
            </w:r>
            <w:proofErr w:type="spellEnd"/>
            <w:r>
              <w:rPr>
                <w:sz w:val="20"/>
                <w:szCs w:val="20"/>
              </w:rPr>
              <w:t xml:space="preserve">, </w:t>
            </w:r>
            <w:proofErr w:type="spellStart"/>
            <w:r>
              <w:rPr>
                <w:sz w:val="20"/>
                <w:szCs w:val="20"/>
              </w:rPr>
              <w:t>lifelines</w:t>
            </w:r>
            <w:proofErr w:type="spellEnd"/>
            <w:r>
              <w:rPr>
                <w:sz w:val="20"/>
                <w:szCs w:val="20"/>
              </w:rPr>
              <w:t xml:space="preserve">, </w:t>
            </w:r>
            <w:proofErr w:type="spellStart"/>
            <w:proofErr w:type="gramStart"/>
            <w:r>
              <w:rPr>
                <w:sz w:val="20"/>
                <w:szCs w:val="20"/>
              </w:rPr>
              <w:t>scipy.stats</w:t>
            </w:r>
            <w:proofErr w:type="spellEnd"/>
            <w:proofErr w:type="gramEnd"/>
          </w:p>
        </w:tc>
      </w:tr>
      <w:tr w:rsidR="00CD2C6D" w14:paraId="105DD8F3" w14:textId="77777777">
        <w:tc>
          <w:tcPr>
            <w:tcW w:w="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B1FFDEC" w14:textId="77777777" w:rsidR="00CD2C6D" w:rsidRDefault="00887AE1">
            <w:r>
              <w:rPr>
                <w:b/>
                <w:bCs/>
                <w:sz w:val="20"/>
                <w:szCs w:val="20"/>
              </w:rPr>
              <w:t>6</w:t>
            </w:r>
          </w:p>
        </w:tc>
        <w:tc>
          <w:tcPr>
            <w:tcW w:w="22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55D4391" w14:textId="77777777" w:rsidR="00CD2C6D" w:rsidRDefault="00887AE1">
            <w:r>
              <w:rPr>
                <w:sz w:val="20"/>
                <w:szCs w:val="20"/>
              </w:rPr>
              <w:t>Interpretabilidad y análisis de importancia</w:t>
            </w:r>
          </w:p>
        </w:tc>
        <w:tc>
          <w:tcPr>
            <w:tcW w:w="38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5F5DCD5" w14:textId="77777777" w:rsidR="00CD2C6D" w:rsidRDefault="00887AE1">
            <w:r>
              <w:rPr>
                <w:sz w:val="20"/>
                <w:szCs w:val="20"/>
              </w:rPr>
              <w:t>Extracción de variables más relevantes; análisis SHAP para modelos complejos; comparación con literatura genómica</w:t>
            </w:r>
          </w:p>
        </w:tc>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642591F9" w14:textId="77777777" w:rsidR="00CD2C6D" w:rsidRDefault="00887AE1">
            <w:proofErr w:type="spellStart"/>
            <w:r>
              <w:rPr>
                <w:sz w:val="20"/>
                <w:szCs w:val="20"/>
              </w:rPr>
              <w:t>shap</w:t>
            </w:r>
            <w:proofErr w:type="spellEnd"/>
            <w:r>
              <w:rPr>
                <w:sz w:val="20"/>
                <w:szCs w:val="20"/>
              </w:rPr>
              <w:t xml:space="preserve">, RSF </w:t>
            </w:r>
            <w:proofErr w:type="spellStart"/>
            <w:r>
              <w:rPr>
                <w:sz w:val="20"/>
                <w:szCs w:val="20"/>
              </w:rPr>
              <w:t>feature</w:t>
            </w:r>
            <w:proofErr w:type="spellEnd"/>
            <w:r>
              <w:rPr>
                <w:sz w:val="20"/>
                <w:szCs w:val="20"/>
              </w:rPr>
              <w:t xml:space="preserve"> </w:t>
            </w:r>
            <w:proofErr w:type="spellStart"/>
            <w:r>
              <w:rPr>
                <w:sz w:val="20"/>
                <w:szCs w:val="20"/>
              </w:rPr>
              <w:t>importance</w:t>
            </w:r>
            <w:proofErr w:type="spellEnd"/>
            <w:r>
              <w:rPr>
                <w:sz w:val="20"/>
                <w:szCs w:val="20"/>
              </w:rPr>
              <w:t>, coeficientes Cox</w:t>
            </w:r>
          </w:p>
        </w:tc>
      </w:tr>
      <w:tr w:rsidR="00CD2C6D" w14:paraId="37104032" w14:textId="77777777">
        <w:tc>
          <w:tcPr>
            <w:tcW w:w="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B588D6F" w14:textId="77777777" w:rsidR="00CD2C6D" w:rsidRDefault="00887AE1">
            <w:r>
              <w:rPr>
                <w:b/>
                <w:bCs/>
                <w:sz w:val="20"/>
                <w:szCs w:val="20"/>
              </w:rPr>
              <w:t>7</w:t>
            </w:r>
          </w:p>
        </w:tc>
        <w:tc>
          <w:tcPr>
            <w:tcW w:w="22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F36CD25" w14:textId="77777777" w:rsidR="00CD2C6D" w:rsidRDefault="00887AE1">
            <w:r>
              <w:rPr>
                <w:sz w:val="20"/>
                <w:szCs w:val="20"/>
              </w:rPr>
              <w:t xml:space="preserve">Análisis comparativo </w:t>
            </w:r>
            <w:proofErr w:type="spellStart"/>
            <w:r>
              <w:rPr>
                <w:sz w:val="20"/>
                <w:szCs w:val="20"/>
              </w:rPr>
              <w:t>inter-dataset</w:t>
            </w:r>
            <w:proofErr w:type="spellEnd"/>
          </w:p>
        </w:tc>
        <w:tc>
          <w:tcPr>
            <w:tcW w:w="38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468B49F" w14:textId="77777777" w:rsidR="00CD2C6D" w:rsidRDefault="00887AE1">
            <w:r>
              <w:rPr>
                <w:sz w:val="20"/>
                <w:szCs w:val="20"/>
              </w:rPr>
              <w:t>Transferencia de modelos entre TCGA y METABRIC; análisis de diferencias en rendimiento; discusión de causas</w:t>
            </w:r>
          </w:p>
        </w:tc>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FE609BB" w14:textId="77777777" w:rsidR="00CD2C6D" w:rsidRDefault="00887AE1">
            <w:r>
              <w:rPr>
                <w:sz w:val="20"/>
                <w:szCs w:val="20"/>
              </w:rPr>
              <w:t>Python, tablas comparativas, visualizaciones</w:t>
            </w:r>
          </w:p>
        </w:tc>
      </w:tr>
    </w:tbl>
    <w:p w14:paraId="057BA259" w14:textId="77777777" w:rsidR="00CD2C6D" w:rsidRDefault="00CD2C6D">
      <w:pPr>
        <w:spacing w:after="120"/>
      </w:pPr>
    </w:p>
    <w:p w14:paraId="730FDE2F" w14:textId="77777777" w:rsidR="00CD2C6D" w:rsidRDefault="00887AE1">
      <w:pPr>
        <w:pStyle w:val="Ttulo3"/>
      </w:pPr>
      <w:r>
        <w:t>1.4.3 Técnicas de análisis de supervivencia</w:t>
      </w:r>
    </w:p>
    <w:p w14:paraId="42CBB792" w14:textId="77777777" w:rsidR="00CD2C6D" w:rsidRDefault="00887AE1">
      <w:pPr>
        <w:spacing w:after="160"/>
        <w:jc w:val="both"/>
      </w:pPr>
      <w:r>
        <w:t>Se describen a continuación las técnicas metodológicas que se implementarán en el trabajo:</w:t>
      </w:r>
    </w:p>
    <w:p w14:paraId="1C4E37AE" w14:textId="77777777" w:rsidR="00CD2C6D" w:rsidRDefault="00CD2C6D">
      <w:pPr>
        <w:spacing w:after="120"/>
      </w:pPr>
    </w:p>
    <w:p w14:paraId="7FBAC74E" w14:textId="77777777" w:rsidR="00CD2C6D" w:rsidRDefault="00887AE1">
      <w:pPr>
        <w:pStyle w:val="Prrafodelista"/>
        <w:numPr>
          <w:ilvl w:val="0"/>
          <w:numId w:val="2"/>
        </w:numPr>
        <w:spacing w:after="80"/>
      </w:pPr>
      <w:r>
        <w:t>Estimador de Kaplan-Meier: Método no paramétrico para la estimación de la función de supervivencia a partir de datos censurados. Se utilizará para la descripción inicial de las curvas de supervivencia por grupos (subtipos moleculares, estadios) y para la visualización de diferencias entre cohortes mediante el test log-</w:t>
      </w:r>
      <w:proofErr w:type="spellStart"/>
      <w:r>
        <w:t>rank</w:t>
      </w:r>
      <w:proofErr w:type="spellEnd"/>
      <w:r>
        <w:t>.</w:t>
      </w:r>
    </w:p>
    <w:p w14:paraId="3B7CE4E9" w14:textId="77777777" w:rsidR="00CD2C6D" w:rsidRDefault="00887AE1">
      <w:pPr>
        <w:pStyle w:val="Prrafodelista"/>
        <w:numPr>
          <w:ilvl w:val="0"/>
          <w:numId w:val="2"/>
        </w:numPr>
        <w:spacing w:after="80"/>
      </w:pPr>
      <w:r>
        <w:t xml:space="preserve">Modelo de riesgos proporcionales de Cox (Cox PH): Modelo </w:t>
      </w:r>
      <w:proofErr w:type="spellStart"/>
      <w:r>
        <w:t>semiparamétrico</w:t>
      </w:r>
      <w:proofErr w:type="spellEnd"/>
      <w:r>
        <w:t xml:space="preserve"> que modela la tasa de riesgo instantánea (</w:t>
      </w:r>
      <w:proofErr w:type="spellStart"/>
      <w:r>
        <w:t>hazard</w:t>
      </w:r>
      <w:proofErr w:type="spellEnd"/>
      <w:r>
        <w:t>) como producto de una función basal no especificada y una función exponencial de las covariables. Permite estimar el efecto relativo de cada variable genómica sobre el riesgo de evento. Se explorará la regularización mediante penalización LASSO para el manejo de alta dimensionalidad.</w:t>
      </w:r>
    </w:p>
    <w:p w14:paraId="416695F0" w14:textId="77777777" w:rsidR="00CD2C6D" w:rsidRDefault="00887AE1">
      <w:pPr>
        <w:pStyle w:val="Prrafodelista"/>
        <w:numPr>
          <w:ilvl w:val="0"/>
          <w:numId w:val="2"/>
        </w:numPr>
        <w:spacing w:after="80"/>
      </w:pPr>
      <w:proofErr w:type="spellStart"/>
      <w:r>
        <w:t>Random</w:t>
      </w:r>
      <w:proofErr w:type="spellEnd"/>
      <w:r>
        <w:t xml:space="preserve"> </w:t>
      </w:r>
      <w:proofErr w:type="spellStart"/>
      <w:r>
        <w:t>Survival</w:t>
      </w:r>
      <w:proofErr w:type="spellEnd"/>
      <w:r>
        <w:t xml:space="preserve"> Forest (RSF): Extensión del algoritmo de bosque aleatorio al contexto de supervivencia, basada en la construcción de múltiples árboles de supervivencia mediante la función de log-</w:t>
      </w:r>
      <w:proofErr w:type="spellStart"/>
      <w:r>
        <w:t>rank</w:t>
      </w:r>
      <w:proofErr w:type="spellEnd"/>
      <w:r>
        <w:t xml:space="preserve"> como criterio de división. Permite capturar relaciones no lineales e interacciones entre variables sin necesidad de asumir proporcionalidad de los riesgos.</w:t>
      </w:r>
    </w:p>
    <w:p w14:paraId="1792E31E" w14:textId="77777777" w:rsidR="00CD2C6D" w:rsidRDefault="00887AE1">
      <w:pPr>
        <w:pStyle w:val="Prrafodelista"/>
        <w:numPr>
          <w:ilvl w:val="0"/>
          <w:numId w:val="2"/>
        </w:numPr>
        <w:spacing w:after="80"/>
      </w:pPr>
      <w:proofErr w:type="spellStart"/>
      <w:r>
        <w:t>DeepSurv</w:t>
      </w:r>
      <w:proofErr w:type="spellEnd"/>
      <w:r>
        <w:t xml:space="preserve">: Red neuronal profunda de tipo </w:t>
      </w:r>
      <w:proofErr w:type="spellStart"/>
      <w:r>
        <w:t>feedforward</w:t>
      </w:r>
      <w:proofErr w:type="spellEnd"/>
      <w:r>
        <w:t xml:space="preserve"> que minimiza la función de pérdida de verosimilitud parcial de Cox. Permite modelar relaciones altamente no lineales entre las variables de entrada y el riesgo de evento, ofreciendo mayor flexibilidad a costa de mayor complejidad de entrenamiento e interpretabilidad reducida.</w:t>
      </w:r>
    </w:p>
    <w:p w14:paraId="791FC1F3" w14:textId="77777777" w:rsidR="00CD2C6D" w:rsidRDefault="00CD2C6D">
      <w:pPr>
        <w:spacing w:after="120"/>
      </w:pPr>
    </w:p>
    <w:p w14:paraId="52606F21" w14:textId="77777777" w:rsidR="00CD2C6D" w:rsidRDefault="00887AE1">
      <w:pPr>
        <w:pStyle w:val="Ttulo3"/>
      </w:pPr>
      <w:r>
        <w:t>1.4.4 Métricas de evaluación</w:t>
      </w:r>
    </w:p>
    <w:p w14:paraId="58941589" w14:textId="77777777" w:rsidR="00CD2C6D" w:rsidRDefault="00887AE1">
      <w:pPr>
        <w:spacing w:after="160"/>
        <w:jc w:val="both"/>
      </w:pPr>
      <w:r>
        <w:t>Se utilizarán las siguientes métricas para la evaluación y comparación de modelos:</w:t>
      </w:r>
    </w:p>
    <w:p w14:paraId="440B0CB9" w14:textId="77777777" w:rsidR="00CD2C6D" w:rsidRDefault="00CD2C6D">
      <w:pPr>
        <w:spacing w:after="120"/>
      </w:pPr>
    </w:p>
    <w:p w14:paraId="76F3FAE2" w14:textId="77777777" w:rsidR="00CD2C6D" w:rsidRDefault="00887AE1">
      <w:pPr>
        <w:pStyle w:val="Prrafodelista"/>
        <w:numPr>
          <w:ilvl w:val="0"/>
          <w:numId w:val="2"/>
        </w:numPr>
        <w:spacing w:after="80"/>
      </w:pPr>
      <w:r>
        <w:t>C-</w:t>
      </w:r>
      <w:proofErr w:type="spellStart"/>
      <w:r>
        <w:t>index</w:t>
      </w:r>
      <w:proofErr w:type="spellEnd"/>
      <w:r>
        <w:t xml:space="preserve"> (</w:t>
      </w:r>
      <w:proofErr w:type="spellStart"/>
      <w:r>
        <w:t>Concordance</w:t>
      </w:r>
      <w:proofErr w:type="spellEnd"/>
      <w:r>
        <w:t xml:space="preserve"> </w:t>
      </w:r>
      <w:proofErr w:type="spellStart"/>
      <w:r>
        <w:t>Index</w:t>
      </w:r>
      <w:proofErr w:type="spellEnd"/>
      <w:r>
        <w:t>): Mide la probabilidad de que, dado un par de pacientes, el modelo asigne un riesgo mayor al que experimenta el evento primero. Equivalente al área bajo la curva ROC para datos de supervivencia. Valores próximos a 1 indican discriminación excelente; valores cercanos a 0,5 indican rendimiento similar al azar.</w:t>
      </w:r>
    </w:p>
    <w:p w14:paraId="08EC9C9A" w14:textId="77777777" w:rsidR="00CD2C6D" w:rsidRDefault="00887AE1">
      <w:pPr>
        <w:pStyle w:val="Prrafodelista"/>
        <w:numPr>
          <w:ilvl w:val="0"/>
          <w:numId w:val="2"/>
        </w:numPr>
        <w:spacing w:after="80"/>
      </w:pPr>
      <w:proofErr w:type="spellStart"/>
      <w:r>
        <w:t>Brier</w:t>
      </w:r>
      <w:proofErr w:type="spellEnd"/>
      <w:r>
        <w:t xml:space="preserve"> Score integrado (IBS): Mide el error cuadrático medio de la probabilidad de supervivencia estimada respecto al resultado real observado, integrado sobre el horizonte temporal de seguimiento. Proporciona una medida de calibración y discriminación conjunta.</w:t>
      </w:r>
    </w:p>
    <w:p w14:paraId="78407404" w14:textId="77777777" w:rsidR="00CD2C6D" w:rsidRDefault="00887AE1">
      <w:pPr>
        <w:pStyle w:val="Prrafodelista"/>
        <w:numPr>
          <w:ilvl w:val="0"/>
          <w:numId w:val="2"/>
        </w:numPr>
        <w:spacing w:after="80"/>
      </w:pPr>
      <w:r>
        <w:t>Log-</w:t>
      </w:r>
      <w:proofErr w:type="spellStart"/>
      <w:r>
        <w:t>rank</w:t>
      </w:r>
      <w:proofErr w:type="spellEnd"/>
      <w:r>
        <w:t xml:space="preserve"> test: Test estadístico no paramétrico para la comparación de curvas de supervivencia entre grupos. Se utilizará para evaluar si las diferencias en supervivencia entre subgrupos definidos por perfil genómico o por </w:t>
      </w:r>
      <w:proofErr w:type="spellStart"/>
      <w:r>
        <w:t>dataset</w:t>
      </w:r>
      <w:proofErr w:type="spellEnd"/>
      <w:r>
        <w:t xml:space="preserve"> son estadísticamente significativas.</w:t>
      </w:r>
    </w:p>
    <w:p w14:paraId="5BAFC6DF" w14:textId="77777777" w:rsidR="00CD2C6D" w:rsidRDefault="00CD2C6D">
      <w:pPr>
        <w:spacing w:after="120"/>
      </w:pPr>
    </w:p>
    <w:p w14:paraId="016D37F3" w14:textId="77777777" w:rsidR="00CD2C6D" w:rsidRDefault="00887AE1">
      <w:r>
        <w:br w:type="page"/>
      </w:r>
    </w:p>
    <w:p w14:paraId="56081E12" w14:textId="77777777" w:rsidR="00CD2C6D" w:rsidRDefault="00887AE1">
      <w:pPr>
        <w:pStyle w:val="Ttulo2"/>
      </w:pPr>
      <w:r>
        <w:lastRenderedPageBreak/>
        <w:t>1.5 Planificación del trabajo</w:t>
      </w:r>
    </w:p>
    <w:p w14:paraId="10768C9B" w14:textId="77777777" w:rsidR="00CD2C6D" w:rsidRDefault="00887AE1">
      <w:pPr>
        <w:pStyle w:val="Ttulo3"/>
      </w:pPr>
      <w:r>
        <w:t>1.5.1 Fases, tareas, entregables e hitos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088"/>
        <w:gridCol w:w="2200"/>
        <w:gridCol w:w="1460"/>
        <w:gridCol w:w="1344"/>
      </w:tblGrid>
      <w:tr w:rsidR="00CD2C6D" w14:paraId="483A7634" w14:textId="77777777">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EFCE31D" w14:textId="77777777" w:rsidR="00CD2C6D" w:rsidRDefault="00887AE1">
            <w:pPr>
              <w:jc w:val="center"/>
            </w:pPr>
            <w:bookmarkStart w:id="0" w:name="_Hlk222998147"/>
            <w:r>
              <w:rPr>
                <w:b/>
                <w:bCs/>
                <w:color w:val="FFFFFF"/>
                <w:sz w:val="20"/>
                <w:szCs w:val="20"/>
              </w:rPr>
              <w:t>Fase</w:t>
            </w:r>
          </w:p>
        </w:tc>
        <w:tc>
          <w:tcPr>
            <w:tcW w:w="23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36A189FB" w14:textId="77777777" w:rsidR="00CD2C6D" w:rsidRDefault="00887AE1">
            <w:pPr>
              <w:jc w:val="center"/>
            </w:pPr>
            <w:r>
              <w:rPr>
                <w:b/>
                <w:bCs/>
                <w:color w:val="FFFFFF"/>
                <w:sz w:val="20"/>
                <w:szCs w:val="20"/>
              </w:rPr>
              <w:t>Tareas principales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E372FBB" w14:textId="77777777" w:rsidR="00CD2C6D" w:rsidRDefault="00887AE1">
            <w:pPr>
              <w:jc w:val="center"/>
            </w:pPr>
            <w:r>
              <w:rPr>
                <w:b/>
                <w:bCs/>
                <w:color w:val="FFFFFF"/>
                <w:sz w:val="20"/>
                <w:szCs w:val="20"/>
              </w:rPr>
              <w:t>Entregables</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62F190F" w14:textId="77777777" w:rsidR="00CD2C6D" w:rsidRDefault="00887AE1">
            <w:pPr>
              <w:jc w:val="center"/>
            </w:pPr>
            <w:r>
              <w:rPr>
                <w:b/>
                <w:bCs/>
                <w:color w:val="FFFFFF"/>
                <w:sz w:val="20"/>
                <w:szCs w:val="20"/>
              </w:rPr>
              <w:t>Hito</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67E145AA" w14:textId="77777777" w:rsidR="00CD2C6D" w:rsidRDefault="00887AE1">
            <w:pPr>
              <w:jc w:val="center"/>
            </w:pPr>
            <w:r>
              <w:rPr>
                <w:b/>
                <w:bCs/>
                <w:color w:val="FFFFFF"/>
                <w:sz w:val="20"/>
                <w:szCs w:val="20"/>
              </w:rPr>
              <w:t xml:space="preserve">Duración </w:t>
            </w:r>
            <w:proofErr w:type="spellStart"/>
            <w:r>
              <w:rPr>
                <w:b/>
                <w:bCs/>
                <w:color w:val="FFFFFF"/>
                <w:sz w:val="20"/>
                <w:szCs w:val="20"/>
              </w:rPr>
              <w:t>est</w:t>
            </w:r>
            <w:proofErr w:type="spellEnd"/>
            <w:r>
              <w:rPr>
                <w:b/>
                <w:bCs/>
                <w:color w:val="FFFFFF"/>
                <w:sz w:val="20"/>
                <w:szCs w:val="20"/>
              </w:rPr>
              <w:t>.</w:t>
            </w:r>
          </w:p>
        </w:tc>
      </w:tr>
      <w:tr w:rsidR="00CD2C6D" w14:paraId="4515D93F" w14:textId="77777777">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5D594DE" w14:textId="77777777" w:rsidR="00CD2C6D" w:rsidRDefault="00887AE1">
            <w:r>
              <w:rPr>
                <w:b/>
                <w:bCs/>
                <w:sz w:val="20"/>
                <w:szCs w:val="20"/>
              </w:rPr>
              <w:t>F1 – Definición y estado del arte</w:t>
            </w:r>
          </w:p>
        </w:tc>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DBCB24E" w14:textId="77777777" w:rsidR="00CD2C6D" w:rsidRDefault="00887AE1">
            <w:r>
              <w:rPr>
                <w:sz w:val="20"/>
                <w:szCs w:val="20"/>
              </w:rPr>
              <w:t>Revisión bibliográfica; definición del alcance; selección definitiva de datasets y metodología</w:t>
            </w:r>
          </w:p>
        </w:tc>
        <w:tc>
          <w:tcPr>
            <w:tcW w:w="2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B115A3C" w14:textId="77777777" w:rsidR="00CD2C6D" w:rsidRDefault="00887AE1">
            <w:r>
              <w:rPr>
                <w:sz w:val="20"/>
                <w:szCs w:val="20"/>
              </w:rPr>
              <w:t>Capítulo 1 (Introducción) + Capítulo 2 (Estado del arte)</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3BFB265" w14:textId="77777777" w:rsidR="00CD2C6D" w:rsidRDefault="00887AE1">
            <w:r>
              <w:rPr>
                <w:sz w:val="20"/>
                <w:szCs w:val="20"/>
              </w:rPr>
              <w:t>Aprobación del plan por el tutor</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C2BBD9C" w14:textId="77777777" w:rsidR="00CD2C6D" w:rsidRDefault="00887AE1">
            <w:r>
              <w:rPr>
                <w:sz w:val="20"/>
                <w:szCs w:val="20"/>
              </w:rPr>
              <w:t>Mes 1 – Mes 2</w:t>
            </w:r>
          </w:p>
        </w:tc>
      </w:tr>
      <w:tr w:rsidR="00CD2C6D" w14:paraId="6CC4DAE0" w14:textId="77777777">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23C1BFA" w14:textId="77777777" w:rsidR="00CD2C6D" w:rsidRDefault="00887AE1">
            <w:r>
              <w:rPr>
                <w:b/>
                <w:bCs/>
                <w:sz w:val="20"/>
                <w:szCs w:val="20"/>
              </w:rPr>
              <w:t>F2 – Adquisición y preprocesamiento</w:t>
            </w:r>
          </w:p>
        </w:tc>
        <w:tc>
          <w:tcPr>
            <w:tcW w:w="2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70A3AB6" w14:textId="77777777" w:rsidR="00CD2C6D" w:rsidRDefault="00887AE1">
            <w:r>
              <w:rPr>
                <w:sz w:val="20"/>
                <w:szCs w:val="20"/>
              </w:rPr>
              <w:t>Descarga de TCGA y METABRIC; limpieza, normalización, reducción dimensional y análisis exploratorio</w:t>
            </w:r>
          </w:p>
        </w:tc>
        <w:tc>
          <w:tcPr>
            <w:tcW w:w="2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E7B1962" w14:textId="77777777" w:rsidR="00CD2C6D" w:rsidRDefault="00887AE1">
            <w:r>
              <w:rPr>
                <w:sz w:val="20"/>
                <w:szCs w:val="20"/>
              </w:rPr>
              <w:t>Capítulo 3 (Datos) + scripts de preprocesamiento</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3898018" w14:textId="77777777" w:rsidR="00CD2C6D" w:rsidRDefault="00887AE1">
            <w:proofErr w:type="spellStart"/>
            <w:r>
              <w:rPr>
                <w:sz w:val="20"/>
                <w:szCs w:val="20"/>
              </w:rPr>
              <w:t>Dataset</w:t>
            </w:r>
            <w:proofErr w:type="spellEnd"/>
            <w:r>
              <w:rPr>
                <w:sz w:val="20"/>
                <w:szCs w:val="20"/>
              </w:rPr>
              <w:t xml:space="preserve"> listo para modelado</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D03FB1A" w14:textId="77777777" w:rsidR="00CD2C6D" w:rsidRDefault="00887AE1">
            <w:r>
              <w:rPr>
                <w:sz w:val="20"/>
                <w:szCs w:val="20"/>
              </w:rPr>
              <w:t>Mes 2 – Mes 3</w:t>
            </w:r>
          </w:p>
        </w:tc>
      </w:tr>
      <w:tr w:rsidR="00CD2C6D" w14:paraId="45390CBD" w14:textId="77777777">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70DB9B0" w14:textId="77777777" w:rsidR="00CD2C6D" w:rsidRDefault="00887AE1">
            <w:r>
              <w:rPr>
                <w:b/>
                <w:bCs/>
                <w:sz w:val="20"/>
                <w:szCs w:val="20"/>
              </w:rPr>
              <w:t>F3 – Implementación de modelos</w:t>
            </w:r>
          </w:p>
        </w:tc>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4996795" w14:textId="77777777" w:rsidR="00CD2C6D" w:rsidRDefault="00887AE1">
            <w:r>
              <w:rPr>
                <w:sz w:val="20"/>
                <w:szCs w:val="20"/>
              </w:rPr>
              <w:t xml:space="preserve">Implementación de KM, Cox, RSF y </w:t>
            </w:r>
            <w:proofErr w:type="spellStart"/>
            <w:r>
              <w:rPr>
                <w:sz w:val="20"/>
                <w:szCs w:val="20"/>
              </w:rPr>
              <w:t>DeepSurv</w:t>
            </w:r>
            <w:proofErr w:type="spellEnd"/>
            <w:r>
              <w:rPr>
                <w:sz w:val="20"/>
                <w:szCs w:val="20"/>
              </w:rPr>
              <w:t xml:space="preserve">; ajuste de </w:t>
            </w:r>
            <w:proofErr w:type="spellStart"/>
            <w:r>
              <w:rPr>
                <w:sz w:val="20"/>
                <w:szCs w:val="20"/>
              </w:rPr>
              <w:t>hiperparámetros</w:t>
            </w:r>
            <w:proofErr w:type="spellEnd"/>
            <w:r>
              <w:rPr>
                <w:sz w:val="20"/>
                <w:szCs w:val="20"/>
              </w:rPr>
              <w:t>; primera evaluación</w:t>
            </w:r>
          </w:p>
        </w:tc>
        <w:tc>
          <w:tcPr>
            <w:tcW w:w="2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C27A661" w14:textId="77777777" w:rsidR="00CD2C6D" w:rsidRDefault="00887AE1">
            <w:r>
              <w:rPr>
                <w:sz w:val="20"/>
                <w:szCs w:val="20"/>
              </w:rPr>
              <w:t>Capítulo 4 (Metodología) + notebooks de modelos</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2826BC9E" w14:textId="77777777" w:rsidR="00CD2C6D" w:rsidRDefault="00887AE1">
            <w:r>
              <w:rPr>
                <w:sz w:val="20"/>
                <w:szCs w:val="20"/>
              </w:rPr>
              <w:t>Modelos entrenados y evaluados</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11ECA05" w14:textId="77777777" w:rsidR="00CD2C6D" w:rsidRDefault="00887AE1">
            <w:r>
              <w:rPr>
                <w:sz w:val="20"/>
                <w:szCs w:val="20"/>
              </w:rPr>
              <w:t>Mes 3 – Mes 4,5</w:t>
            </w:r>
          </w:p>
        </w:tc>
      </w:tr>
      <w:tr w:rsidR="00CD2C6D" w14:paraId="4377FA12" w14:textId="77777777">
        <w:tc>
          <w:tcPr>
            <w:tcW w:w="1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8AA904B" w14:textId="77777777" w:rsidR="00CD2C6D" w:rsidRDefault="00887AE1">
            <w:r>
              <w:rPr>
                <w:b/>
                <w:bCs/>
                <w:sz w:val="20"/>
                <w:szCs w:val="20"/>
              </w:rPr>
              <w:t>F4 – Análisis y validación</w:t>
            </w:r>
          </w:p>
        </w:tc>
        <w:tc>
          <w:tcPr>
            <w:tcW w:w="23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26E5ABA" w14:textId="77777777" w:rsidR="00CD2C6D" w:rsidRDefault="00887AE1">
            <w:r>
              <w:rPr>
                <w:sz w:val="20"/>
                <w:szCs w:val="20"/>
              </w:rPr>
              <w:t>Validación cruzada; análisis de importancia de variables; validación externa entre datasets</w:t>
            </w:r>
          </w:p>
        </w:tc>
        <w:tc>
          <w:tcPr>
            <w:tcW w:w="2426"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E9B3E00" w14:textId="77777777" w:rsidR="00CD2C6D" w:rsidRDefault="00887AE1">
            <w:r>
              <w:rPr>
                <w:sz w:val="20"/>
                <w:szCs w:val="20"/>
              </w:rPr>
              <w:t>Capítulo 5 (Resultados) + tablas y figuras</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4A67B32" w14:textId="77777777" w:rsidR="00CD2C6D" w:rsidRDefault="00887AE1">
            <w:r>
              <w:rPr>
                <w:sz w:val="20"/>
                <w:szCs w:val="20"/>
              </w:rPr>
              <w:t>Resultados comparativos completos</w:t>
            </w:r>
          </w:p>
        </w:tc>
        <w:tc>
          <w:tcPr>
            <w:tcW w:w="1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1D0D495" w14:textId="77777777" w:rsidR="00CD2C6D" w:rsidRDefault="00887AE1">
            <w:r>
              <w:rPr>
                <w:sz w:val="20"/>
                <w:szCs w:val="20"/>
              </w:rPr>
              <w:t>Mes 4,5 – Mes 5,5</w:t>
            </w:r>
          </w:p>
        </w:tc>
      </w:tr>
      <w:tr w:rsidR="00CD2C6D" w14:paraId="50045D00" w14:textId="77777777">
        <w:tc>
          <w:tcPr>
            <w:tcW w:w="1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CC1693E" w14:textId="77777777" w:rsidR="00CD2C6D" w:rsidRDefault="00887AE1">
            <w:r>
              <w:rPr>
                <w:b/>
                <w:bCs/>
                <w:sz w:val="20"/>
                <w:szCs w:val="20"/>
              </w:rPr>
              <w:t>F5 – Redacción y revisión</w:t>
            </w:r>
          </w:p>
        </w:tc>
        <w:tc>
          <w:tcPr>
            <w:tcW w:w="23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2EF6529" w14:textId="77777777" w:rsidR="00CD2C6D" w:rsidRDefault="00887AE1">
            <w:r>
              <w:rPr>
                <w:sz w:val="20"/>
                <w:szCs w:val="20"/>
              </w:rPr>
              <w:t>Redacción de Capítulos 6 y 7; revisión integral de la memoria; preparación del repositorio público</w:t>
            </w:r>
          </w:p>
        </w:tc>
        <w:tc>
          <w:tcPr>
            <w:tcW w:w="2426"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508B6A1" w14:textId="77777777" w:rsidR="00CD2C6D" w:rsidRDefault="00887AE1">
            <w:r>
              <w:rPr>
                <w:sz w:val="20"/>
                <w:szCs w:val="20"/>
              </w:rPr>
              <w:t>Memoria completa (capítulos 1-7) + repositorio GitHub</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A530511" w14:textId="77777777" w:rsidR="00CD2C6D" w:rsidRDefault="00887AE1">
            <w:r>
              <w:rPr>
                <w:sz w:val="20"/>
                <w:szCs w:val="20"/>
              </w:rPr>
              <w:t>Entrega formal del TFM</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DF6616C" w14:textId="77777777" w:rsidR="00CD2C6D" w:rsidRDefault="00887AE1">
            <w:r>
              <w:rPr>
                <w:sz w:val="20"/>
                <w:szCs w:val="20"/>
              </w:rPr>
              <w:t>Mes 5,5 – Mes 6</w:t>
            </w:r>
          </w:p>
        </w:tc>
      </w:tr>
      <w:bookmarkEnd w:id="0"/>
    </w:tbl>
    <w:p w14:paraId="5270B100" w14:textId="77777777" w:rsidR="00CD2C6D" w:rsidRDefault="00CD2C6D">
      <w:pPr>
        <w:spacing w:after="120"/>
      </w:pPr>
    </w:p>
    <w:p w14:paraId="48432B56" w14:textId="77777777" w:rsidR="00CD2C6D" w:rsidRDefault="00887AE1">
      <w:pPr>
        <w:pStyle w:val="Ttulo3"/>
      </w:pPr>
      <w:r>
        <w:t>1.5.2 Orientación para el diagrama de Gantt</w:t>
      </w:r>
    </w:p>
    <w:p w14:paraId="53E25004" w14:textId="77777777" w:rsidR="00CD2C6D" w:rsidRDefault="00887AE1">
      <w:pPr>
        <w:spacing w:after="160"/>
        <w:jc w:val="both"/>
      </w:pPr>
      <w:r>
        <w:t>Se recomienda elaborar el diagrama de Gantt en una herramienta específica (</w:t>
      </w:r>
      <w:proofErr w:type="spellStart"/>
      <w:r>
        <w:t>Ganttproject</w:t>
      </w:r>
      <w:proofErr w:type="spellEnd"/>
      <w:r>
        <w:t xml:space="preserve">, </w:t>
      </w:r>
      <w:proofErr w:type="spellStart"/>
      <w:r>
        <w:t>TeamGantt</w:t>
      </w:r>
      <w:proofErr w:type="spellEnd"/>
      <w:r>
        <w:t xml:space="preserve">, </w:t>
      </w:r>
      <w:proofErr w:type="spellStart"/>
      <w:r>
        <w:t>Notion</w:t>
      </w:r>
      <w:proofErr w:type="spellEnd"/>
      <w:r>
        <w:t xml:space="preserve">, Excel o </w:t>
      </w:r>
      <w:proofErr w:type="spellStart"/>
      <w:r>
        <w:t>ProjectLibre</w:t>
      </w:r>
      <w:proofErr w:type="spellEnd"/>
      <w:r>
        <w:t>). La tabla anterior puede servir de base estructural. Para una buena práctica en la elaboración del Gantt:</w:t>
      </w:r>
    </w:p>
    <w:p w14:paraId="2C249820" w14:textId="77777777" w:rsidR="00CD2C6D" w:rsidRDefault="00CD2C6D">
      <w:pPr>
        <w:spacing w:after="120"/>
      </w:pPr>
    </w:p>
    <w:p w14:paraId="12ECC1F8" w14:textId="77777777" w:rsidR="00CD2C6D" w:rsidRDefault="00887AE1">
      <w:pPr>
        <w:pStyle w:val="Prrafodelista"/>
        <w:numPr>
          <w:ilvl w:val="0"/>
          <w:numId w:val="2"/>
        </w:numPr>
        <w:spacing w:after="80"/>
      </w:pPr>
      <w:r>
        <w:t>Descomponer cada fase en tareas de no más de 5-10 días de duración para facilitar el seguimiento.</w:t>
      </w:r>
    </w:p>
    <w:p w14:paraId="1FD9FF5E" w14:textId="77777777" w:rsidR="00CD2C6D" w:rsidRDefault="00887AE1">
      <w:pPr>
        <w:pStyle w:val="Prrafodelista"/>
        <w:numPr>
          <w:ilvl w:val="0"/>
          <w:numId w:val="2"/>
        </w:numPr>
        <w:spacing w:after="80"/>
      </w:pPr>
      <w:r>
        <w:t>Identificar las dependencias entre tareas (por ejemplo, el modelado depende del preprocesamiento).</w:t>
      </w:r>
    </w:p>
    <w:p w14:paraId="09267C70" w14:textId="77777777" w:rsidR="00CD2C6D" w:rsidRDefault="00887AE1">
      <w:pPr>
        <w:pStyle w:val="Prrafodelista"/>
        <w:numPr>
          <w:ilvl w:val="0"/>
          <w:numId w:val="2"/>
        </w:numPr>
        <w:spacing w:after="80"/>
      </w:pPr>
      <w:r>
        <w:t>Incluir hitos como puntos de control (</w:t>
      </w:r>
      <w:proofErr w:type="spellStart"/>
      <w:r>
        <w:t>diamonds</w:t>
      </w:r>
      <w:proofErr w:type="spellEnd"/>
      <w:r>
        <w:t xml:space="preserve"> en la mayoría de herramientas).</w:t>
      </w:r>
    </w:p>
    <w:p w14:paraId="24808C83" w14:textId="77777777" w:rsidR="00CD2C6D" w:rsidRDefault="00887AE1">
      <w:pPr>
        <w:pStyle w:val="Prrafodelista"/>
        <w:numPr>
          <w:ilvl w:val="0"/>
          <w:numId w:val="2"/>
        </w:numPr>
        <w:spacing w:after="80"/>
      </w:pPr>
      <w:r>
        <w:t>Reservar al menos un 15-20% de tiempo adicional como margen de contingencia en cada fase.</w:t>
      </w:r>
    </w:p>
    <w:p w14:paraId="729B3D6D" w14:textId="77777777" w:rsidR="00CD2C6D" w:rsidRDefault="00887AE1">
      <w:pPr>
        <w:pStyle w:val="Prrafodelista"/>
        <w:numPr>
          <w:ilvl w:val="0"/>
          <w:numId w:val="2"/>
        </w:numPr>
        <w:spacing w:after="80"/>
      </w:pPr>
      <w:r>
        <w:lastRenderedPageBreak/>
        <w:t>Revisar el Gantt con el tutor al inicio del trabajo para validar la planificación temporal.</w:t>
      </w:r>
    </w:p>
    <w:p w14:paraId="48907582" w14:textId="77777777" w:rsidR="00CD2C6D" w:rsidRDefault="00CD2C6D">
      <w:pPr>
        <w:spacing w:after="120"/>
      </w:pPr>
    </w:p>
    <w:p w14:paraId="68F8E041" w14:textId="77777777" w:rsidR="00CD2C6D" w:rsidRDefault="00887AE1">
      <w:pPr>
        <w:pStyle w:val="Ttulo3"/>
      </w:pPr>
      <w:r>
        <w:t>1.5.3 Tabla de riesgos y mitigaciones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412"/>
        <w:gridCol w:w="967"/>
        <w:gridCol w:w="2150"/>
        <w:gridCol w:w="2135"/>
      </w:tblGrid>
      <w:tr w:rsidR="00CD2C6D" w14:paraId="3FE8D4EA" w14:textId="77777777">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2EC00A43" w14:textId="77777777" w:rsidR="00CD2C6D" w:rsidRDefault="00887AE1">
            <w:pPr>
              <w:jc w:val="center"/>
            </w:pPr>
            <w:r>
              <w:rPr>
                <w:b/>
                <w:bCs/>
                <w:color w:val="FFFFFF"/>
                <w:sz w:val="20"/>
                <w:szCs w:val="20"/>
              </w:rPr>
              <w:t>Riesgo identificado</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18566E5B" w14:textId="77777777" w:rsidR="00CD2C6D" w:rsidRDefault="00887AE1">
            <w:pPr>
              <w:jc w:val="center"/>
            </w:pPr>
            <w:r>
              <w:rPr>
                <w:b/>
                <w:bCs/>
                <w:color w:val="FFFFFF"/>
                <w:sz w:val="20"/>
                <w:szCs w:val="20"/>
              </w:rPr>
              <w:t>Probabilidad</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46D44D82" w14:textId="77777777" w:rsidR="00CD2C6D" w:rsidRDefault="00887AE1">
            <w:pPr>
              <w:jc w:val="center"/>
            </w:pPr>
            <w:r>
              <w:rPr>
                <w:b/>
                <w:bCs/>
                <w:color w:val="FFFFFF"/>
                <w:sz w:val="20"/>
                <w:szCs w:val="20"/>
              </w:rPr>
              <w:t>Impacto</w:t>
            </w:r>
          </w:p>
        </w:tc>
        <w:tc>
          <w:tcPr>
            <w:tcW w:w="236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59AE53C2" w14:textId="77777777" w:rsidR="00CD2C6D" w:rsidRDefault="00887AE1">
            <w:pPr>
              <w:jc w:val="center"/>
            </w:pPr>
            <w:r>
              <w:rPr>
                <w:b/>
                <w:bCs/>
                <w:color w:val="FFFFFF"/>
                <w:sz w:val="20"/>
                <w:szCs w:val="20"/>
              </w:rPr>
              <w:t>Plan de mitigación</w:t>
            </w:r>
          </w:p>
        </w:tc>
        <w:tc>
          <w:tcPr>
            <w:tcW w:w="236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center"/>
          </w:tcPr>
          <w:p w14:paraId="0FD02A06" w14:textId="77777777" w:rsidR="00CD2C6D" w:rsidRDefault="00887AE1">
            <w:pPr>
              <w:jc w:val="center"/>
            </w:pPr>
            <w:r>
              <w:rPr>
                <w:b/>
                <w:bCs/>
                <w:color w:val="FFFFFF"/>
                <w:sz w:val="20"/>
                <w:szCs w:val="20"/>
              </w:rPr>
              <w:t>Plan de contingencia</w:t>
            </w:r>
          </w:p>
        </w:tc>
      </w:tr>
      <w:tr w:rsidR="00CD2C6D" w14:paraId="55056DC0"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23CD957" w14:textId="77777777" w:rsidR="00CD2C6D" w:rsidRDefault="00887AE1">
            <w:r>
              <w:rPr>
                <w:sz w:val="20"/>
                <w:szCs w:val="20"/>
              </w:rPr>
              <w:t>Problemas de acceso o descarga de datos (TCGA/METABRIC)</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36AD19F" w14:textId="77777777" w:rsidR="00CD2C6D" w:rsidRDefault="00887AE1">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3F893A2" w14:textId="77777777" w:rsidR="00CD2C6D" w:rsidRDefault="00887AE1">
            <w:r>
              <w:rPr>
                <w:sz w:val="20"/>
                <w:szCs w:val="20"/>
              </w:rPr>
              <w:t>Alto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4483A5" w14:textId="77777777" w:rsidR="00CD2C6D" w:rsidRDefault="00887AE1">
            <w:r>
              <w:rPr>
                <w:sz w:val="20"/>
                <w:szCs w:val="20"/>
              </w:rPr>
              <w:t>Consultar documentación oficial; usar herramientas de descarga alternativas (</w:t>
            </w:r>
            <w:proofErr w:type="spellStart"/>
            <w:r>
              <w:rPr>
                <w:sz w:val="20"/>
                <w:szCs w:val="20"/>
              </w:rPr>
              <w:t>TCGAbiolinks</w:t>
            </w:r>
            <w:proofErr w:type="spellEnd"/>
            <w:r>
              <w:rPr>
                <w:sz w:val="20"/>
                <w:szCs w:val="20"/>
              </w:rPr>
              <w:t xml:space="preserve">, </w:t>
            </w:r>
            <w:proofErr w:type="spellStart"/>
            <w:r>
              <w:rPr>
                <w:sz w:val="20"/>
                <w:szCs w:val="20"/>
              </w:rPr>
              <w:t>cBioPortal</w:t>
            </w:r>
            <w:proofErr w:type="spellEnd"/>
            <w:r>
              <w:rPr>
                <w:sz w:val="20"/>
                <w:szCs w:val="20"/>
              </w:rPr>
              <w:t xml:space="preserve"> API)</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097B29F6" w14:textId="77777777" w:rsidR="00CD2C6D" w:rsidRDefault="00887AE1">
            <w:r>
              <w:rPr>
                <w:sz w:val="20"/>
                <w:szCs w:val="20"/>
              </w:rPr>
              <w:t xml:space="preserve">Usar versión </w:t>
            </w:r>
            <w:proofErr w:type="spellStart"/>
            <w:r>
              <w:rPr>
                <w:sz w:val="20"/>
                <w:szCs w:val="20"/>
              </w:rPr>
              <w:t>pre-procesada</w:t>
            </w:r>
            <w:proofErr w:type="spellEnd"/>
            <w:r>
              <w:rPr>
                <w:sz w:val="20"/>
                <w:szCs w:val="20"/>
              </w:rPr>
              <w:t xml:space="preserve"> disponible en repositorios de referencia (</w:t>
            </w:r>
            <w:proofErr w:type="spellStart"/>
            <w:r>
              <w:rPr>
                <w:sz w:val="20"/>
                <w:szCs w:val="20"/>
              </w:rPr>
              <w:t>Synapse</w:t>
            </w:r>
            <w:proofErr w:type="spellEnd"/>
            <w:r>
              <w:rPr>
                <w:sz w:val="20"/>
                <w:szCs w:val="20"/>
              </w:rPr>
              <w:t>, GEO)</w:t>
            </w:r>
          </w:p>
        </w:tc>
      </w:tr>
      <w:tr w:rsidR="00CD2C6D" w14:paraId="5591F9A8" w14:textId="77777777">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C503F1B" w14:textId="77777777" w:rsidR="00CD2C6D" w:rsidRDefault="00887AE1">
            <w:r>
              <w:rPr>
                <w:sz w:val="20"/>
                <w:szCs w:val="20"/>
              </w:rPr>
              <w:t>Alta dimensionalidad que dificulte convergencia de modelos</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D91DF47" w14:textId="77777777" w:rsidR="00CD2C6D" w:rsidRDefault="00887AE1">
            <w:r>
              <w:rPr>
                <w:sz w:val="20"/>
                <w:szCs w:val="20"/>
              </w:rPr>
              <w:t>Alta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02F72EC" w14:textId="77777777" w:rsidR="00CD2C6D" w:rsidRDefault="00887AE1">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57589030" w14:textId="77777777" w:rsidR="00CD2C6D" w:rsidRDefault="00887AE1">
            <w:r>
              <w:rPr>
                <w:sz w:val="20"/>
                <w:szCs w:val="20"/>
              </w:rPr>
              <w:t>Aplicar reducción dimensional previa (PCA, LASSO, selección por varianza)</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BA07413" w14:textId="77777777" w:rsidR="00CD2C6D" w:rsidRDefault="00887AE1">
            <w:r>
              <w:rPr>
                <w:sz w:val="20"/>
                <w:szCs w:val="20"/>
              </w:rPr>
              <w:t>Limitar el análisis a un subconjunto de genes validados en la literatura</w:t>
            </w:r>
          </w:p>
        </w:tc>
      </w:tr>
      <w:tr w:rsidR="00CD2C6D" w14:paraId="526D6BAF"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C238C81" w14:textId="77777777" w:rsidR="00CD2C6D" w:rsidRDefault="00887AE1">
            <w:r>
              <w:rPr>
                <w:sz w:val="20"/>
                <w:szCs w:val="20"/>
              </w:rPr>
              <w:t xml:space="preserve">Bajo número de eventos en algún </w:t>
            </w:r>
            <w:proofErr w:type="spellStart"/>
            <w:r>
              <w:rPr>
                <w:sz w:val="20"/>
                <w:szCs w:val="20"/>
              </w:rPr>
              <w:t>dataset</w:t>
            </w:r>
            <w:proofErr w:type="spellEnd"/>
            <w:r>
              <w:rPr>
                <w:sz w:val="20"/>
                <w:szCs w:val="20"/>
              </w:rPr>
              <w:t xml:space="preserve"> (pocos fallecimientos registrados)</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5AD20EF9" w14:textId="77777777" w:rsidR="00CD2C6D" w:rsidRDefault="00887AE1">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79545B1" w14:textId="77777777" w:rsidR="00CD2C6D" w:rsidRDefault="00887AE1">
            <w:r>
              <w:rPr>
                <w:sz w:val="20"/>
                <w:szCs w:val="20"/>
              </w:rPr>
              <w:t>Alto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449F6BF8" w14:textId="77777777" w:rsidR="00CD2C6D" w:rsidRDefault="00887AE1">
            <w:r>
              <w:rPr>
                <w:sz w:val="20"/>
                <w:szCs w:val="20"/>
              </w:rPr>
              <w:t>Verificar tasas de evento antes de comenzar el análisis; ajustar el horizonte temporal de seguimiento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2FDECAD" w14:textId="77777777" w:rsidR="00CD2C6D" w:rsidRDefault="00887AE1">
            <w:r>
              <w:rPr>
                <w:sz w:val="20"/>
                <w:szCs w:val="20"/>
              </w:rPr>
              <w:t xml:space="preserve">Combinar </w:t>
            </w:r>
            <w:proofErr w:type="spellStart"/>
            <w:r>
              <w:rPr>
                <w:sz w:val="20"/>
                <w:szCs w:val="20"/>
              </w:rPr>
              <w:t>endpoints</w:t>
            </w:r>
            <w:proofErr w:type="spellEnd"/>
            <w:r>
              <w:rPr>
                <w:sz w:val="20"/>
                <w:szCs w:val="20"/>
              </w:rPr>
              <w:t xml:space="preserve"> (muerte + recurrencia); o enfocar el análisis en supervivencia libre de enfermedad</w:t>
            </w:r>
          </w:p>
        </w:tc>
      </w:tr>
      <w:tr w:rsidR="00CD2C6D" w14:paraId="3E417305" w14:textId="77777777">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AC8F350" w14:textId="77777777" w:rsidR="00CD2C6D" w:rsidRDefault="00887AE1">
            <w:r>
              <w:rPr>
                <w:sz w:val="20"/>
                <w:szCs w:val="20"/>
              </w:rPr>
              <w:t xml:space="preserve">Tiempo de entrenamiento excesivo para modelos de </w:t>
            </w:r>
            <w:proofErr w:type="spellStart"/>
            <w:r>
              <w:rPr>
                <w:sz w:val="20"/>
                <w:szCs w:val="20"/>
              </w:rPr>
              <w:t>deep</w:t>
            </w:r>
            <w:proofErr w:type="spellEnd"/>
            <w:r>
              <w:rPr>
                <w:sz w:val="20"/>
                <w:szCs w:val="20"/>
              </w:rPr>
              <w:t xml:space="preserve"> </w:t>
            </w:r>
            <w:proofErr w:type="spellStart"/>
            <w:r>
              <w:rPr>
                <w:sz w:val="20"/>
                <w:szCs w:val="20"/>
              </w:rPr>
              <w:t>learning</w:t>
            </w:r>
            <w:proofErr w:type="spellEnd"/>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1A2B1CA1" w14:textId="77777777" w:rsidR="00CD2C6D" w:rsidRDefault="00887AE1">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2F61ACB" w14:textId="77777777" w:rsidR="00CD2C6D" w:rsidRDefault="00887AE1">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366E8A1B" w14:textId="77777777" w:rsidR="00CD2C6D" w:rsidRDefault="00887AE1">
            <w:r>
              <w:rPr>
                <w:sz w:val="20"/>
                <w:szCs w:val="20"/>
              </w:rPr>
              <w:t xml:space="preserve">Usar GPU de Google </w:t>
            </w:r>
            <w:proofErr w:type="spellStart"/>
            <w:r>
              <w:rPr>
                <w:sz w:val="20"/>
                <w:szCs w:val="20"/>
              </w:rPr>
              <w:t>Colab</w:t>
            </w:r>
            <w:proofErr w:type="spellEnd"/>
            <w:r>
              <w:rPr>
                <w:sz w:val="20"/>
                <w:szCs w:val="20"/>
              </w:rPr>
              <w:t xml:space="preserve"> Pro / </w:t>
            </w:r>
            <w:proofErr w:type="spellStart"/>
            <w:r>
              <w:rPr>
                <w:sz w:val="20"/>
                <w:szCs w:val="20"/>
              </w:rPr>
              <w:t>Kaggle</w:t>
            </w:r>
            <w:proofErr w:type="spellEnd"/>
            <w:r>
              <w:rPr>
                <w:sz w:val="20"/>
                <w:szCs w:val="20"/>
              </w:rPr>
              <w:t xml:space="preserve"> Notebooks; limitar número de épocas y usar </w:t>
            </w:r>
            <w:proofErr w:type="spellStart"/>
            <w:r>
              <w:rPr>
                <w:sz w:val="20"/>
                <w:szCs w:val="20"/>
              </w:rPr>
              <w:t>early</w:t>
            </w:r>
            <w:proofErr w:type="spellEnd"/>
            <w:r>
              <w:rPr>
                <w:sz w:val="20"/>
                <w:szCs w:val="20"/>
              </w:rPr>
              <w:t xml:space="preserve"> </w:t>
            </w:r>
            <w:proofErr w:type="spellStart"/>
            <w:r>
              <w:rPr>
                <w:sz w:val="20"/>
                <w:szCs w:val="20"/>
              </w:rPr>
              <w:t>stopping</w:t>
            </w:r>
            <w:proofErr w:type="spellEnd"/>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9B4F5AB" w14:textId="77777777" w:rsidR="00CD2C6D" w:rsidRDefault="00887AE1">
            <w:r>
              <w:rPr>
                <w:sz w:val="20"/>
                <w:szCs w:val="20"/>
              </w:rPr>
              <w:t xml:space="preserve">Simplificar la arquitectura de </w:t>
            </w:r>
            <w:proofErr w:type="spellStart"/>
            <w:r>
              <w:rPr>
                <w:sz w:val="20"/>
                <w:szCs w:val="20"/>
              </w:rPr>
              <w:t>DeepSurv</w:t>
            </w:r>
            <w:proofErr w:type="spellEnd"/>
            <w:r>
              <w:rPr>
                <w:sz w:val="20"/>
                <w:szCs w:val="20"/>
              </w:rPr>
              <w:t xml:space="preserve"> o priorizar RSF como modelo complejo principal</w:t>
            </w:r>
          </w:p>
        </w:tc>
      </w:tr>
      <w:tr w:rsidR="00CD2C6D" w14:paraId="58E91423" w14:textId="77777777">
        <w:tc>
          <w:tcPr>
            <w:tcW w:w="25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6FE64EBF" w14:textId="77777777" w:rsidR="00CD2C6D" w:rsidRDefault="00887AE1">
            <w:r>
              <w:rPr>
                <w:sz w:val="20"/>
                <w:szCs w:val="20"/>
              </w:rPr>
              <w:t>Divergencia metodológica entre TCGA y METABRIC que dificulte la comparación</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167DD9C" w14:textId="77777777" w:rsidR="00CD2C6D" w:rsidRDefault="00887AE1">
            <w:r>
              <w:rPr>
                <w:sz w:val="20"/>
                <w:szCs w:val="20"/>
              </w:rPr>
              <w:t>Media</w:t>
            </w:r>
          </w:p>
        </w:tc>
        <w:tc>
          <w:tcPr>
            <w:tcW w:w="90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38AD9CFD" w14:textId="77777777" w:rsidR="00CD2C6D" w:rsidRDefault="00887AE1">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776C5E5D" w14:textId="77777777" w:rsidR="00CD2C6D" w:rsidRDefault="00887AE1">
            <w:r>
              <w:rPr>
                <w:sz w:val="20"/>
                <w:szCs w:val="20"/>
              </w:rPr>
              <w:t xml:space="preserve">Documentar diferencias en protocolos de recogida; realizar análisis de </w:t>
            </w:r>
            <w:proofErr w:type="spellStart"/>
            <w:r>
              <w:rPr>
                <w:sz w:val="20"/>
                <w:szCs w:val="20"/>
              </w:rPr>
              <w:t>batch</w:t>
            </w:r>
            <w:proofErr w:type="spellEnd"/>
            <w:r>
              <w:rPr>
                <w:sz w:val="20"/>
                <w:szCs w:val="20"/>
              </w:rPr>
              <w:t xml:space="preserve"> </w:t>
            </w:r>
            <w:proofErr w:type="spellStart"/>
            <w:r>
              <w:rPr>
                <w:sz w:val="20"/>
                <w:szCs w:val="20"/>
              </w:rPr>
              <w:t>effect</w:t>
            </w:r>
            <w:proofErr w:type="spellEnd"/>
          </w:p>
        </w:tc>
        <w:tc>
          <w:tcPr>
            <w:tcW w:w="236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tcPr>
          <w:p w14:paraId="136D086E" w14:textId="77777777" w:rsidR="00CD2C6D" w:rsidRDefault="00887AE1">
            <w:r>
              <w:rPr>
                <w:sz w:val="20"/>
                <w:szCs w:val="20"/>
              </w:rPr>
              <w:t>Centrar el análisis comparativo en variables comunes y bien caracterizadas en ambos datasets</w:t>
            </w:r>
          </w:p>
        </w:tc>
      </w:tr>
      <w:tr w:rsidR="00CD2C6D" w14:paraId="599BFE8D" w14:textId="77777777">
        <w:tc>
          <w:tcPr>
            <w:tcW w:w="25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0B67B0E" w14:textId="77777777" w:rsidR="00CD2C6D" w:rsidRDefault="00887AE1">
            <w:r>
              <w:rPr>
                <w:sz w:val="20"/>
                <w:szCs w:val="20"/>
              </w:rPr>
              <w:t>Dificultades en la redacción y estructura de la memoria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739B709F" w14:textId="77777777" w:rsidR="00CD2C6D" w:rsidRDefault="00887AE1">
            <w:r>
              <w:rPr>
                <w:sz w:val="20"/>
                <w:szCs w:val="20"/>
              </w:rPr>
              <w:t>Baja</w:t>
            </w:r>
          </w:p>
        </w:tc>
        <w:tc>
          <w:tcPr>
            <w:tcW w:w="90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2D3C67DE" w14:textId="77777777" w:rsidR="00CD2C6D" w:rsidRDefault="00887AE1">
            <w:r>
              <w:rPr>
                <w:sz w:val="20"/>
                <w:szCs w:val="20"/>
              </w:rPr>
              <w:t>Medio</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01698871" w14:textId="77777777" w:rsidR="00CD2C6D" w:rsidRDefault="00887AE1">
            <w:r>
              <w:rPr>
                <w:sz w:val="20"/>
                <w:szCs w:val="20"/>
              </w:rPr>
              <w:t>Seguir la estructura definida en este Capítulo 1; mantener reuniones regulares con el tutor</w:t>
            </w:r>
          </w:p>
        </w:tc>
        <w:tc>
          <w:tcPr>
            <w:tcW w:w="236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tcPr>
          <w:p w14:paraId="48A413E4" w14:textId="77777777" w:rsidR="00CD2C6D" w:rsidRDefault="00887AE1">
            <w:r>
              <w:rPr>
                <w:sz w:val="20"/>
                <w:szCs w:val="20"/>
              </w:rPr>
              <w:t>Usar plantillas académicas y ejemplos de TFM anteriores aprobados en el máster</w:t>
            </w:r>
          </w:p>
        </w:tc>
      </w:tr>
    </w:tbl>
    <w:p w14:paraId="50813BAB" w14:textId="77777777" w:rsidR="00CD2C6D" w:rsidRDefault="00CD2C6D">
      <w:pPr>
        <w:spacing w:after="120"/>
      </w:pPr>
    </w:p>
    <w:p w14:paraId="08DADDCD" w14:textId="77777777" w:rsidR="00CD2C6D" w:rsidRDefault="00887AE1">
      <w:r>
        <w:br w:type="page"/>
      </w:r>
    </w:p>
    <w:p w14:paraId="4F7BAA4F" w14:textId="77777777" w:rsidR="00CD2C6D" w:rsidRDefault="00887AE1">
      <w:pPr>
        <w:pStyle w:val="Ttulo2"/>
      </w:pPr>
      <w:r>
        <w:lastRenderedPageBreak/>
        <w:t>1.6 Breve sumario de productos obtenidos</w:t>
      </w:r>
    </w:p>
    <w:p w14:paraId="56417250" w14:textId="77777777" w:rsidR="00CD2C6D" w:rsidRDefault="00887AE1">
      <w:pPr>
        <w:spacing w:after="160"/>
        <w:jc w:val="both"/>
      </w:pPr>
      <w:r>
        <w:t>El presente TFM generará los siguientes productos concretos y verificables:</w:t>
      </w:r>
    </w:p>
    <w:p w14:paraId="27CB4A32" w14:textId="77777777" w:rsidR="00CD2C6D" w:rsidRDefault="00CD2C6D">
      <w:pPr>
        <w:spacing w:after="120"/>
      </w:pPr>
    </w:p>
    <w:p w14:paraId="3CEA1F8E" w14:textId="77777777" w:rsidR="00CD2C6D" w:rsidRDefault="00887AE1">
      <w:pPr>
        <w:pStyle w:val="Prrafodelista"/>
        <w:numPr>
          <w:ilvl w:val="0"/>
          <w:numId w:val="2"/>
        </w:numPr>
        <w:spacing w:after="80"/>
      </w:pPr>
      <w:r>
        <w:t xml:space="preserve">Modelos de supervivencia entrenados: Se obtendrán al menos cuatro modelos entrenados y evaluados (Kaplan-Meier, Cox PH, </w:t>
      </w:r>
      <w:proofErr w:type="spellStart"/>
      <w:r>
        <w:t>Random</w:t>
      </w:r>
      <w:proofErr w:type="spellEnd"/>
      <w:r>
        <w:t xml:space="preserve"> </w:t>
      </w:r>
      <w:proofErr w:type="spellStart"/>
      <w:r>
        <w:t>Survival</w:t>
      </w:r>
      <w:proofErr w:type="spellEnd"/>
      <w:r>
        <w:t xml:space="preserve"> Forest y </w:t>
      </w:r>
      <w:proofErr w:type="spellStart"/>
      <w:r>
        <w:t>DeepSurv</w:t>
      </w:r>
      <w:proofErr w:type="spellEnd"/>
      <w:r>
        <w:t xml:space="preserve">) sobre dos conjuntos de datos (TCGA y METABRIC), para un total de hasta ocho configuraciones evaluadas. Los modelos serán serializados (formato </w:t>
      </w:r>
      <w:proofErr w:type="spellStart"/>
      <w:r>
        <w:t>pickle</w:t>
      </w:r>
      <w:proofErr w:type="spellEnd"/>
      <w:r>
        <w:t xml:space="preserve"> o similar) para su reproducibilidad.</w:t>
      </w:r>
    </w:p>
    <w:p w14:paraId="7CC957AF" w14:textId="77777777" w:rsidR="00CD2C6D" w:rsidRDefault="00887AE1">
      <w:pPr>
        <w:pStyle w:val="Prrafodelista"/>
        <w:numPr>
          <w:ilvl w:val="0"/>
          <w:numId w:val="2"/>
        </w:numPr>
        <w:spacing w:after="80"/>
      </w:pPr>
      <w:r>
        <w:t xml:space="preserve">Código reproducible y documentado: Se desarrollará un repositorio GitHub que incluirá scripts de preprocesamiento, notebooks de análisis exploratorio, implementación de modelos, evaluación y visualización. El repositorio seguirá estándares de reproducibilidad (requirements.txt, entornos </w:t>
      </w:r>
      <w:proofErr w:type="spellStart"/>
      <w:r>
        <w:t>conda</w:t>
      </w:r>
      <w:proofErr w:type="spellEnd"/>
      <w:r>
        <w:t>/</w:t>
      </w:r>
      <w:proofErr w:type="spellStart"/>
      <w:r>
        <w:t>pip</w:t>
      </w:r>
      <w:proofErr w:type="spellEnd"/>
      <w:r>
        <w:t>, instrucciones claras de ejecución).</w:t>
      </w:r>
    </w:p>
    <w:p w14:paraId="5335D141" w14:textId="77777777" w:rsidR="00CD2C6D" w:rsidRDefault="00887AE1">
      <w:pPr>
        <w:pStyle w:val="Prrafodelista"/>
        <w:numPr>
          <w:ilvl w:val="0"/>
          <w:numId w:val="2"/>
        </w:numPr>
        <w:spacing w:after="80"/>
      </w:pPr>
      <w:r>
        <w:t>Análisis comparativo entre modelos y datasets: Se producirá un análisis sistemático que compare el rendimiento de cada modelo en términos de C-</w:t>
      </w:r>
      <w:proofErr w:type="spellStart"/>
      <w:r>
        <w:t>index</w:t>
      </w:r>
      <w:proofErr w:type="spellEnd"/>
      <w:r>
        <w:t xml:space="preserve">, </w:t>
      </w:r>
      <w:proofErr w:type="spellStart"/>
      <w:r>
        <w:t>Brier</w:t>
      </w:r>
      <w:proofErr w:type="spellEnd"/>
      <w:r>
        <w:t xml:space="preserve"> Score y log-</w:t>
      </w:r>
      <w:proofErr w:type="spellStart"/>
      <w:r>
        <w:t>rank</w:t>
      </w:r>
      <w:proofErr w:type="spellEnd"/>
      <w:r>
        <w:t xml:space="preserve"> test, tanto dentro de cada </w:t>
      </w:r>
      <w:proofErr w:type="spellStart"/>
      <w:r>
        <w:t>dataset</w:t>
      </w:r>
      <w:proofErr w:type="spellEnd"/>
      <w:r>
        <w:t xml:space="preserve"> (validación cruzada interna) como entre datasets (validación externa cruzada).</w:t>
      </w:r>
    </w:p>
    <w:p w14:paraId="52A98E0B" w14:textId="77777777" w:rsidR="00CD2C6D" w:rsidRDefault="00887AE1">
      <w:pPr>
        <w:pStyle w:val="Prrafodelista"/>
        <w:numPr>
          <w:ilvl w:val="0"/>
          <w:numId w:val="2"/>
        </w:numPr>
        <w:spacing w:after="80"/>
      </w:pPr>
      <w:r>
        <w:t>Visualizaciones: Se generarán curvas de Kaplan-Meier estratificadas, gráficos de importancia de variables, mapas de calor de correlaciones genómicas, curvas de calibración y gráficos comparativos de métricas de evaluación. Se buscará que todas las figuras sean reproducibles desde el repositorio.</w:t>
      </w:r>
    </w:p>
    <w:p w14:paraId="4DBB1742" w14:textId="77777777" w:rsidR="00CD2C6D" w:rsidRDefault="00887AE1">
      <w:pPr>
        <w:pStyle w:val="Prrafodelista"/>
        <w:numPr>
          <w:ilvl w:val="0"/>
          <w:numId w:val="2"/>
        </w:numPr>
        <w:spacing w:after="80"/>
      </w:pPr>
      <w:r>
        <w:t>Repositorio público (GitHub): Además del código, el repositorio incluirá la documentación técnica del proyecto (README extendido), los archivos de configuración y las instrucciones para reproducir los resultados. Los datos no serán incluidos directamente por motivos de licencia, pero se indicarán las instrucciones para su descarga.</w:t>
      </w:r>
    </w:p>
    <w:p w14:paraId="1D7821F6" w14:textId="77777777" w:rsidR="00CD2C6D" w:rsidRDefault="00887AE1">
      <w:pPr>
        <w:pStyle w:val="Prrafodelista"/>
        <w:numPr>
          <w:ilvl w:val="0"/>
          <w:numId w:val="2"/>
        </w:numPr>
        <w:spacing w:after="80"/>
      </w:pPr>
      <w:r>
        <w:t>Memoria académica completa (TFM): El producto central del trabajo será la memoria escrita, estructurada en siete capítulos, que documentará de forma rigurosa todo el proceso de investigación, desde la justificación hasta las conclusiones y las recomendaciones para trabajos futuros.</w:t>
      </w:r>
    </w:p>
    <w:p w14:paraId="24BB8BD2" w14:textId="77777777" w:rsidR="00CD2C6D" w:rsidRDefault="00CD2C6D">
      <w:pPr>
        <w:spacing w:after="120"/>
      </w:pPr>
    </w:p>
    <w:p w14:paraId="49EFCCA2" w14:textId="77777777" w:rsidR="00CD2C6D" w:rsidRDefault="00887AE1">
      <w:r>
        <w:br w:type="page"/>
      </w:r>
    </w:p>
    <w:p w14:paraId="0F8A386C" w14:textId="77777777" w:rsidR="00CD2C6D" w:rsidRDefault="00887AE1">
      <w:pPr>
        <w:pStyle w:val="Ttulo2"/>
      </w:pPr>
      <w:r>
        <w:lastRenderedPageBreak/>
        <w:t>1.7 Breve descripción de los otros capítulos</w:t>
      </w:r>
    </w:p>
    <w:p w14:paraId="44A34B58" w14:textId="77777777" w:rsidR="00CD2C6D" w:rsidRDefault="00887AE1">
      <w:pPr>
        <w:spacing w:after="160"/>
        <w:jc w:val="both"/>
      </w:pPr>
      <w:r>
        <w:t>La memoria del TFM se organiza en siete capítulos cuya estructura y contenido se describe a continuación:</w:t>
      </w:r>
    </w:p>
    <w:p w14:paraId="478E4D14" w14:textId="77777777" w:rsidR="00CD2C6D" w:rsidRDefault="00CD2C6D">
      <w:pPr>
        <w:spacing w:after="120"/>
      </w:pPr>
    </w:p>
    <w:p w14:paraId="392FD780" w14:textId="77777777" w:rsidR="00CD2C6D" w:rsidRDefault="00887AE1">
      <w:pPr>
        <w:pStyle w:val="Prrafodelista"/>
        <w:numPr>
          <w:ilvl w:val="0"/>
          <w:numId w:val="2"/>
        </w:numPr>
        <w:spacing w:after="80"/>
      </w:pPr>
      <w:r>
        <w:t xml:space="preserve">Capítulo 2 – Estado del arte: Este capítulo realizará una revisión sistemática y actualizada de la literatura científica sobre análisis de supervivencia en oncología, con especial atención a los trabajos que incorporan datos genómicos. Se revisarán los fundamentos teóricos de los modelos utilizados, los datasets más empleados, las métricas de evaluación estándar y las limitaciones identificadas en estudios previos. Se incluirá una sección específica sobre los avances en modelos de aprendizaje automático y </w:t>
      </w:r>
      <w:proofErr w:type="spellStart"/>
      <w:r>
        <w:t>deep</w:t>
      </w:r>
      <w:proofErr w:type="spellEnd"/>
      <w:r>
        <w:t xml:space="preserve"> </w:t>
      </w:r>
      <w:proofErr w:type="spellStart"/>
      <w:r>
        <w:t>learning</w:t>
      </w:r>
      <w:proofErr w:type="spellEnd"/>
      <w:r>
        <w:t xml:space="preserve"> aplicados a la supervivencia oncológica, con énfasis en </w:t>
      </w:r>
      <w:proofErr w:type="spellStart"/>
      <w:r>
        <w:t>DeepSurv</w:t>
      </w:r>
      <w:proofErr w:type="spellEnd"/>
      <w:r>
        <w:t xml:space="preserve">, </w:t>
      </w:r>
      <w:proofErr w:type="spellStart"/>
      <w:r>
        <w:t>SurvivalNet</w:t>
      </w:r>
      <w:proofErr w:type="spellEnd"/>
      <w:r>
        <w:t xml:space="preserve"> y arquitecturas de </w:t>
      </w:r>
      <w:proofErr w:type="spellStart"/>
      <w:r>
        <w:t>transformers</w:t>
      </w:r>
      <w:proofErr w:type="spellEnd"/>
      <w:r>
        <w:t xml:space="preserve"> adaptadas al contexto.</w:t>
      </w:r>
    </w:p>
    <w:p w14:paraId="7B6B1E2A" w14:textId="77777777" w:rsidR="00CD2C6D" w:rsidRDefault="00CD2C6D">
      <w:pPr>
        <w:spacing w:after="120"/>
      </w:pPr>
    </w:p>
    <w:p w14:paraId="57713B33" w14:textId="77777777" w:rsidR="00CD2C6D" w:rsidRDefault="00887AE1">
      <w:pPr>
        <w:pStyle w:val="Prrafodelista"/>
        <w:numPr>
          <w:ilvl w:val="0"/>
          <w:numId w:val="2"/>
        </w:numPr>
        <w:spacing w:after="80"/>
      </w:pPr>
      <w:r>
        <w:t>Capítulo 3 – Datos: Este capítulo describirá en detalle los datasets utilizados (TCGA y METABRIC), incluyendo su origen, proceso de recogida, variables disponibles, estructura de los datos de supervivencia (tiempo al evento, indicador de censura), y el proceso completo de preprocesamiento y preparación de datos. Se documentarán todas las decisiones de limpieza, normalización, imputación y reducción dimensional, con justificación metodológica de cada elección. Se incluirán estadísticas descriptivas y visualizaciones exploratorias de ambas cohortes.</w:t>
      </w:r>
    </w:p>
    <w:p w14:paraId="2DF8FCCE" w14:textId="77777777" w:rsidR="00CD2C6D" w:rsidRDefault="00CD2C6D">
      <w:pPr>
        <w:spacing w:after="120"/>
      </w:pPr>
    </w:p>
    <w:p w14:paraId="4407262E" w14:textId="77777777" w:rsidR="00CD2C6D" w:rsidRDefault="00887AE1">
      <w:pPr>
        <w:pStyle w:val="Prrafodelista"/>
        <w:numPr>
          <w:ilvl w:val="0"/>
          <w:numId w:val="2"/>
        </w:numPr>
        <w:spacing w:after="80"/>
      </w:pPr>
      <w:r>
        <w:t xml:space="preserve">Capítulo 4 – Metodología: Este capítulo describirá con máximo detalle el diseño metodológico del estudio, incluyendo la formalización matemática de cada modelo de supervivencia implementado, los criterios de selección de </w:t>
      </w:r>
      <w:proofErr w:type="spellStart"/>
      <w:r>
        <w:t>hiperparámetros</w:t>
      </w:r>
      <w:proofErr w:type="spellEnd"/>
      <w:r>
        <w:t>, los procedimientos de validación cruzada y las métricas de evaluación. Se explicarán las decisiones de diseño adoptadas y su justificación. Se incluirá también la descripción del entorno tecnológico utilizado (lenguajes, librerías, infraestructura computacional).</w:t>
      </w:r>
    </w:p>
    <w:p w14:paraId="61508727" w14:textId="77777777" w:rsidR="00CD2C6D" w:rsidRDefault="00CD2C6D">
      <w:pPr>
        <w:spacing w:after="120"/>
      </w:pPr>
    </w:p>
    <w:p w14:paraId="695DD834" w14:textId="77777777" w:rsidR="00CD2C6D" w:rsidRDefault="00887AE1">
      <w:pPr>
        <w:pStyle w:val="Prrafodelista"/>
        <w:numPr>
          <w:ilvl w:val="0"/>
          <w:numId w:val="2"/>
        </w:numPr>
        <w:spacing w:after="80"/>
      </w:pPr>
      <w:r>
        <w:t xml:space="preserve">Capítulo 5 – Resultados: Este capítulo presentará los resultados empíricos del análisis en forma de tablas, figuras y estadísticas interpretadas. Se presentarán las curvas de supervivencia, las métricas de rendimiento de cada modelo en cada </w:t>
      </w:r>
      <w:proofErr w:type="spellStart"/>
      <w:r>
        <w:t>dataset</w:t>
      </w:r>
      <w:proofErr w:type="spellEnd"/>
      <w:r>
        <w:t>, los análisis de importancia de variables y los resultados de la validación cruzada interna y externa. La presentación será objetiva y sistemática, reservando la interpretación crítica para el capítulo de discusión.</w:t>
      </w:r>
    </w:p>
    <w:p w14:paraId="503C3874" w14:textId="77777777" w:rsidR="00CD2C6D" w:rsidRDefault="00CD2C6D">
      <w:pPr>
        <w:spacing w:after="120"/>
      </w:pPr>
    </w:p>
    <w:p w14:paraId="314E93C2" w14:textId="77777777" w:rsidR="00CD2C6D" w:rsidRDefault="00887AE1">
      <w:pPr>
        <w:pStyle w:val="Prrafodelista"/>
        <w:numPr>
          <w:ilvl w:val="0"/>
          <w:numId w:val="2"/>
        </w:numPr>
        <w:spacing w:after="80"/>
      </w:pPr>
      <w:r>
        <w:t>Capítulo 6 – Discusión: Este capítulo analizará e interpretará críticamente los resultados obtenidos, comparándolos con los reportados en la literatura científica de referencia. Se discutirán las fortalezas y limitaciones del trabajo, el grado en que se han alcanzado los objetivos planteados, las implicaciones clínicas potenciales de los hallazgos y las líneas de investigación futura más prometedoras derivadas del estudio.</w:t>
      </w:r>
    </w:p>
    <w:p w14:paraId="2E87363F" w14:textId="77777777" w:rsidR="00CD2C6D" w:rsidRDefault="00CD2C6D">
      <w:pPr>
        <w:spacing w:after="120"/>
      </w:pPr>
    </w:p>
    <w:p w14:paraId="1438CE47" w14:textId="77777777" w:rsidR="00CD2C6D" w:rsidRDefault="00887AE1">
      <w:pPr>
        <w:pStyle w:val="Prrafodelista"/>
        <w:numPr>
          <w:ilvl w:val="0"/>
          <w:numId w:val="2"/>
        </w:numPr>
        <w:spacing w:after="80"/>
      </w:pPr>
      <w:r>
        <w:t xml:space="preserve">Capítulo 7 – Conclusiones: Este capítulo sintetizará las principales aportaciones del TFM, respondiendo de forma directa a cada uno de los objetivos específicos planteados en el Capítulo 1. Se presentarán las conclusiones de mayor relevancia científica y metodológica, y se formulará una reflexión final sobre el </w:t>
      </w:r>
      <w:r>
        <w:lastRenderedPageBreak/>
        <w:t>valor del trabajo en el contexto de la medicina de precisión oncológica y la ciencia de datos biomédica.</w:t>
      </w:r>
    </w:p>
    <w:p w14:paraId="624E46E4" w14:textId="77777777" w:rsidR="00CD2C6D" w:rsidRDefault="00CD2C6D">
      <w:pPr>
        <w:spacing w:after="120"/>
      </w:pPr>
    </w:p>
    <w:p w14:paraId="70029582" w14:textId="77777777" w:rsidR="00CD2C6D" w:rsidRDefault="00887AE1">
      <w:r>
        <w:br w:type="page"/>
      </w:r>
    </w:p>
    <w:p w14:paraId="2E2E7FA8" w14:textId="77777777" w:rsidR="00CD2C6D" w:rsidRDefault="00887AE1">
      <w:pPr>
        <w:pStyle w:val="Ttulo2"/>
      </w:pPr>
      <w:r>
        <w:lastRenderedPageBreak/>
        <w:t>1.8 Declaración sobre uso de inteligencia artificial generativa</w:t>
      </w:r>
    </w:p>
    <w:p w14:paraId="48E42B5E" w14:textId="77777777" w:rsidR="00CD2C6D" w:rsidRDefault="00887AE1">
      <w:pPr>
        <w:spacing w:after="160"/>
        <w:jc w:val="both"/>
      </w:pPr>
      <w:r>
        <w:t>El/la autor/a del presente Trabajo de Fin de Máster declara lo siguiente en relación con el uso de herramientas de inteligencia artificial generativa (en adelante, IAG) durante la elaboración de este trabajo:</w:t>
      </w:r>
    </w:p>
    <w:p w14:paraId="74609F18" w14:textId="77777777" w:rsidR="00CD2C6D" w:rsidRDefault="00CD2C6D">
      <w:pPr>
        <w:spacing w:after="120"/>
      </w:pPr>
    </w:p>
    <w:p w14:paraId="39C455C7" w14:textId="77777777" w:rsidR="00CD2C6D" w:rsidRDefault="00887AE1">
      <w:pPr>
        <w:pStyle w:val="Prrafodelista"/>
        <w:numPr>
          <w:ilvl w:val="0"/>
          <w:numId w:val="2"/>
        </w:numPr>
        <w:spacing w:after="80"/>
      </w:pPr>
      <w:r>
        <w:t>Uso responsable y transparente: Durante el proceso de elaboración de este TFM se ha hecho uso de herramientas de IAG —concretamente [indicar herramientas utilizadas, p.ej.: Claude (</w:t>
      </w:r>
      <w:proofErr w:type="spellStart"/>
      <w:r>
        <w:t>Anthropic</w:t>
      </w:r>
      <w:proofErr w:type="spellEnd"/>
      <w:r>
        <w:t xml:space="preserve">), </w:t>
      </w:r>
      <w:proofErr w:type="spellStart"/>
      <w:r>
        <w:t>ChatGPT</w:t>
      </w:r>
      <w:proofErr w:type="spellEnd"/>
      <w:r>
        <w:t xml:space="preserve"> (</w:t>
      </w:r>
      <w:proofErr w:type="spellStart"/>
      <w:r>
        <w:t>OpenAI</w:t>
      </w:r>
      <w:proofErr w:type="spellEnd"/>
      <w:r>
        <w:t>) u otras]— como apoyo en tareas de escritura académica, revisión estilística, búsqueda de referencias bibliográficas y estructuración del contenido. El uso de estas herramientas ha sido en todo momento consciente, declarado y subordinado al criterio intelectual del autor/a.</w:t>
      </w:r>
    </w:p>
    <w:p w14:paraId="3C1B8916" w14:textId="77777777" w:rsidR="00CD2C6D" w:rsidRDefault="00887AE1">
      <w:pPr>
        <w:pStyle w:val="Prrafodelista"/>
        <w:numPr>
          <w:ilvl w:val="0"/>
          <w:numId w:val="2"/>
        </w:numPr>
        <w:spacing w:after="80"/>
      </w:pPr>
      <w:r>
        <w:t xml:space="preserve">Validación manual del contenido: Todo el contenido generado con ayuda de herramientas de IAG ha sido revisado, contrastado, editado y validado manualmente por el/la autor/a. En ningún caso se ha aceptado de forma acrítica el output de estas herramientas sin verificación. Las referencias bibliográficas sugeridas por herramientas de IAG han sido comprobadas en bases de datos académicas originales (PubMed, Google </w:t>
      </w:r>
      <w:proofErr w:type="spellStart"/>
      <w:r>
        <w:t>Scholar</w:t>
      </w:r>
      <w:proofErr w:type="spellEnd"/>
      <w:r>
        <w:t xml:space="preserve">, IEEE </w:t>
      </w:r>
      <w:proofErr w:type="spellStart"/>
      <w:r>
        <w:t>Xplore</w:t>
      </w:r>
      <w:proofErr w:type="spellEnd"/>
      <w:r>
        <w:t xml:space="preserve"> u otras) antes de su inclusión en el trabajo.</w:t>
      </w:r>
    </w:p>
    <w:p w14:paraId="0766EA03" w14:textId="77777777" w:rsidR="00CD2C6D" w:rsidRDefault="00887AE1">
      <w:pPr>
        <w:pStyle w:val="Prrafodelista"/>
        <w:numPr>
          <w:ilvl w:val="0"/>
          <w:numId w:val="2"/>
        </w:numPr>
        <w:spacing w:after="80"/>
      </w:pPr>
      <w:r>
        <w:t>Responsabilidad intelectual final: El/la autor/a asume plena y exclusiva responsabilidad intelectual y académica sobre la totalidad del contenido de este TFM, incluyendo las ideas, argumentaciones, análisis, interpretaciones de resultados y conclusiones presentadas. El uso de herramientas de IAG no exime al/a la autor/a de dicha responsabilidad, ni traslada la autoría del trabajo a dichas herramientas o a sus desarrolladores.</w:t>
      </w:r>
    </w:p>
    <w:p w14:paraId="122C207A" w14:textId="77777777" w:rsidR="00CD2C6D" w:rsidRDefault="00887AE1">
      <w:pPr>
        <w:pStyle w:val="Prrafodelista"/>
        <w:numPr>
          <w:ilvl w:val="0"/>
          <w:numId w:val="2"/>
        </w:numPr>
        <w:spacing w:after="80"/>
      </w:pPr>
      <w:r>
        <w:t>Conformidad con la normativa institucional: El uso de herramientas de IAG se ha realizado en conformidad con las directrices académicas vigentes en la institución donde se desarrolla el máster. En aquellos casos en que la normativa institucional establezca restricciones adicionales o requiera comunicación específica al/a la tutor/a, el/la autor/a declara haber cumplido con dichas obligaciones.</w:t>
      </w:r>
    </w:p>
    <w:p w14:paraId="41E6A251" w14:textId="77777777" w:rsidR="00CD2C6D" w:rsidRDefault="00CD2C6D">
      <w:pPr>
        <w:spacing w:after="120"/>
      </w:pPr>
    </w:p>
    <w:p w14:paraId="47EDC788" w14:textId="77777777" w:rsidR="00CD2C6D" w:rsidRDefault="00887AE1">
      <w:pPr>
        <w:spacing w:before="400" w:after="200"/>
        <w:jc w:val="right"/>
      </w:pPr>
      <w:r>
        <w:t>[Lugar], [Fecha]</w:t>
      </w:r>
    </w:p>
    <w:p w14:paraId="080C788A" w14:textId="77777777" w:rsidR="00CD2C6D" w:rsidRDefault="00887AE1">
      <w:pPr>
        <w:spacing w:after="80"/>
        <w:jc w:val="right"/>
      </w:pPr>
      <w:r>
        <w:t>Firmado:</w:t>
      </w:r>
    </w:p>
    <w:p w14:paraId="6178E839" w14:textId="77777777" w:rsidR="00CD2C6D" w:rsidRDefault="00887AE1">
      <w:pPr>
        <w:spacing w:after="80"/>
        <w:jc w:val="right"/>
      </w:pPr>
      <w:r>
        <w:rPr>
          <w:b/>
          <w:bCs/>
        </w:rPr>
        <w:t>[Nombre y apellidos del/la autor/a]</w:t>
      </w:r>
    </w:p>
    <w:p w14:paraId="7671C558" w14:textId="77777777" w:rsidR="00CD2C6D" w:rsidRDefault="00CD2C6D">
      <w:pPr>
        <w:spacing w:after="120"/>
      </w:pPr>
    </w:p>
    <w:p w14:paraId="05ACBDBA" w14:textId="77777777" w:rsidR="00CD2C6D" w:rsidRDefault="00887AE1">
      <w:r>
        <w:br w:type="page"/>
      </w:r>
    </w:p>
    <w:p w14:paraId="4EF74CAE" w14:textId="77777777" w:rsidR="00CD2C6D" w:rsidRDefault="00887AE1">
      <w:pPr>
        <w:pStyle w:val="Ttulo2"/>
      </w:pPr>
      <w:r>
        <w:lastRenderedPageBreak/>
        <w:t>Referencias bibliográficas sugeridas</w:t>
      </w:r>
    </w:p>
    <w:p w14:paraId="00458D53" w14:textId="77777777" w:rsidR="00CD2C6D" w:rsidRDefault="00887AE1">
      <w:pPr>
        <w:spacing w:after="160"/>
        <w:jc w:val="both"/>
      </w:pPr>
      <w:r>
        <w:t>(A completar por el/la autor/a con las referencias verificadas y formateadas según el estilo requerido por la institución, habitualmente APA 7ª edición o Vancouver.)</w:t>
      </w:r>
    </w:p>
    <w:p w14:paraId="074B6207" w14:textId="77777777" w:rsidR="00CD2C6D" w:rsidRDefault="00CD2C6D">
      <w:pPr>
        <w:spacing w:after="120"/>
      </w:pPr>
    </w:p>
    <w:p w14:paraId="71FC54D9" w14:textId="77777777" w:rsidR="00CD2C6D" w:rsidRDefault="00887AE1">
      <w:pPr>
        <w:pStyle w:val="Prrafodelista"/>
        <w:numPr>
          <w:ilvl w:val="0"/>
          <w:numId w:val="3"/>
        </w:numPr>
        <w:spacing w:after="80"/>
      </w:pPr>
      <w:r>
        <w:t xml:space="preserve">Kaplan, E. L., &amp; Meier, P. (1958). </w:t>
      </w:r>
      <w:proofErr w:type="spellStart"/>
      <w:r>
        <w:t>Nonparametric</w:t>
      </w:r>
      <w:proofErr w:type="spellEnd"/>
      <w:r>
        <w:t xml:space="preserve"> </w:t>
      </w:r>
      <w:proofErr w:type="spellStart"/>
      <w:r>
        <w:t>estimation</w:t>
      </w:r>
      <w:proofErr w:type="spellEnd"/>
      <w:r>
        <w:t xml:space="preserve"> </w:t>
      </w:r>
      <w:proofErr w:type="spellStart"/>
      <w:r>
        <w:t>from</w:t>
      </w:r>
      <w:proofErr w:type="spellEnd"/>
      <w:r>
        <w:t xml:space="preserve"> incomplete </w:t>
      </w:r>
      <w:proofErr w:type="spellStart"/>
      <w:r>
        <w:t>observations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Statistical</w:t>
      </w:r>
      <w:proofErr w:type="spellEnd"/>
      <w:r>
        <w:t xml:space="preserve"> </w:t>
      </w:r>
      <w:proofErr w:type="spellStart"/>
      <w:r>
        <w:t>Association</w:t>
      </w:r>
      <w:proofErr w:type="spellEnd"/>
      <w:r>
        <w:t>, 53(282), 457-481. https://doi.org/10.1080/01621459.1958.10501452</w:t>
      </w:r>
    </w:p>
    <w:p w14:paraId="784FFAC9" w14:textId="77777777" w:rsidR="00CD2C6D" w:rsidRDefault="00887AE1">
      <w:pPr>
        <w:pStyle w:val="Prrafodelista"/>
        <w:numPr>
          <w:ilvl w:val="0"/>
          <w:numId w:val="3"/>
        </w:numPr>
        <w:spacing w:after="80"/>
      </w:pPr>
      <w:r>
        <w:t xml:space="preserve">Cox, D. R. (1972). </w:t>
      </w:r>
      <w:proofErr w:type="spellStart"/>
      <w:r>
        <w:t>Regression</w:t>
      </w:r>
      <w:proofErr w:type="spellEnd"/>
      <w:r>
        <w:t xml:space="preserve"> </w:t>
      </w:r>
      <w:proofErr w:type="spellStart"/>
      <w:r>
        <w:t>models</w:t>
      </w:r>
      <w:proofErr w:type="spellEnd"/>
      <w:r>
        <w:t xml:space="preserve"> and </w:t>
      </w:r>
      <w:proofErr w:type="spellStart"/>
      <w:r>
        <w:t>life</w:t>
      </w:r>
      <w:proofErr w:type="spellEnd"/>
      <w:r>
        <w:t xml:space="preserve">-tables.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Royal </w:t>
      </w:r>
      <w:proofErr w:type="spellStart"/>
      <w:r>
        <w:t>Statistical</w:t>
      </w:r>
      <w:proofErr w:type="spellEnd"/>
      <w:r>
        <w:t xml:space="preserve"> </w:t>
      </w:r>
      <w:proofErr w:type="spellStart"/>
      <w:r>
        <w:t>Society</w:t>
      </w:r>
      <w:proofErr w:type="spellEnd"/>
      <w:r>
        <w:t>: Series B (</w:t>
      </w:r>
      <w:proofErr w:type="spellStart"/>
      <w:r>
        <w:t>Methodological</w:t>
      </w:r>
      <w:proofErr w:type="spellEnd"/>
      <w:r>
        <w:t>), 34(2), 187-202. https://doi.org/10.1111/j.2517-6161.1972.tb00899.x</w:t>
      </w:r>
    </w:p>
    <w:p w14:paraId="2F54EC94" w14:textId="77777777" w:rsidR="00CD2C6D" w:rsidRDefault="00887AE1">
      <w:pPr>
        <w:pStyle w:val="Prrafodelista"/>
        <w:numPr>
          <w:ilvl w:val="0"/>
          <w:numId w:val="3"/>
        </w:numPr>
        <w:spacing w:after="80"/>
      </w:pPr>
      <w:proofErr w:type="spellStart"/>
      <w:r>
        <w:t>Ishwaran</w:t>
      </w:r>
      <w:proofErr w:type="spellEnd"/>
      <w:r>
        <w:t xml:space="preserve">, H., </w:t>
      </w:r>
      <w:proofErr w:type="spellStart"/>
      <w:r>
        <w:t>Kogalur</w:t>
      </w:r>
      <w:proofErr w:type="spellEnd"/>
      <w:r>
        <w:t xml:space="preserve">, U. B., </w:t>
      </w:r>
      <w:proofErr w:type="spellStart"/>
      <w:r>
        <w:t>Blackstone</w:t>
      </w:r>
      <w:proofErr w:type="spellEnd"/>
      <w:r>
        <w:t xml:space="preserve">, E. H., &amp; Lauer, M. S. (2008). </w:t>
      </w:r>
      <w:proofErr w:type="spellStart"/>
      <w:r>
        <w:t>Random</w:t>
      </w:r>
      <w:proofErr w:type="spellEnd"/>
      <w:r>
        <w:t xml:space="preserve"> </w:t>
      </w:r>
      <w:proofErr w:type="spellStart"/>
      <w:r>
        <w:t>survival</w:t>
      </w:r>
      <w:proofErr w:type="spellEnd"/>
      <w:r>
        <w:t xml:space="preserve"> </w:t>
      </w:r>
      <w:proofErr w:type="spellStart"/>
      <w:r>
        <w:t>forests</w:t>
      </w:r>
      <w:proofErr w:type="spellEnd"/>
      <w:r>
        <w:t xml:space="preserve">. </w:t>
      </w:r>
      <w:proofErr w:type="spellStart"/>
      <w:r>
        <w:t>The</w:t>
      </w:r>
      <w:proofErr w:type="spellEnd"/>
      <w:r>
        <w:t xml:space="preserve"> </w:t>
      </w:r>
      <w:proofErr w:type="spellStart"/>
      <w:r>
        <w:t>Annals</w:t>
      </w:r>
      <w:proofErr w:type="spellEnd"/>
      <w:r>
        <w:t xml:space="preserve"> </w:t>
      </w:r>
      <w:proofErr w:type="spellStart"/>
      <w:r>
        <w:t>of</w:t>
      </w:r>
      <w:proofErr w:type="spellEnd"/>
      <w:r>
        <w:t xml:space="preserve"> </w:t>
      </w:r>
      <w:proofErr w:type="spellStart"/>
      <w:r>
        <w:t>Applied</w:t>
      </w:r>
      <w:proofErr w:type="spellEnd"/>
      <w:r>
        <w:t xml:space="preserve"> </w:t>
      </w:r>
      <w:proofErr w:type="spellStart"/>
      <w:r>
        <w:t>Statistics</w:t>
      </w:r>
      <w:proofErr w:type="spellEnd"/>
      <w:r>
        <w:t>, 2(3), 841-860. https://doi.org/10.1214/08-AOAS169</w:t>
      </w:r>
    </w:p>
    <w:p w14:paraId="6804B178" w14:textId="77777777" w:rsidR="00CD2C6D" w:rsidRDefault="00887AE1">
      <w:pPr>
        <w:pStyle w:val="Prrafodelista"/>
        <w:numPr>
          <w:ilvl w:val="0"/>
          <w:numId w:val="3"/>
        </w:numPr>
        <w:spacing w:after="80"/>
      </w:pPr>
      <w:proofErr w:type="spellStart"/>
      <w:r>
        <w:t>Katzman</w:t>
      </w:r>
      <w:proofErr w:type="spellEnd"/>
      <w:r>
        <w:t xml:space="preserve">, J. L., </w:t>
      </w:r>
      <w:proofErr w:type="spellStart"/>
      <w:r>
        <w:t>Shaham</w:t>
      </w:r>
      <w:proofErr w:type="spellEnd"/>
      <w:r>
        <w:t xml:space="preserve">, U., </w:t>
      </w:r>
      <w:proofErr w:type="spellStart"/>
      <w:r>
        <w:t>Cloninger</w:t>
      </w:r>
      <w:proofErr w:type="spellEnd"/>
      <w:r>
        <w:t xml:space="preserve">, A., Bates, J., </w:t>
      </w:r>
      <w:proofErr w:type="spellStart"/>
      <w:r>
        <w:t>Jiang</w:t>
      </w:r>
      <w:proofErr w:type="spellEnd"/>
      <w:r>
        <w:t xml:space="preserve">, T., &amp; </w:t>
      </w:r>
      <w:proofErr w:type="spellStart"/>
      <w:r>
        <w:t>Kluger</w:t>
      </w:r>
      <w:proofErr w:type="spellEnd"/>
      <w:r>
        <w:t xml:space="preserve">, Y. (2018). </w:t>
      </w:r>
      <w:proofErr w:type="spellStart"/>
      <w:r>
        <w:t>DeepSurv</w:t>
      </w:r>
      <w:proofErr w:type="spellEnd"/>
      <w:r>
        <w:t xml:space="preserve">: </w:t>
      </w:r>
      <w:proofErr w:type="spellStart"/>
      <w:r>
        <w:t>personalized</w:t>
      </w:r>
      <w:proofErr w:type="spellEnd"/>
      <w:r>
        <w:t xml:space="preserve"> </w:t>
      </w:r>
      <w:proofErr w:type="spellStart"/>
      <w:r>
        <w:t>treatment</w:t>
      </w:r>
      <w:proofErr w:type="spellEnd"/>
      <w:r>
        <w:t xml:space="preserve"> </w:t>
      </w:r>
      <w:proofErr w:type="spellStart"/>
      <w:r>
        <w:t>recommender</w:t>
      </w:r>
      <w:proofErr w:type="spellEnd"/>
      <w:r>
        <w:t xml:space="preserve"> </w:t>
      </w:r>
      <w:proofErr w:type="spellStart"/>
      <w:r>
        <w:t>system</w:t>
      </w:r>
      <w:proofErr w:type="spellEnd"/>
      <w:r>
        <w:t xml:space="preserve"> </w:t>
      </w:r>
      <w:proofErr w:type="spellStart"/>
      <w:r>
        <w:t>using</w:t>
      </w:r>
      <w:proofErr w:type="spellEnd"/>
      <w:r>
        <w:t xml:space="preserve"> a Cox </w:t>
      </w:r>
      <w:proofErr w:type="spellStart"/>
      <w:r>
        <w:t>proportional</w:t>
      </w:r>
      <w:proofErr w:type="spellEnd"/>
      <w:r>
        <w:t xml:space="preserve"> </w:t>
      </w:r>
      <w:proofErr w:type="spellStart"/>
      <w:r>
        <w:t>hazards</w:t>
      </w:r>
      <w:proofErr w:type="spellEnd"/>
      <w:r>
        <w:t xml:space="preserve"> </w:t>
      </w:r>
      <w:proofErr w:type="spellStart"/>
      <w:r>
        <w:t>deep</w:t>
      </w:r>
      <w:proofErr w:type="spellEnd"/>
      <w:r>
        <w:t xml:space="preserve"> neural </w:t>
      </w:r>
      <w:proofErr w:type="spellStart"/>
      <w:r>
        <w:t>network</w:t>
      </w:r>
      <w:proofErr w:type="spellEnd"/>
      <w:r>
        <w:t xml:space="preserve">. BMC Medical </w:t>
      </w:r>
      <w:proofErr w:type="spellStart"/>
      <w:r>
        <w:t>Research</w:t>
      </w:r>
      <w:proofErr w:type="spellEnd"/>
      <w:r>
        <w:t xml:space="preserve"> </w:t>
      </w:r>
      <w:proofErr w:type="spellStart"/>
      <w:r>
        <w:t>Methodology</w:t>
      </w:r>
      <w:proofErr w:type="spellEnd"/>
      <w:r>
        <w:t>, 18(1), 24. https://doi.org/10.1186/s12874-018-0482-1</w:t>
      </w:r>
    </w:p>
    <w:p w14:paraId="17194248" w14:textId="77777777" w:rsidR="00CD2C6D" w:rsidRDefault="00887AE1">
      <w:pPr>
        <w:pStyle w:val="Prrafodelista"/>
        <w:numPr>
          <w:ilvl w:val="0"/>
          <w:numId w:val="3"/>
        </w:numPr>
        <w:spacing w:after="80"/>
      </w:pPr>
      <w:r>
        <w:t xml:space="preserve">Curtis, C., </w:t>
      </w:r>
      <w:proofErr w:type="spellStart"/>
      <w:r>
        <w:t>Shah</w:t>
      </w:r>
      <w:proofErr w:type="spellEnd"/>
      <w:r>
        <w:t xml:space="preserve">, S. P., Chin, S.-F., </w:t>
      </w:r>
      <w:proofErr w:type="spellStart"/>
      <w:r>
        <w:t>Turashvili</w:t>
      </w:r>
      <w:proofErr w:type="spellEnd"/>
      <w:r>
        <w:t xml:space="preserve">, G., Rueda, O. M., </w:t>
      </w:r>
      <w:proofErr w:type="spellStart"/>
      <w:r>
        <w:t>Dunning</w:t>
      </w:r>
      <w:proofErr w:type="spellEnd"/>
      <w:r>
        <w:t xml:space="preserve">, M. J., … Aparicio, S. (2012). </w:t>
      </w:r>
      <w:proofErr w:type="spellStart"/>
      <w:r>
        <w:t>The</w:t>
      </w:r>
      <w:proofErr w:type="spellEnd"/>
      <w:r>
        <w:t xml:space="preserve"> </w:t>
      </w:r>
      <w:proofErr w:type="spellStart"/>
      <w:r>
        <w:t>genomic</w:t>
      </w:r>
      <w:proofErr w:type="spellEnd"/>
      <w:r>
        <w:t xml:space="preserve"> and </w:t>
      </w:r>
      <w:proofErr w:type="spellStart"/>
      <w:r>
        <w:t>transcriptomic</w:t>
      </w:r>
      <w:proofErr w:type="spellEnd"/>
      <w:r>
        <w:t xml:space="preserve"> </w:t>
      </w:r>
      <w:proofErr w:type="spellStart"/>
      <w:r>
        <w:t>architecture</w:t>
      </w:r>
      <w:proofErr w:type="spellEnd"/>
      <w:r>
        <w:t xml:space="preserve"> </w:t>
      </w:r>
      <w:proofErr w:type="spellStart"/>
      <w:r>
        <w:t>of</w:t>
      </w:r>
      <w:proofErr w:type="spellEnd"/>
      <w:r>
        <w:t xml:space="preserve"> 2,000 </w:t>
      </w:r>
      <w:proofErr w:type="spellStart"/>
      <w:r>
        <w:t>breast</w:t>
      </w:r>
      <w:proofErr w:type="spellEnd"/>
      <w:r>
        <w:t xml:space="preserve"> </w:t>
      </w:r>
      <w:proofErr w:type="spellStart"/>
      <w:r>
        <w:t>tumours</w:t>
      </w:r>
      <w:proofErr w:type="spellEnd"/>
      <w:r>
        <w:t xml:space="preserve"> </w:t>
      </w:r>
      <w:proofErr w:type="spellStart"/>
      <w:r>
        <w:t>reveals</w:t>
      </w:r>
      <w:proofErr w:type="spellEnd"/>
      <w:r>
        <w:t xml:space="preserve"> novel </w:t>
      </w:r>
      <w:proofErr w:type="spellStart"/>
      <w:r>
        <w:t>subgroups</w:t>
      </w:r>
      <w:proofErr w:type="spellEnd"/>
      <w:r>
        <w:t xml:space="preserve">. </w:t>
      </w:r>
      <w:proofErr w:type="spellStart"/>
      <w:r>
        <w:t>Nature</w:t>
      </w:r>
      <w:proofErr w:type="spellEnd"/>
      <w:r>
        <w:t>, 486(7403), 346-352. https://doi.org/10.1038/nature10983</w:t>
      </w:r>
    </w:p>
    <w:p w14:paraId="3F107708" w14:textId="77777777" w:rsidR="00CD2C6D" w:rsidRDefault="00887AE1">
      <w:pPr>
        <w:pStyle w:val="Prrafodelista"/>
        <w:numPr>
          <w:ilvl w:val="0"/>
          <w:numId w:val="3"/>
        </w:numPr>
        <w:spacing w:after="80"/>
      </w:pPr>
      <w:proofErr w:type="spellStart"/>
      <w:r>
        <w:t>Perou</w:t>
      </w:r>
      <w:proofErr w:type="spellEnd"/>
      <w:r>
        <w:t xml:space="preserve">, C. M., </w:t>
      </w:r>
      <w:proofErr w:type="spellStart"/>
      <w:r>
        <w:t>Sørlie</w:t>
      </w:r>
      <w:proofErr w:type="spellEnd"/>
      <w:r>
        <w:t xml:space="preserve">, T., </w:t>
      </w:r>
      <w:proofErr w:type="spellStart"/>
      <w:r>
        <w:t>Eisen</w:t>
      </w:r>
      <w:proofErr w:type="spellEnd"/>
      <w:r>
        <w:t xml:space="preserve">, M. B., van de Rijn, M., Jeffrey, S. S., Rees, C. A., … </w:t>
      </w:r>
      <w:proofErr w:type="spellStart"/>
      <w:r>
        <w:t>Botstein</w:t>
      </w:r>
      <w:proofErr w:type="spellEnd"/>
      <w:r>
        <w:t xml:space="preserve">, D. (2000). Molecular </w:t>
      </w:r>
      <w:proofErr w:type="spellStart"/>
      <w:r>
        <w:t>portraits</w:t>
      </w:r>
      <w:proofErr w:type="spellEnd"/>
      <w:r>
        <w:t xml:space="preserve"> </w:t>
      </w:r>
      <w:proofErr w:type="spellStart"/>
      <w:r>
        <w:t>of</w:t>
      </w:r>
      <w:proofErr w:type="spellEnd"/>
      <w:r>
        <w:t xml:space="preserve"> human </w:t>
      </w:r>
      <w:proofErr w:type="spellStart"/>
      <w:r>
        <w:t>breast</w:t>
      </w:r>
      <w:proofErr w:type="spellEnd"/>
      <w:r>
        <w:t xml:space="preserve"> </w:t>
      </w:r>
      <w:proofErr w:type="spellStart"/>
      <w:r>
        <w:t>tumours</w:t>
      </w:r>
      <w:proofErr w:type="spellEnd"/>
      <w:r>
        <w:t xml:space="preserve">. </w:t>
      </w:r>
      <w:proofErr w:type="spellStart"/>
      <w:r>
        <w:t>Nature</w:t>
      </w:r>
      <w:proofErr w:type="spellEnd"/>
      <w:r>
        <w:t>, 406(6797), 747-752. https://doi.org/10.1038/35021093</w:t>
      </w:r>
    </w:p>
    <w:p w14:paraId="75B3548E" w14:textId="77777777" w:rsidR="00CD2C6D" w:rsidRDefault="00887AE1">
      <w:pPr>
        <w:pStyle w:val="Prrafodelista"/>
        <w:numPr>
          <w:ilvl w:val="0"/>
          <w:numId w:val="3"/>
        </w:numPr>
        <w:spacing w:after="80"/>
      </w:pPr>
      <w:proofErr w:type="spellStart"/>
      <w:r>
        <w:t>Cancer</w:t>
      </w:r>
      <w:proofErr w:type="spellEnd"/>
      <w:r>
        <w:t xml:space="preserve"> </w:t>
      </w:r>
      <w:proofErr w:type="spellStart"/>
      <w:r>
        <w:t>Genome</w:t>
      </w:r>
      <w:proofErr w:type="spellEnd"/>
      <w:r>
        <w:t xml:space="preserve"> Atlas </w:t>
      </w:r>
      <w:proofErr w:type="spellStart"/>
      <w:r>
        <w:t>Research</w:t>
      </w:r>
      <w:proofErr w:type="spellEnd"/>
      <w:r>
        <w:t xml:space="preserve"> Network. (2012). Comprehensive </w:t>
      </w:r>
      <w:proofErr w:type="spellStart"/>
      <w:r>
        <w:t>genomic</w:t>
      </w:r>
      <w:proofErr w:type="spellEnd"/>
      <w:r>
        <w:t xml:space="preserve"> </w:t>
      </w:r>
      <w:proofErr w:type="spellStart"/>
      <w:r>
        <w:t>characterization</w:t>
      </w:r>
      <w:proofErr w:type="spellEnd"/>
      <w:r>
        <w:t xml:space="preserve"> </w:t>
      </w:r>
      <w:proofErr w:type="spellStart"/>
      <w:r>
        <w:t>of</w:t>
      </w:r>
      <w:proofErr w:type="spellEnd"/>
      <w:r>
        <w:t xml:space="preserve"> </w:t>
      </w:r>
      <w:proofErr w:type="spellStart"/>
      <w:r>
        <w:t>squamous</w:t>
      </w:r>
      <w:proofErr w:type="spellEnd"/>
      <w:r>
        <w:t xml:space="preserve"> </w:t>
      </w:r>
      <w:proofErr w:type="spellStart"/>
      <w:r>
        <w:t>cell</w:t>
      </w:r>
      <w:proofErr w:type="spellEnd"/>
      <w:r>
        <w:t xml:space="preserve"> </w:t>
      </w:r>
      <w:proofErr w:type="spellStart"/>
      <w:r>
        <w:t>lung</w:t>
      </w:r>
      <w:proofErr w:type="spellEnd"/>
      <w:r>
        <w:t xml:space="preserve"> </w:t>
      </w:r>
      <w:proofErr w:type="spellStart"/>
      <w:r>
        <w:t>cancers</w:t>
      </w:r>
      <w:proofErr w:type="spellEnd"/>
      <w:r>
        <w:t xml:space="preserve">. </w:t>
      </w:r>
      <w:proofErr w:type="spellStart"/>
      <w:r>
        <w:t>Nature</w:t>
      </w:r>
      <w:proofErr w:type="spellEnd"/>
      <w:r>
        <w:t>, 489(7417), 519-525. https://doi.org/10.1038/nature11404</w:t>
      </w:r>
    </w:p>
    <w:p w14:paraId="7BBFC5F1" w14:textId="77777777" w:rsidR="00CD2C6D" w:rsidRDefault="00887AE1">
      <w:pPr>
        <w:pStyle w:val="Prrafodelista"/>
        <w:numPr>
          <w:ilvl w:val="0"/>
          <w:numId w:val="3"/>
        </w:numPr>
        <w:spacing w:after="80"/>
      </w:pPr>
      <w:proofErr w:type="spellStart"/>
      <w:r>
        <w:t>Gymrek</w:t>
      </w:r>
      <w:proofErr w:type="spellEnd"/>
      <w:r>
        <w:t xml:space="preserve">, M., McGuire, A. L., </w:t>
      </w:r>
      <w:proofErr w:type="spellStart"/>
      <w:r>
        <w:t>Golan</w:t>
      </w:r>
      <w:proofErr w:type="spellEnd"/>
      <w:r>
        <w:t xml:space="preserve">, D., </w:t>
      </w:r>
      <w:proofErr w:type="spellStart"/>
      <w:r>
        <w:t>Halperin</w:t>
      </w:r>
      <w:proofErr w:type="spellEnd"/>
      <w:r>
        <w:t xml:space="preserve">, E., &amp; </w:t>
      </w:r>
      <w:proofErr w:type="spellStart"/>
      <w:r>
        <w:t>Erlich</w:t>
      </w:r>
      <w:proofErr w:type="spellEnd"/>
      <w:r>
        <w:t xml:space="preserve">, Y. (2013). </w:t>
      </w:r>
      <w:proofErr w:type="spellStart"/>
      <w:r>
        <w:t>Identifying</w:t>
      </w:r>
      <w:proofErr w:type="spellEnd"/>
      <w:r>
        <w:t xml:space="preserve"> personal </w:t>
      </w:r>
      <w:proofErr w:type="spellStart"/>
      <w:r>
        <w:t>genomes</w:t>
      </w:r>
      <w:proofErr w:type="spellEnd"/>
      <w:r>
        <w:t xml:space="preserve"> </w:t>
      </w:r>
      <w:proofErr w:type="spellStart"/>
      <w:r>
        <w:t>by</w:t>
      </w:r>
      <w:proofErr w:type="spellEnd"/>
      <w:r>
        <w:t xml:space="preserve"> </w:t>
      </w:r>
      <w:proofErr w:type="spellStart"/>
      <w:r>
        <w:t>surname</w:t>
      </w:r>
      <w:proofErr w:type="spellEnd"/>
      <w:r>
        <w:t xml:space="preserve"> </w:t>
      </w:r>
      <w:proofErr w:type="spellStart"/>
      <w:r>
        <w:t>inference</w:t>
      </w:r>
      <w:proofErr w:type="spellEnd"/>
      <w:r>
        <w:t xml:space="preserve">. </w:t>
      </w:r>
      <w:proofErr w:type="spellStart"/>
      <w:r>
        <w:t>Science</w:t>
      </w:r>
      <w:proofErr w:type="spellEnd"/>
      <w:r>
        <w:t>, 339(6117), 321-324. https://doi.org/10.1126/science.1229566</w:t>
      </w:r>
    </w:p>
    <w:p w14:paraId="0719A039" w14:textId="77777777" w:rsidR="00CD2C6D" w:rsidRDefault="00CD2C6D">
      <w:pPr>
        <w:spacing w:after="120"/>
      </w:pPr>
    </w:p>
    <w:sectPr w:rsidR="00CD2C6D">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A7E63"/>
    <w:multiLevelType w:val="hybridMultilevel"/>
    <w:tmpl w:val="C5F00E00"/>
    <w:lvl w:ilvl="0" w:tplc="593241E2">
      <w:start w:val="1"/>
      <w:numFmt w:val="bullet"/>
      <w:lvlText w:val="●"/>
      <w:lvlJc w:val="left"/>
      <w:pPr>
        <w:ind w:left="720" w:hanging="360"/>
      </w:pPr>
    </w:lvl>
    <w:lvl w:ilvl="1" w:tplc="F9C6B27E">
      <w:start w:val="1"/>
      <w:numFmt w:val="bullet"/>
      <w:lvlText w:val="○"/>
      <w:lvlJc w:val="left"/>
      <w:pPr>
        <w:ind w:left="1440" w:hanging="360"/>
      </w:pPr>
    </w:lvl>
    <w:lvl w:ilvl="2" w:tplc="07AED958">
      <w:start w:val="1"/>
      <w:numFmt w:val="bullet"/>
      <w:lvlText w:val="■"/>
      <w:lvlJc w:val="left"/>
      <w:pPr>
        <w:ind w:left="2160" w:hanging="360"/>
      </w:pPr>
    </w:lvl>
    <w:lvl w:ilvl="3" w:tplc="ACB8893C">
      <w:start w:val="1"/>
      <w:numFmt w:val="bullet"/>
      <w:lvlText w:val="●"/>
      <w:lvlJc w:val="left"/>
      <w:pPr>
        <w:ind w:left="2880" w:hanging="360"/>
      </w:pPr>
    </w:lvl>
    <w:lvl w:ilvl="4" w:tplc="6DBC4CAC">
      <w:start w:val="1"/>
      <w:numFmt w:val="bullet"/>
      <w:lvlText w:val="○"/>
      <w:lvlJc w:val="left"/>
      <w:pPr>
        <w:ind w:left="3600" w:hanging="360"/>
      </w:pPr>
    </w:lvl>
    <w:lvl w:ilvl="5" w:tplc="F0C45338">
      <w:start w:val="1"/>
      <w:numFmt w:val="bullet"/>
      <w:lvlText w:val="■"/>
      <w:lvlJc w:val="left"/>
      <w:pPr>
        <w:ind w:left="4320" w:hanging="360"/>
      </w:pPr>
    </w:lvl>
    <w:lvl w:ilvl="6" w:tplc="E6BEB580">
      <w:start w:val="1"/>
      <w:numFmt w:val="bullet"/>
      <w:lvlText w:val="●"/>
      <w:lvlJc w:val="left"/>
      <w:pPr>
        <w:ind w:left="5040" w:hanging="360"/>
      </w:pPr>
    </w:lvl>
    <w:lvl w:ilvl="7" w:tplc="72909D9C">
      <w:start w:val="1"/>
      <w:numFmt w:val="bullet"/>
      <w:lvlText w:val="●"/>
      <w:lvlJc w:val="left"/>
      <w:pPr>
        <w:ind w:left="5760" w:hanging="360"/>
      </w:pPr>
    </w:lvl>
    <w:lvl w:ilvl="8" w:tplc="E9EA627C">
      <w:start w:val="1"/>
      <w:numFmt w:val="bullet"/>
      <w:lvlText w:val="●"/>
      <w:lvlJc w:val="left"/>
      <w:pPr>
        <w:ind w:left="6480" w:hanging="360"/>
      </w:pPr>
    </w:lvl>
  </w:abstractNum>
  <w:abstractNum w:abstractNumId="1" w15:restartNumberingAfterBreak="0">
    <w:nsid w:val="45EB16B0"/>
    <w:multiLevelType w:val="hybridMultilevel"/>
    <w:tmpl w:val="FF96EAA6"/>
    <w:lvl w:ilvl="0" w:tplc="7AAC810C">
      <w:start w:val="1"/>
      <w:numFmt w:val="bullet"/>
      <w:lvlText w:val="•"/>
      <w:lvlJc w:val="left"/>
      <w:pPr>
        <w:ind w:left="720" w:hanging="360"/>
      </w:pPr>
    </w:lvl>
    <w:lvl w:ilvl="1" w:tplc="4B8A6E3E">
      <w:numFmt w:val="decimal"/>
      <w:lvlText w:val=""/>
      <w:lvlJc w:val="left"/>
    </w:lvl>
    <w:lvl w:ilvl="2" w:tplc="CD689B8A">
      <w:numFmt w:val="decimal"/>
      <w:lvlText w:val=""/>
      <w:lvlJc w:val="left"/>
    </w:lvl>
    <w:lvl w:ilvl="3" w:tplc="67967746">
      <w:numFmt w:val="decimal"/>
      <w:lvlText w:val=""/>
      <w:lvlJc w:val="left"/>
    </w:lvl>
    <w:lvl w:ilvl="4" w:tplc="2A6E3DBC">
      <w:numFmt w:val="decimal"/>
      <w:lvlText w:val=""/>
      <w:lvlJc w:val="left"/>
    </w:lvl>
    <w:lvl w:ilvl="5" w:tplc="BB4CF410">
      <w:numFmt w:val="decimal"/>
      <w:lvlText w:val=""/>
      <w:lvlJc w:val="left"/>
    </w:lvl>
    <w:lvl w:ilvl="6" w:tplc="C5D2AE8A">
      <w:numFmt w:val="decimal"/>
      <w:lvlText w:val=""/>
      <w:lvlJc w:val="left"/>
    </w:lvl>
    <w:lvl w:ilvl="7" w:tplc="61684472">
      <w:numFmt w:val="decimal"/>
      <w:lvlText w:val=""/>
      <w:lvlJc w:val="left"/>
    </w:lvl>
    <w:lvl w:ilvl="8" w:tplc="2C0E8E20">
      <w:numFmt w:val="decimal"/>
      <w:lvlText w:val=""/>
      <w:lvlJc w:val="left"/>
    </w:lvl>
  </w:abstractNum>
  <w:abstractNum w:abstractNumId="2" w15:restartNumberingAfterBreak="0">
    <w:nsid w:val="75644EB7"/>
    <w:multiLevelType w:val="hybridMultilevel"/>
    <w:tmpl w:val="F398B720"/>
    <w:lvl w:ilvl="0" w:tplc="C7C2F734">
      <w:start w:val="1"/>
      <w:numFmt w:val="decimal"/>
      <w:lvlText w:val="%1."/>
      <w:lvlJc w:val="left"/>
      <w:pPr>
        <w:ind w:left="720" w:hanging="360"/>
      </w:pPr>
    </w:lvl>
    <w:lvl w:ilvl="1" w:tplc="4EB86F1A">
      <w:numFmt w:val="decimal"/>
      <w:lvlText w:val=""/>
      <w:lvlJc w:val="left"/>
    </w:lvl>
    <w:lvl w:ilvl="2" w:tplc="9FCA8E82">
      <w:numFmt w:val="decimal"/>
      <w:lvlText w:val=""/>
      <w:lvlJc w:val="left"/>
    </w:lvl>
    <w:lvl w:ilvl="3" w:tplc="80083336">
      <w:numFmt w:val="decimal"/>
      <w:lvlText w:val=""/>
      <w:lvlJc w:val="left"/>
    </w:lvl>
    <w:lvl w:ilvl="4" w:tplc="EB50F9CE">
      <w:numFmt w:val="decimal"/>
      <w:lvlText w:val=""/>
      <w:lvlJc w:val="left"/>
    </w:lvl>
    <w:lvl w:ilvl="5" w:tplc="DCA07838">
      <w:numFmt w:val="decimal"/>
      <w:lvlText w:val=""/>
      <w:lvlJc w:val="left"/>
    </w:lvl>
    <w:lvl w:ilvl="6" w:tplc="6130C858">
      <w:numFmt w:val="decimal"/>
      <w:lvlText w:val=""/>
      <w:lvlJc w:val="left"/>
    </w:lvl>
    <w:lvl w:ilvl="7" w:tplc="686444CE">
      <w:numFmt w:val="decimal"/>
      <w:lvlText w:val=""/>
      <w:lvlJc w:val="left"/>
    </w:lvl>
    <w:lvl w:ilvl="8" w:tplc="EC0E8F5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C6D"/>
    <w:rsid w:val="00887AE1"/>
    <w:rsid w:val="00CD2C6D"/>
    <w:rsid w:val="00CE2ADF"/>
    <w:rsid w:val="00E87B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E07D"/>
  <w15:docId w15:val="{055A6AFB-E148-4AC1-A124-592063E7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280" w:after="160"/>
      <w:outlineLvl w:val="1"/>
    </w:pPr>
    <w:rPr>
      <w:b/>
      <w:bCs/>
      <w:color w:val="2E5496"/>
      <w:sz w:val="28"/>
      <w:szCs w:val="28"/>
    </w:rPr>
  </w:style>
  <w:style w:type="paragraph" w:styleId="Ttulo3">
    <w:name w:val="heading 3"/>
    <w:uiPriority w:val="9"/>
    <w:unhideWhenUsed/>
    <w:qFormat/>
    <w:pPr>
      <w:spacing w:before="220" w:after="12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5590</Words>
  <Characters>30745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36263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Ubeda Quesada, Julio</cp:lastModifiedBy>
  <cp:revision>4</cp:revision>
  <dcterms:created xsi:type="dcterms:W3CDTF">2026-02-25T08:31:00Z</dcterms:created>
  <dcterms:modified xsi:type="dcterms:W3CDTF">2026-03-11T12:23:00Z</dcterms:modified>
</cp:coreProperties>
</file>