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1069E" w14:textId="77777777" w:rsidR="000A030B" w:rsidRDefault="00985EDE">
      <w:pPr>
        <w:spacing w:before="400" w:after="200"/>
      </w:pPr>
      <w:r>
        <w:rPr>
          <w:b/>
          <w:bCs/>
          <w:caps/>
          <w:color w:val="1F3864"/>
          <w:sz w:val="40"/>
          <w:szCs w:val="40"/>
        </w:rPr>
        <w:t>CAPÍTULO 2</w:t>
      </w:r>
    </w:p>
    <w:p w14:paraId="1ED7A7E7" w14:textId="77777777" w:rsidR="000A030B" w:rsidRDefault="00985EDE">
      <w:pPr>
        <w:spacing w:after="400"/>
      </w:pPr>
      <w:r>
        <w:rPr>
          <w:b/>
          <w:bCs/>
          <w:caps/>
          <w:color w:val="1F3864"/>
          <w:sz w:val="40"/>
          <w:szCs w:val="40"/>
        </w:rPr>
        <w:t>ESTADO DEL ARTE</w:t>
      </w:r>
    </w:p>
    <w:p w14:paraId="52510DDA" w14:textId="77777777" w:rsidR="000A030B" w:rsidRDefault="00985EDE">
      <w:pPr>
        <w:pStyle w:val="Ttulo2"/>
      </w:pPr>
      <w:r>
        <w:t>2.1 Introducción al capítulo</w:t>
      </w:r>
    </w:p>
    <w:p w14:paraId="0A8D423C" w14:textId="77777777" w:rsidR="000A030B" w:rsidRDefault="00985EDE">
      <w:pPr>
        <w:spacing w:after="160"/>
        <w:jc w:val="both"/>
      </w:pPr>
      <w:r>
        <w:t>El presente capítulo tiene como objetivo trazar una fotografía actualizada del estado del conocimiento científico en el ámbito del análisis de supervivencia aplicado a la oncología de precisión basada en datos genómicos. Siguiendo la metodología de revisió</w:t>
      </w:r>
      <w:r>
        <w:t xml:space="preserve">n documental descrita por </w:t>
      </w:r>
      <w:proofErr w:type="spellStart"/>
      <w:r>
        <w:t>Oates</w:t>
      </w:r>
      <w:proofErr w:type="spellEnd"/>
      <w:r>
        <w:t xml:space="preserve"> (2006) en su marco de investigación en sistemas de información, se adopta un enfoque de </w:t>
      </w:r>
      <w:proofErr w:type="spellStart"/>
      <w:r>
        <w:t>survey</w:t>
      </w:r>
      <w:proofErr w:type="spellEnd"/>
      <w:r>
        <w:t xml:space="preserve"> que sistematiza los trabajos previos más relevantes, identifica las tendencias metodológicas dominantes y localiza las brechas de</w:t>
      </w:r>
      <w:r>
        <w:t xml:space="preserve"> conocimiento que el presente TFM pretende contribuir a cubrir.</w:t>
      </w:r>
    </w:p>
    <w:p w14:paraId="6832A9B2" w14:textId="688FDA91" w:rsidR="000A030B" w:rsidRDefault="00985EDE">
      <w:pPr>
        <w:spacing w:after="160"/>
        <w:jc w:val="both"/>
      </w:pPr>
      <w:r>
        <w:t>La revisión se estructura en torno a cuatro ejes temáticos fundamentales: (i) la evolución de los métodos de análisis de supervivencia, desde los enfoques clásicos hasta los modelos de aprendi</w:t>
      </w:r>
      <w:r>
        <w:t>zaje profundo; (</w:t>
      </w:r>
      <w:proofErr w:type="spellStart"/>
      <w:r>
        <w:t>ii</w:t>
      </w:r>
      <w:proofErr w:type="spellEnd"/>
      <w:r>
        <w:t xml:space="preserve">) el papel de los datos genómicos </w:t>
      </w:r>
      <w:r>
        <w:t>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w:t>
      </w:r>
      <w:r>
        <w:t>lidación, interpretabilidad y equidad de los modelos.</w:t>
      </w:r>
    </w:p>
    <w:p w14:paraId="7AA510D0" w14:textId="11D0D511" w:rsidR="000A030B" w:rsidRDefault="00985EDE">
      <w:pPr>
        <w:spacing w:after="160"/>
        <w:jc w:val="both"/>
      </w:pPr>
      <w:r>
        <w:t xml:space="preserve">La búsqueda bibliográfica se realizó principalmente en Google </w:t>
      </w:r>
      <w:proofErr w:type="spellStart"/>
      <w:r>
        <w:t>Scholar</w:t>
      </w:r>
      <w:proofErr w:type="spellEnd"/>
      <w:r>
        <w:t xml:space="preserve">, PubMed y Web </w:t>
      </w:r>
      <w:proofErr w:type="spellStart"/>
      <w:r>
        <w:t>of</w:t>
      </w:r>
      <w:proofErr w:type="spellEnd"/>
      <w:r>
        <w:t xml:space="preserve"> </w:t>
      </w:r>
      <w:proofErr w:type="spellStart"/>
      <w:r>
        <w:t>Science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learning, </w:t>
      </w:r>
      <w:proofErr w:type="spellStart"/>
      <w:r>
        <w:t>deep</w:t>
      </w:r>
      <w:proofErr w:type="spellEnd"/>
      <w:r>
        <w:t xml:space="preserve"> learning</w:t>
      </w:r>
      <w:r>
        <w:t>. El período de cobertura preferente abarca desde 2010 hasta 2025, con in</w:t>
      </w:r>
      <w:r>
        <w:t>clusión de referencias fundacionales anteriores</w:t>
      </w:r>
      <w:r w:rsidR="004F6D08">
        <w:t>.</w:t>
      </w:r>
    </w:p>
    <w:p w14:paraId="29830522" w14:textId="77777777" w:rsidR="000A030B" w:rsidRDefault="000A030B">
      <w:pPr>
        <w:spacing w:after="100"/>
      </w:pPr>
    </w:p>
    <w:p w14:paraId="2268AFB6" w14:textId="77777777" w:rsidR="000A030B" w:rsidRDefault="00985EDE">
      <w:pPr>
        <w:pStyle w:val="Ttulo2"/>
      </w:pPr>
      <w:r>
        <w:t>2.2 Métodos clásicos de análisis de supervivencia</w:t>
      </w:r>
    </w:p>
    <w:p w14:paraId="2529A219" w14:textId="77777777" w:rsidR="000A030B" w:rsidRDefault="00985EDE">
      <w:pPr>
        <w:pStyle w:val="Ttulo3"/>
      </w:pPr>
      <w:r>
        <w:t>2.2.1 El estimador de Kaplan-Meier</w:t>
      </w:r>
    </w:p>
    <w:p w14:paraId="493C6FC6" w14:textId="77777777" w:rsidR="000A030B" w:rsidRDefault="00985EDE">
      <w:pPr>
        <w:spacing w:after="160"/>
        <w:jc w:val="both"/>
      </w:pPr>
      <w:r>
        <w:t>El punto de partida ineludible de cualquier revisión sobre análisis de su</w:t>
      </w:r>
      <w:r>
        <w:t>pervivencia es el estimador no paramétrico propuesto por Kaplan y Meier en 1958 [1]. Este estimador permite calcular la función de supervivencia empírica S(t) a partir de datos con censura, sin necesidad de asumir ninguna forma paramétrica para la distribu</w:t>
      </w:r>
      <w:r>
        <w:t>ción del tiempo de supervivencia. Su formulación matemática es simple y su representación gráfica (la curva de Kaplan-Meier escalonada) se ha convertido en el estándar universal para comunicar resultados de supervivencia en estudios clínicos y epidemiológi</w:t>
      </w:r>
      <w:r>
        <w:t>cos.</w:t>
      </w:r>
    </w:p>
    <w:p w14:paraId="2E98DED7" w14:textId="77777777" w:rsidR="000A030B" w:rsidRDefault="00985EDE">
      <w:pPr>
        <w:spacing w:after="160"/>
        <w:jc w:val="both"/>
      </w:pPr>
      <w:r>
        <w:t>En el ámbito oncológico, el estimador de Kaplan-Meier sigue siendo omnipresente en la literatura, tanto como herramienta descriptiva primaria como componente de análisis comparativo entre grupos de pacientes. Su limitación fundamental es que no permit</w:t>
      </w:r>
      <w:r>
        <w:t>e ajustar el efecto de covariables de forma multivariable, lo que lo convierte en un instrumento descriptivo y exploratorio antes que en un modelo predictivo. El test log-</w:t>
      </w:r>
      <w:proofErr w:type="spellStart"/>
      <w:r>
        <w:t>rank</w:t>
      </w:r>
      <w:proofErr w:type="spellEnd"/>
      <w:r>
        <w:t>, habitualmente asociado a las curvas de Kaplan-Meier, proporciona una prueba est</w:t>
      </w:r>
      <w:r>
        <w:t>adística no paramétrica para comparar curvas entre grupos, con amplia aplicación en estudios de estratificación por subtipos moleculares [2].</w:t>
      </w:r>
    </w:p>
    <w:p w14:paraId="39A9A4C3" w14:textId="77777777" w:rsidR="000A030B" w:rsidRDefault="00985EDE">
      <w:pPr>
        <w:pStyle w:val="Ttulo3"/>
      </w:pPr>
      <w:r>
        <w:t>2.2.2 El modelo de riesgos proporcionales de Cox</w:t>
      </w:r>
    </w:p>
    <w:p w14:paraId="3C22B1B2" w14:textId="77777777" w:rsidR="000A030B" w:rsidRDefault="00985EDE">
      <w:pPr>
        <w:spacing w:after="160"/>
        <w:jc w:val="both"/>
      </w:pPr>
      <w:r>
        <w:lastRenderedPageBreak/>
        <w:t>El modelo de riesgos proporcionales de Cox [3], propuesto en 1972</w:t>
      </w:r>
      <w:r>
        <w:t xml:space="preserve">, supuso un avance fundamental al introducir un marco </w:t>
      </w:r>
      <w:proofErr w:type="spellStart"/>
      <w:r>
        <w:t>semiparamétrico</w:t>
      </w:r>
      <w:proofErr w:type="spellEnd"/>
      <w:r>
        <w:t xml:space="preserve"> capaz de modelar simultáneamente el efecto de múltiples covariables sobre la tasa de riesgo (</w:t>
      </w:r>
      <w:proofErr w:type="spellStart"/>
      <w:r w:rsidRPr="00CF2F4C">
        <w:rPr>
          <w:i/>
          <w:iCs/>
        </w:rPr>
        <w:t>hazard</w:t>
      </w:r>
      <w:proofErr w:type="spellEnd"/>
      <w:r>
        <w:t xml:space="preserve">). La formulación del modelo asume que el cociente de riesgos entre dos individuos con </w:t>
      </w:r>
      <w:r>
        <w:t>distintos valores de covariables es constante a lo largo del tiempo (supuesto de proporcionalidad), lo que simplifica la estimación al permitir separar la función de riesgo basal (no especificada) del componente paramétrico que recoge el efecto de las vari</w:t>
      </w:r>
      <w:r>
        <w:t>ables.</w:t>
      </w:r>
    </w:p>
    <w:p w14:paraId="1A07BFE0" w14:textId="77777777" w:rsidR="000A030B" w:rsidRDefault="00985EDE">
      <w:pPr>
        <w:spacing w:after="160"/>
        <w:jc w:val="both"/>
      </w:pPr>
      <w:r>
        <w:t>Durante décadas, el modelo de Cox ha sido el estándar de referencia para el análisis de supervivencia multivariable en oncología clínica. Su extensión mediante regularización LASSO (</w:t>
      </w:r>
      <w:proofErr w:type="spellStart"/>
      <w:r>
        <w:t>Least</w:t>
      </w:r>
      <w:proofErr w:type="spellEnd"/>
      <w:r>
        <w:t xml:space="preserve"> Absolute </w:t>
      </w:r>
      <w:proofErr w:type="spellStart"/>
      <w:r>
        <w:t>Shrinkage</w:t>
      </w:r>
      <w:proofErr w:type="spellEnd"/>
      <w:r>
        <w:t xml:space="preserve"> and </w:t>
      </w:r>
      <w:proofErr w:type="spellStart"/>
      <w:r>
        <w:t>Selection</w:t>
      </w:r>
      <w:proofErr w:type="spellEnd"/>
      <w:r>
        <w:t xml:space="preserve"> </w:t>
      </w:r>
      <w:proofErr w:type="spellStart"/>
      <w:r>
        <w:t>Operator</w:t>
      </w:r>
      <w:proofErr w:type="spellEnd"/>
      <w:r>
        <w:t>) [4] ha permitido a</w:t>
      </w:r>
      <w:r>
        <w:t xml:space="preserve">daptar el modelo a escenarios de alta dimensionalidad, característicos de los datos genómicos, realizando simultáneamente selección de variables y estimación de coeficientes. </w:t>
      </w:r>
      <w:proofErr w:type="spellStart"/>
      <w:r>
        <w:t>Tibshirani</w:t>
      </w:r>
      <w:proofErr w:type="spellEnd"/>
      <w:r>
        <w:t xml:space="preserve"> (1997) [5] propuso explícitamente la versión penalizada del Cox para d</w:t>
      </w:r>
      <w:r>
        <w:t>atos de expresión génica, demostrando mejoras significativas en la capacidad predictiva respecto al modelo convencional cuando el número de variables supera al tamaño muestral.</w:t>
      </w:r>
    </w:p>
    <w:p w14:paraId="3658AF6B" w14:textId="77777777" w:rsidR="000A030B" w:rsidRDefault="00985EDE">
      <w:pPr>
        <w:spacing w:after="160"/>
        <w:jc w:val="both"/>
      </w:pPr>
      <w:r>
        <w:t>A pesar de su amplia adopción, el modelo de Cox presenta limitaciones important</w:t>
      </w:r>
      <w:r>
        <w:t>es frente a datos genómicos de alta dimensionalidad: el supuesto de proporcionalidad puede verse violado en presencia de efectos que cambian con el tiempo, y el modelo no captura interacciones entre variables ni relaciones no lineales entre marcadores genó</w:t>
      </w:r>
      <w:r>
        <w:t>micos y el riesgo de evento, lo que puede limitar su capacidad predictiva en contextos moleculares complejos [6].</w:t>
      </w:r>
    </w:p>
    <w:p w14:paraId="034E7ACF" w14:textId="77777777" w:rsidR="000A030B" w:rsidRDefault="00985EDE">
      <w:pPr>
        <w:pStyle w:val="Ttulo3"/>
      </w:pPr>
      <w:r>
        <w:t>2.2.3 Modelos paramétricos de supervivencia</w:t>
      </w:r>
    </w:p>
    <w:p w14:paraId="74CA0FFE" w14:textId="77777777" w:rsidR="000A030B" w:rsidRDefault="00985EDE">
      <w:pPr>
        <w:spacing w:after="160"/>
        <w:jc w:val="both"/>
      </w:pPr>
      <w:r>
        <w:t>Paralelamente al modelo de Cox, los modelos paramétricos de supervivencia (exponencial, Weibull, l</w:t>
      </w:r>
      <w:r>
        <w:t>og-normal, log-logístico) especifican una forma funcional para la distribución del tiempo de supervivencia, ofreciendo estimaciones más eficientes cuando el supuesto distribucional es correcto y permitiendo extrapolaciones fuera del rango de observación. S</w:t>
      </w:r>
      <w:r>
        <w:t>in embargo, su adopción en el ámbito genómico ha sido más limitada debido a la dificultad de validar los supuestos distribucionales con datos de alta dimensionalidad. En el contexto de este TFM, los modelos paramétricos se consideran como referencia concep</w:t>
      </w:r>
      <w:r>
        <w:t>tual pero no serán implementados como modelos principales de comparación.</w:t>
      </w:r>
    </w:p>
    <w:p w14:paraId="06D47758" w14:textId="77777777" w:rsidR="000A030B" w:rsidRDefault="000A030B">
      <w:pPr>
        <w:spacing w:after="100"/>
      </w:pPr>
    </w:p>
    <w:p w14:paraId="1FF31CF3" w14:textId="77777777" w:rsidR="000A030B" w:rsidRDefault="00985EDE">
      <w:pPr>
        <w:pStyle w:val="Ttulo2"/>
      </w:pPr>
      <w:r>
        <w:t>2.3 Métodos de aprendizaje automático para análisis de supervivencia</w:t>
      </w:r>
    </w:p>
    <w:p w14:paraId="4CAA4FAC" w14:textId="77777777" w:rsidR="000A030B" w:rsidRDefault="00985EDE">
      <w:pPr>
        <w:pStyle w:val="Ttulo3"/>
      </w:pPr>
      <w:r>
        <w:t>2.3.1 Motivación del enfoque de aprendizaje automático</w:t>
      </w:r>
    </w:p>
    <w:p w14:paraId="3CBF5892" w14:textId="77777777" w:rsidR="000A030B" w:rsidRDefault="00985EDE">
      <w:pPr>
        <w:spacing w:after="160"/>
        <w:jc w:val="both"/>
      </w:pPr>
      <w:r>
        <w:t>La irrupción de los datos genómicos de alta dimensionalid</w:t>
      </w:r>
      <w:r>
        <w:t xml:space="preserve">ad en la investigación oncológica a partir de los años 2000, impulsada por el desarrollo de las tecnologías de </w:t>
      </w:r>
      <w:proofErr w:type="spellStart"/>
      <w:r>
        <w:t>microarrays</w:t>
      </w:r>
      <w:proofErr w:type="spellEnd"/>
      <w:r>
        <w:t xml:space="preserve"> y posteriormente de la secuenciación masiva (NGS), planteó desafíos metodológicos que los modelos clásicos no podían abordar eficient</w:t>
      </w:r>
      <w:r>
        <w:t xml:space="preserve">emente. Con decenas de miles de variables por paciente y cohortes de tamaño moderado (n = 200-2.000), el espacio D &gt;&gt; n hace que los modelos estadísticos convencionales sufran de sobreajuste y baja generalización [7]. Esta realidad impulsó el desarrollo y </w:t>
      </w:r>
      <w:r>
        <w:t>adaptación de métodos de aprendizaje automático al contexto del análisis de supervivencia.</w:t>
      </w:r>
    </w:p>
    <w:p w14:paraId="13B59FC6" w14:textId="77777777" w:rsidR="000A030B" w:rsidRDefault="00985EDE">
      <w:pPr>
        <w:spacing w:after="160"/>
        <w:jc w:val="both"/>
      </w:pPr>
      <w:r>
        <w:t>La extensión de los algoritmos de machine learning al marco de la supervivencia no es trivial, ya que requiere incorporar el mecanismo de censura de forma nativa. En</w:t>
      </w:r>
      <w:r>
        <w:t xml:space="preserve"> este sentido, se han desarrollado adaptaciones específicas de árboles de decisión, modelos de ensemble, máquinas de vectores de soporte y redes neuronales al contexto de datos </w:t>
      </w:r>
      <w:r>
        <w:lastRenderedPageBreak/>
        <w:t xml:space="preserve">censurados, de las cuales el </w:t>
      </w:r>
      <w:proofErr w:type="spellStart"/>
      <w:r>
        <w:t>Random</w:t>
      </w:r>
      <w:proofErr w:type="spellEnd"/>
      <w:r>
        <w:t xml:space="preserve"> </w:t>
      </w:r>
      <w:proofErr w:type="spellStart"/>
      <w:r>
        <w:t>Survival</w:t>
      </w:r>
      <w:proofErr w:type="spellEnd"/>
      <w:r>
        <w:t xml:space="preserve"> Forest es la que mayor adopción ha</w:t>
      </w:r>
      <w:r>
        <w:t xml:space="preserve"> tenido en la literatura biomédica [8].</w:t>
      </w:r>
    </w:p>
    <w:p w14:paraId="39BF3464" w14:textId="77777777" w:rsidR="000A030B" w:rsidRDefault="00985EDE">
      <w:pPr>
        <w:pStyle w:val="Ttulo3"/>
      </w:pPr>
      <w:r>
        <w:t xml:space="preserve">2.3.2 </w:t>
      </w:r>
      <w:proofErr w:type="spellStart"/>
      <w:r>
        <w:t>Random</w:t>
      </w:r>
      <w:proofErr w:type="spellEnd"/>
      <w:r>
        <w:t xml:space="preserve"> </w:t>
      </w:r>
      <w:proofErr w:type="spellStart"/>
      <w:r>
        <w:t>Survival</w:t>
      </w:r>
      <w:proofErr w:type="spellEnd"/>
      <w:r>
        <w:t xml:space="preserve"> Forest</w:t>
      </w:r>
    </w:p>
    <w:p w14:paraId="7749A269" w14:textId="77777777" w:rsidR="000A030B" w:rsidRDefault="00985EDE">
      <w:pPr>
        <w:spacing w:after="160"/>
        <w:jc w:val="both"/>
      </w:pPr>
      <w:r>
        <w:t xml:space="preserve">El algoritmo </w:t>
      </w:r>
      <w:proofErr w:type="spellStart"/>
      <w:r>
        <w:t>Random</w:t>
      </w:r>
      <w:proofErr w:type="spellEnd"/>
      <w:r>
        <w:t xml:space="preserve"> </w:t>
      </w:r>
      <w:proofErr w:type="spellStart"/>
      <w:r>
        <w:t>Survival</w:t>
      </w:r>
      <w:proofErr w:type="spellEnd"/>
      <w:r>
        <w:t xml:space="preserve"> Forest (RSF) fue propuesto por </w:t>
      </w:r>
      <w:proofErr w:type="spellStart"/>
      <w:r>
        <w:t>Ishwaran</w:t>
      </w:r>
      <w:proofErr w:type="spellEnd"/>
      <w:r>
        <w:t xml:space="preserve"> et al. en 2008 [9] como extensión directa del </w:t>
      </w:r>
      <w:proofErr w:type="spellStart"/>
      <w:r>
        <w:t>Random</w:t>
      </w:r>
      <w:proofErr w:type="spellEnd"/>
      <w:r>
        <w:t xml:space="preserve"> Forest de </w:t>
      </w:r>
      <w:proofErr w:type="spellStart"/>
      <w:r>
        <w:t>Breiman</w:t>
      </w:r>
      <w:proofErr w:type="spellEnd"/>
      <w:r>
        <w:t xml:space="preserve"> al contexto de la supervivencia. El RSF constru</w:t>
      </w:r>
      <w:r>
        <w:t>ye un ensemble de árboles de supervivencia aleatorios, donde cada árbol se entrena sobre un subconjunto de muestras (</w:t>
      </w:r>
      <w:proofErr w:type="spellStart"/>
      <w:r>
        <w:t>bootstrap</w:t>
      </w:r>
      <w:proofErr w:type="spellEnd"/>
      <w:r>
        <w:t>) y utiliza la función de log-</w:t>
      </w:r>
      <w:proofErr w:type="spellStart"/>
      <w:r>
        <w:t>rank</w:t>
      </w:r>
      <w:proofErr w:type="spellEnd"/>
      <w:r>
        <w:t xml:space="preserve"> como criterio de división de nodos, evaluada sobre subconjuntos aleatorios de variables en cada</w:t>
      </w:r>
      <w:r>
        <w:t xml:space="preserve"> nodo.</w:t>
      </w:r>
    </w:p>
    <w:p w14:paraId="5EE89E4A" w14:textId="77777777" w:rsidR="000A030B" w:rsidRDefault="00985EDE">
      <w:pPr>
        <w:spacing w:after="160"/>
        <w:jc w:val="both"/>
      </w:pPr>
      <w:r>
        <w:t>El RSF ofrece ventajas sustanciales respecto al modelo de Cox en el contexto genómico: (i) no asume proporcionalidad de riesgos ni linealidad en la relación entre variables y riesgo; (</w:t>
      </w:r>
      <w:proofErr w:type="spellStart"/>
      <w:r>
        <w:t>ii</w:t>
      </w:r>
      <w:proofErr w:type="spellEnd"/>
      <w:r>
        <w:t>) maneja de forma natural las interacciones entre variables; (</w:t>
      </w:r>
      <w:proofErr w:type="spellStart"/>
      <w:r>
        <w:t>i</w:t>
      </w:r>
      <w:r>
        <w:t>ii</w:t>
      </w:r>
      <w:proofErr w:type="spellEnd"/>
      <w:r>
        <w:t>) es robusto frente a datos ausentes mediante imputación por la mediana de los valores de mortalidad acumulada;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que facilitan la interpretación biológica de los resulta</w:t>
      </w:r>
      <w:r>
        <w:t>dos [9].</w:t>
      </w:r>
    </w:p>
    <w:p w14:paraId="1D0D585F" w14:textId="77777777" w:rsidR="000A030B" w:rsidRDefault="00985EDE">
      <w:pPr>
        <w:spacing w:after="160"/>
        <w:jc w:val="both"/>
      </w:pPr>
      <w:r>
        <w:t>Numerosos estudios han demostrado que el RSF supera al modelo de Cox en términos de C-</w:t>
      </w:r>
      <w:proofErr w:type="spellStart"/>
      <w:r>
        <w:t>index</w:t>
      </w:r>
      <w:proofErr w:type="spellEnd"/>
      <w:r>
        <w:t xml:space="preserve"> cuando se aplica a datos genómicos de alta dimensionalidad. En cáncer de mama, Zhu et al. (2020) [10] reportaron mejoras de entre 3 y 7 puntos porcentuales</w:t>
      </w:r>
      <w:r>
        <w:t xml:space="preserve"> en C-</w:t>
      </w:r>
      <w:proofErr w:type="spellStart"/>
      <w:r>
        <w:t>index</w:t>
      </w:r>
      <w:proofErr w:type="spellEnd"/>
      <w:r>
        <w:t xml:space="preserve"> sobre TCGA-BRCA respecto al modelo de Cox LASSO. En cáncer de pulmón, Spooner et al. (2020) [11] encontraron que el RSF era el modelo con mejor rendimiento entre cinco algoritmos comparados sobre datos TCGA, con un C-</w:t>
      </w:r>
      <w:proofErr w:type="spellStart"/>
      <w:r>
        <w:t>index</w:t>
      </w:r>
      <w:proofErr w:type="spellEnd"/>
      <w:r>
        <w:t xml:space="preserve"> de 0,68 frente a 0,61</w:t>
      </w:r>
      <w:r>
        <w:t xml:space="preserve"> del modelo de Cox penalizado.</w:t>
      </w:r>
    </w:p>
    <w:p w14:paraId="24040609" w14:textId="77777777" w:rsidR="000A030B" w:rsidRDefault="00985EDE">
      <w:pPr>
        <w:pStyle w:val="Ttulo3"/>
      </w:pPr>
      <w:r>
        <w:t xml:space="preserve">2.3.3 </w:t>
      </w:r>
      <w:proofErr w:type="spellStart"/>
      <w:r>
        <w:t>Gradient</w:t>
      </w:r>
      <w:proofErr w:type="spellEnd"/>
      <w:r>
        <w:t xml:space="preserve"> </w:t>
      </w:r>
      <w:proofErr w:type="spellStart"/>
      <w:r>
        <w:t>Boosting</w:t>
      </w:r>
      <w:proofErr w:type="spellEnd"/>
      <w:r>
        <w:t xml:space="preserve"> para supervivencia</w:t>
      </w:r>
    </w:p>
    <w:p w14:paraId="496852B9" w14:textId="77777777" w:rsidR="000A030B" w:rsidRDefault="00985EDE">
      <w:pPr>
        <w:spacing w:after="160"/>
        <w:jc w:val="both"/>
      </w:pPr>
      <w:r>
        <w:t xml:space="preserve">El modelo de </w:t>
      </w:r>
      <w:proofErr w:type="spellStart"/>
      <w:r>
        <w:t>gradient</w:t>
      </w:r>
      <w:proofErr w:type="spellEnd"/>
      <w:r>
        <w:t xml:space="preserve"> </w:t>
      </w:r>
      <w:proofErr w:type="spellStart"/>
      <w:r>
        <w:t>boosting</w:t>
      </w:r>
      <w:proofErr w:type="spellEnd"/>
      <w:r>
        <w:t xml:space="preserve"> para supervivencia, implementado en la librería </w:t>
      </w:r>
      <w:proofErr w:type="spellStart"/>
      <w:r>
        <w:t>scikit-survival</w:t>
      </w:r>
      <w:proofErr w:type="spellEnd"/>
      <w:r>
        <w:t xml:space="preserve"> como </w:t>
      </w:r>
      <w:proofErr w:type="spellStart"/>
      <w:r w:rsidRPr="00DC5F47">
        <w:rPr>
          <w:rFonts w:ascii="Courier New" w:hAnsi="Courier New" w:cs="Courier New"/>
        </w:rPr>
        <w:t>ComponentwiseGradientBoostingSurvivalAnalysis</w:t>
      </w:r>
      <w:proofErr w:type="spellEnd"/>
      <w:r>
        <w:t xml:space="preserve">, minimiza la función de pérdida de Cox mediante </w:t>
      </w:r>
      <w:proofErr w:type="spellStart"/>
      <w:r>
        <w:t>boosting</w:t>
      </w:r>
      <w:proofErr w:type="spellEnd"/>
      <w:r>
        <w:t xml:space="preserve"> iterativo de modelos simples. Este enfoque combina la</w:t>
      </w:r>
      <w:r>
        <w:t xml:space="preserve"> capacidad del </w:t>
      </w:r>
      <w:proofErr w:type="spellStart"/>
      <w:r>
        <w:t>boosting</w:t>
      </w:r>
      <w:proofErr w:type="spellEnd"/>
      <w:r>
        <w:t xml:space="preserve"> para manejar alta dimensionalidad y datos desequilibrados con la interpretabilidad relativa del marco de Cox, ya que los coeficientes finales pueden asimilarse a efectos de variables en un modelo aditivo. Su adopción en la literatur</w:t>
      </w:r>
      <w:r>
        <w:t>a es menos extensa que el RSF, pero estudios comparativos recientes lo sitúan en rendimiento comparable o superior en ciertos contextos [8].</w:t>
      </w:r>
    </w:p>
    <w:p w14:paraId="423A59AD" w14:textId="77777777" w:rsidR="000A030B" w:rsidRDefault="00985EDE">
      <w:pPr>
        <w:pStyle w:val="Ttulo3"/>
      </w:pPr>
      <w:r>
        <w:t>2.3.4 Máquinas de vectores de soporte para supervivencia (SVM)</w:t>
      </w:r>
    </w:p>
    <w:p w14:paraId="538F0CDA" w14:textId="77777777" w:rsidR="000A030B" w:rsidRDefault="00985EDE">
      <w:pPr>
        <w:spacing w:after="160"/>
        <w:jc w:val="both"/>
      </w:pPr>
      <w:r>
        <w:t>La extensión del SVM al análisis de supervivencia (</w:t>
      </w:r>
      <w:proofErr w:type="spellStart"/>
      <w:r>
        <w:t>S</w:t>
      </w:r>
      <w:r>
        <w:t>urvival</w:t>
      </w:r>
      <w:proofErr w:type="spellEnd"/>
      <w:r>
        <w:t xml:space="preserve"> SVM) fue propuesta por Van Belle et al. (2011) [12] y plantea el problema como la optimización de la concordancia entre pares de pacientes bajo restricciones de margen. Aunque teóricamente sólida, su escalabilidad en </w:t>
      </w:r>
      <w:proofErr w:type="spellStart"/>
      <w:r>
        <w:t>datasets</w:t>
      </w:r>
      <w:proofErr w:type="spellEnd"/>
      <w:r>
        <w:t xml:space="preserve"> de alta dimensionalida</w:t>
      </w:r>
      <w:r>
        <w:t>d (&gt;10.000 variables) es limitada y su interpretabilidad reducida, lo que ha limitado su adopción en estudios genómicos oncológicos de gran escala. Se considera en este TFM como referencia conceptual pero no como modelo de implementación principal.</w:t>
      </w:r>
    </w:p>
    <w:p w14:paraId="31ECDA38" w14:textId="77777777" w:rsidR="000A030B" w:rsidRDefault="000A030B">
      <w:pPr>
        <w:spacing w:after="100"/>
      </w:pPr>
    </w:p>
    <w:p w14:paraId="667C53B5" w14:textId="77777777" w:rsidR="000A030B" w:rsidRDefault="00985EDE">
      <w:pPr>
        <w:pStyle w:val="Ttulo2"/>
      </w:pPr>
      <w:r>
        <w:t>2.4 Mo</w:t>
      </w:r>
      <w:r>
        <w:t>delos de aprendizaje profundo para análisis de supervivencia</w:t>
      </w:r>
    </w:p>
    <w:p w14:paraId="4AA43DE4" w14:textId="77777777" w:rsidR="000A030B" w:rsidRDefault="00985EDE">
      <w:pPr>
        <w:pStyle w:val="Ttulo3"/>
      </w:pPr>
      <w:r>
        <w:t xml:space="preserve">2.4.1 </w:t>
      </w:r>
      <w:proofErr w:type="spellStart"/>
      <w:r>
        <w:t>DeepSurv</w:t>
      </w:r>
      <w:proofErr w:type="spellEnd"/>
    </w:p>
    <w:p w14:paraId="19E72654" w14:textId="77777777" w:rsidR="000A030B" w:rsidRDefault="00985EDE">
      <w:pPr>
        <w:spacing w:after="160"/>
        <w:jc w:val="both"/>
      </w:pPr>
      <w:r>
        <w:t xml:space="preserve">El modelo </w:t>
      </w:r>
      <w:proofErr w:type="spellStart"/>
      <w:r>
        <w:t>DeepSurv</w:t>
      </w:r>
      <w:proofErr w:type="spellEnd"/>
      <w:r>
        <w:t xml:space="preserve">, propuesto por </w:t>
      </w:r>
      <w:proofErr w:type="spellStart"/>
      <w:r>
        <w:t>Katzman</w:t>
      </w:r>
      <w:proofErr w:type="spellEnd"/>
      <w:r>
        <w:t xml:space="preserve"> et al. (2018) [13], es actualmente el modelo de aprendizaje profundo más citado y adoptado en el campo del análisis de supervivencia </w:t>
      </w:r>
      <w:r>
        <w:lastRenderedPageBreak/>
        <w:t>oncol</w:t>
      </w:r>
      <w:r>
        <w:t xml:space="preserve">ógica. </w:t>
      </w:r>
      <w:proofErr w:type="spellStart"/>
      <w:r>
        <w:t>DeepSurv</w:t>
      </w:r>
      <w:proofErr w:type="spellEnd"/>
      <w:r>
        <w:t xml:space="preserve"> implementa una red neuronal profunda de tipo </w:t>
      </w:r>
      <w:proofErr w:type="spellStart"/>
      <w:r>
        <w:t>feedforward</w:t>
      </w:r>
      <w:proofErr w:type="spellEnd"/>
      <w:r>
        <w:t xml:space="preserve"> (con múltiples capas ocultas y activaciones no lineales) que optimiza la función de pérdida de log-verosimilitud parcial de Cox, extendiendo así el modelo de Cox clásico al régimen no</w:t>
      </w:r>
      <w:r>
        <w:t xml:space="preserve"> lineal. La capa de salida es una neurona única sin función de activación que genera la puntuación de riesgo (log </w:t>
      </w:r>
      <w:proofErr w:type="spellStart"/>
      <w:r>
        <w:t>hazard</w:t>
      </w:r>
      <w:proofErr w:type="spellEnd"/>
      <w:r>
        <w:t xml:space="preserve"> ratio) para cada paciente.</w:t>
      </w:r>
    </w:p>
    <w:p w14:paraId="53B61777" w14:textId="77777777" w:rsidR="000A030B" w:rsidRDefault="00985EDE">
      <w:pPr>
        <w:spacing w:after="160"/>
        <w:jc w:val="both"/>
      </w:pPr>
      <w:r>
        <w:t xml:space="preserve">En el artículo original, </w:t>
      </w:r>
      <w:proofErr w:type="spellStart"/>
      <w:r>
        <w:t>Katzman</w:t>
      </w:r>
      <w:proofErr w:type="spellEnd"/>
      <w:r>
        <w:t xml:space="preserve"> et al. evaluaron </w:t>
      </w:r>
      <w:proofErr w:type="spellStart"/>
      <w:r>
        <w:t>DeepSurv</w:t>
      </w:r>
      <w:proofErr w:type="spellEnd"/>
      <w:r>
        <w:t xml:space="preserve"> sobre cinco </w:t>
      </w:r>
      <w:proofErr w:type="spellStart"/>
      <w:r>
        <w:t>datasets</w:t>
      </w:r>
      <w:proofErr w:type="spellEnd"/>
      <w:r>
        <w:t xml:space="preserve"> clínicos y genómicos, demost</w:t>
      </w:r>
      <w:r>
        <w:t>rando mejoras de entre 1 y 6 puntos porcentuales en C-</w:t>
      </w:r>
      <w:proofErr w:type="spellStart"/>
      <w:r>
        <w:t>index</w:t>
      </w:r>
      <w:proofErr w:type="spellEnd"/>
      <w:r>
        <w:t xml:space="preserve"> respecto al modelo de Cox estándar. Particularmente relevante para este TFM es su evaluación sobre datos de cáncer de mama del </w:t>
      </w:r>
      <w:proofErr w:type="spellStart"/>
      <w:r>
        <w:t>dataset</w:t>
      </w:r>
      <w:proofErr w:type="spellEnd"/>
      <w:r>
        <w:t xml:space="preserve"> WHAS (Worcester Heart </w:t>
      </w:r>
      <w:proofErr w:type="spellStart"/>
      <w:r>
        <w:t>Attack</w:t>
      </w:r>
      <w:proofErr w:type="spellEnd"/>
      <w:r>
        <w:t xml:space="preserve"> </w:t>
      </w:r>
      <w:proofErr w:type="spellStart"/>
      <w:r>
        <w:t>Study</w:t>
      </w:r>
      <w:proofErr w:type="spellEnd"/>
      <w:r>
        <w:t xml:space="preserve">), donde </w:t>
      </w:r>
      <w:proofErr w:type="spellStart"/>
      <w:r>
        <w:t>DeepSurv</w:t>
      </w:r>
      <w:proofErr w:type="spellEnd"/>
      <w:r>
        <w:t xml:space="preserve"> alcanzó u</w:t>
      </w:r>
      <w:r>
        <w:t>n C-</w:t>
      </w:r>
      <w:proofErr w:type="spellStart"/>
      <w:r>
        <w:t>index</w:t>
      </w:r>
      <w:proofErr w:type="spellEnd"/>
      <w:r>
        <w:t xml:space="preserve"> de 0,683 frente a 0,641 del modelo de Cox. Los autores también demostraron la aplicación de </w:t>
      </w:r>
      <w:proofErr w:type="spellStart"/>
      <w:r>
        <w:t>DeepSurv</w:t>
      </w:r>
      <w:proofErr w:type="spellEnd"/>
      <w:r>
        <w:t xml:space="preserve"> como sistema de recomendación de tratamiento personalizado, identificando qué pacientes se beneficiarían de diferentes intervenciones terapéutica</w:t>
      </w:r>
      <w:r>
        <w:t>s.</w:t>
      </w:r>
    </w:p>
    <w:p w14:paraId="0BAF1DDB" w14:textId="77777777" w:rsidR="000A030B" w:rsidRDefault="00985EDE">
      <w:pPr>
        <w:spacing w:after="160"/>
        <w:jc w:val="both"/>
      </w:pPr>
      <w:r>
        <w:t xml:space="preserve">Estudios posteriores han aplicado y extendido </w:t>
      </w:r>
      <w:proofErr w:type="spellStart"/>
      <w:r>
        <w:t>DeepSurv</w:t>
      </w:r>
      <w:proofErr w:type="spellEnd"/>
      <w:r>
        <w:t xml:space="preserve"> a datos genómicos del TCGA con resultados mixtos: en algunos tipos de cáncer supera claramente al RSF, mientras que en otros (especialmente con tamaños muestrales pequeños, n &lt; 500) el RSF resulta m</w:t>
      </w:r>
      <w:r>
        <w:t xml:space="preserve">ás robusto. Huang et al. (2020) [14] compararon </w:t>
      </w:r>
      <w:proofErr w:type="spellStart"/>
      <w:r>
        <w:t>DeepSurv</w:t>
      </w:r>
      <w:proofErr w:type="spellEnd"/>
      <w:r>
        <w:t xml:space="preserve">, RSF y Cox LASSO sobre 14 tipos de cáncer del TCGA, concluyendo que </w:t>
      </w:r>
      <w:proofErr w:type="spellStart"/>
      <w:r>
        <w:t>DeepSurv</w:t>
      </w:r>
      <w:proofErr w:type="spellEnd"/>
      <w:r>
        <w:t xml:space="preserve"> superaba a los otros modelos en 8 de los 14 tipos, con diferencias estadísticamente significativas en 5 de ellos.</w:t>
      </w:r>
    </w:p>
    <w:p w14:paraId="58190411" w14:textId="77777777" w:rsidR="000A030B" w:rsidRDefault="00985EDE">
      <w:pPr>
        <w:pStyle w:val="Ttulo3"/>
      </w:pPr>
      <w:r>
        <w:t xml:space="preserve">2.4.2 </w:t>
      </w:r>
      <w:proofErr w:type="spellStart"/>
      <w:r>
        <w:t>Su</w:t>
      </w:r>
      <w:r>
        <w:t>rvivalNet</w:t>
      </w:r>
      <w:proofErr w:type="spellEnd"/>
      <w:r>
        <w:t xml:space="preserve"> y arquitecturas neuronales alternativas</w:t>
      </w:r>
    </w:p>
    <w:p w14:paraId="52BDF224" w14:textId="77777777" w:rsidR="000A030B" w:rsidRDefault="00985EDE">
      <w:pPr>
        <w:spacing w:after="160"/>
        <w:jc w:val="both"/>
      </w:pPr>
      <w:proofErr w:type="spellStart"/>
      <w:r>
        <w:t>SurvivalNet</w:t>
      </w:r>
      <w:proofErr w:type="spellEnd"/>
      <w:r>
        <w:t xml:space="preserve">, propuesto por </w:t>
      </w:r>
      <w:proofErr w:type="spellStart"/>
      <w:r>
        <w:t>Yousefi</w:t>
      </w:r>
      <w:proofErr w:type="spellEnd"/>
      <w:r>
        <w:t xml:space="preserve"> et al. (2017) [15], es otro modelo de red neuronal para supervivencia que incorpora regularización mediante </w:t>
      </w:r>
      <w:proofErr w:type="spellStart"/>
      <w:r>
        <w:t>dropout</w:t>
      </w:r>
      <w:proofErr w:type="spellEnd"/>
      <w:r>
        <w:t>, normalización por lotes (</w:t>
      </w:r>
      <w:proofErr w:type="spellStart"/>
      <w:r>
        <w:t>batch</w:t>
      </w:r>
      <w:proofErr w:type="spellEnd"/>
      <w:r>
        <w:t xml:space="preserve"> </w:t>
      </w:r>
      <w:proofErr w:type="spellStart"/>
      <w:r>
        <w:t>normalization</w:t>
      </w:r>
      <w:proofErr w:type="spellEnd"/>
      <w:r>
        <w:t>) y optimi</w:t>
      </w:r>
      <w:r>
        <w:t xml:space="preserve">zación bayesiana de </w:t>
      </w:r>
      <w:proofErr w:type="spellStart"/>
      <w:r>
        <w:t>hiperparámetros</w:t>
      </w:r>
      <w:proofErr w:type="spellEnd"/>
      <w:r>
        <w:t xml:space="preserve">. Su evaluación sobre cuatro </w:t>
      </w:r>
      <w:proofErr w:type="spellStart"/>
      <w:r>
        <w:t>datasets</w:t>
      </w:r>
      <w:proofErr w:type="spellEnd"/>
      <w:r>
        <w:t xml:space="preserve"> de TCGA (glioblastoma, cáncer de mama, cáncer de riñón y cáncer de hígado) demostró mejoras sobre el modelo de Cox en todos los casos, con un C-</w:t>
      </w:r>
      <w:proofErr w:type="spellStart"/>
      <w:r>
        <w:t>index</w:t>
      </w:r>
      <w:proofErr w:type="spellEnd"/>
      <w:r>
        <w:t xml:space="preserve"> medio de 0,65 frente a 0,58 del C</w:t>
      </w:r>
      <w:r>
        <w:t>ox penalizado.</w:t>
      </w:r>
    </w:p>
    <w:p w14:paraId="5BFF337B" w14:textId="77777777" w:rsidR="000A030B" w:rsidRDefault="00985EDE">
      <w:pPr>
        <w:spacing w:after="160"/>
        <w:jc w:val="both"/>
      </w:pPr>
      <w:r>
        <w:t xml:space="preserve">Más recientemente, arquitecturas basadas en mecanismos de atención y </w:t>
      </w:r>
      <w:proofErr w:type="spellStart"/>
      <w:r>
        <w:t>transformers</w:t>
      </w:r>
      <w:proofErr w:type="spellEnd"/>
      <w:r>
        <w:t xml:space="preserve"> se han adaptado al análisis de supervivencia. Müller et al. (2021) [16] propusieron un modelo de </w:t>
      </w:r>
      <w:proofErr w:type="spellStart"/>
      <w:r>
        <w:t>transformer</w:t>
      </w:r>
      <w:proofErr w:type="spellEnd"/>
      <w:r>
        <w:t xml:space="preserve"> multimodal que integra datos de expresión génica, mutaciones y da</w:t>
      </w:r>
      <w:r>
        <w:t>tos clínicos del TCGA, demostrando mejoras de hasta 8 puntos porcentuales en C-</w:t>
      </w:r>
      <w:proofErr w:type="spellStart"/>
      <w:r>
        <w:t>index</w:t>
      </w:r>
      <w:proofErr w:type="spellEnd"/>
      <w:r>
        <w:t xml:space="preserve"> sobre cáncer de mama y colorrectal. Sin embargo, estos modelos requieren tamaños muestrales considerablemente mayores que los disponibles en </w:t>
      </w:r>
      <w:proofErr w:type="spellStart"/>
      <w:r>
        <w:t>datasets</w:t>
      </w:r>
      <w:proofErr w:type="spellEnd"/>
      <w:r>
        <w:t xml:space="preserve"> individuales del TCGA</w:t>
      </w:r>
      <w:r>
        <w:t xml:space="preserve"> (~1.000 pacientes por tipo), lo que limita su aplicabilidad práctica en el contexto de este TFM.</w:t>
      </w:r>
    </w:p>
    <w:p w14:paraId="6866DECE" w14:textId="77777777" w:rsidR="000A030B" w:rsidRDefault="00985EDE">
      <w:pPr>
        <w:pStyle w:val="Ttulo3"/>
      </w:pPr>
      <w:r>
        <w:t>2.4.3 Modelos de aprendizaje profundo multimodal</w:t>
      </w:r>
    </w:p>
    <w:p w14:paraId="4D7E7EF8" w14:textId="77777777" w:rsidR="000A030B" w:rsidRDefault="00985EDE">
      <w:pPr>
        <w:spacing w:after="160"/>
        <w:jc w:val="both"/>
      </w:pPr>
      <w:r>
        <w:t>La integración de múltiples modalidades de datos genómicos mediante arquitecturas de aprendizaje profundo con</w:t>
      </w:r>
      <w:r>
        <w:t xml:space="preserve">stituye una de las líneas de investigación más activas en el campo. </w:t>
      </w:r>
      <w:proofErr w:type="spellStart"/>
      <w:r>
        <w:t>Tong</w:t>
      </w:r>
      <w:proofErr w:type="spellEnd"/>
      <w:r>
        <w:t xml:space="preserve"> et al. (2021) [17] propusieron el </w:t>
      </w:r>
      <w:proofErr w:type="spellStart"/>
      <w:r>
        <w:t>framework</w:t>
      </w:r>
      <w:proofErr w:type="spellEnd"/>
      <w:r>
        <w:t xml:space="preserve"> DCAP (Deep </w:t>
      </w:r>
      <w:proofErr w:type="spellStart"/>
      <w:r>
        <w:t>Cancer</w:t>
      </w:r>
      <w:proofErr w:type="spellEnd"/>
      <w:r>
        <w:t xml:space="preserve"> Prognosis), basado en un </w:t>
      </w:r>
      <w:proofErr w:type="spellStart"/>
      <w:r>
        <w:t>encoder</w:t>
      </w:r>
      <w:proofErr w:type="spellEnd"/>
      <w:r>
        <w:t xml:space="preserve"> por modalidad (expresión génica, </w:t>
      </w:r>
      <w:proofErr w:type="spellStart"/>
      <w:r>
        <w:t>miRNA</w:t>
      </w:r>
      <w:proofErr w:type="spellEnd"/>
      <w:r>
        <w:t>, metilación, CNV) seguido de una capa de fusión d</w:t>
      </w:r>
      <w:r>
        <w:t>e características de nivel profundo. Evaluado sobre 15 tipos de cáncer del TCGA, DCAP demostró mejoras medias de 5,9 puntos porcentuales en C-</w:t>
      </w:r>
      <w:proofErr w:type="spellStart"/>
      <w:r>
        <w:t>index</w:t>
      </w:r>
      <w:proofErr w:type="spellEnd"/>
      <w:r>
        <w:t xml:space="preserve"> respecto al uso de expresión génica aislada, con la contribución de cada modalidad variando por tipo de cánc</w:t>
      </w:r>
      <w:r>
        <w:t>er.</w:t>
      </w:r>
    </w:p>
    <w:p w14:paraId="08D9CCC9" w14:textId="6F5ABDEA" w:rsidR="000A030B" w:rsidRDefault="00985EDE">
      <w:pPr>
        <w:spacing w:after="160"/>
        <w:jc w:val="both"/>
      </w:pPr>
      <w:r>
        <w:t>Chen et al. (2021) [18] propusieron PORPOISE, un modelo multimodal que combina datos de expresión génica y de histopatología (imágenes de cortes tisulares digitalizados) para la predicción de supervivencia en 14 tipos de cáncer del TCGA. PORPOISE demos</w:t>
      </w:r>
      <w:r>
        <w:t>tró que la fusión de ambas modalidades superaba sistemáticamente a los modelos unimodales, con mejoras de hasta 12 puntos porcentuales en C-</w:t>
      </w:r>
      <w:proofErr w:type="spellStart"/>
      <w:r>
        <w:t>index</w:t>
      </w:r>
      <w:proofErr w:type="spellEnd"/>
      <w:r>
        <w:t xml:space="preserve"> para tipos de cáncer con alta heterogeneidad histológica. </w:t>
      </w:r>
    </w:p>
    <w:p w14:paraId="2691E295" w14:textId="77777777" w:rsidR="000A030B" w:rsidRDefault="000A030B">
      <w:pPr>
        <w:spacing w:after="100"/>
      </w:pPr>
    </w:p>
    <w:p w14:paraId="45AE445F" w14:textId="77777777" w:rsidR="000A030B" w:rsidRDefault="00985EDE">
      <w:pPr>
        <w:pStyle w:val="Ttulo2"/>
      </w:pPr>
      <w:r>
        <w:t>2.5 Datos genómicos en la predicción del pronóstico oncológico</w:t>
      </w:r>
    </w:p>
    <w:p w14:paraId="4981CCF9" w14:textId="77777777" w:rsidR="000A030B" w:rsidRDefault="00985EDE">
      <w:pPr>
        <w:pStyle w:val="Ttulo3"/>
      </w:pPr>
      <w:r>
        <w:t>2.5.1 El proyecto TCGA y su impacto en la investigación</w:t>
      </w:r>
    </w:p>
    <w:p w14:paraId="13A14BD8" w14:textId="77777777" w:rsidR="000A030B" w:rsidRDefault="00985EDE">
      <w:pPr>
        <w:spacing w:after="160"/>
        <w:jc w:val="both"/>
      </w:pPr>
      <w:r>
        <w:t xml:space="preserve">El proyecto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(TCGA), lanz</w:t>
      </w:r>
      <w:r>
        <w:t xml:space="preserve">ado en 2006 por el </w:t>
      </w:r>
      <w:proofErr w:type="spellStart"/>
      <w:r>
        <w:t>National</w:t>
      </w:r>
      <w:proofErr w:type="spellEnd"/>
      <w:r>
        <w:t xml:space="preserve"> </w:t>
      </w:r>
      <w:proofErr w:type="spellStart"/>
      <w:r>
        <w:t>Cancer</w:t>
      </w:r>
      <w:proofErr w:type="spellEnd"/>
      <w:r>
        <w:t xml:space="preserve"> </w:t>
      </w:r>
      <w:proofErr w:type="spellStart"/>
      <w:r>
        <w:t>Institute</w:t>
      </w:r>
      <w:proofErr w:type="spellEnd"/>
      <w:r>
        <w:t xml:space="preserve"> (NCI) y el </w:t>
      </w:r>
      <w:proofErr w:type="spellStart"/>
      <w:r>
        <w:t>National</w:t>
      </w:r>
      <w:proofErr w:type="spellEnd"/>
      <w:r>
        <w:t xml:space="preserve"> Human </w:t>
      </w:r>
      <w:proofErr w:type="spellStart"/>
      <w:r>
        <w:t>Genome</w:t>
      </w:r>
      <w:proofErr w:type="spellEnd"/>
      <w:r>
        <w:t xml:space="preserve"> </w:t>
      </w:r>
      <w:proofErr w:type="spellStart"/>
      <w:r>
        <w:t>Research</w:t>
      </w:r>
      <w:proofErr w:type="spellEnd"/>
      <w:r>
        <w:t xml:space="preserve"> </w:t>
      </w:r>
      <w:proofErr w:type="spellStart"/>
      <w:r>
        <w:t>Institute</w:t>
      </w:r>
      <w:proofErr w:type="spellEnd"/>
      <w:r>
        <w:t xml:space="preserve"> (NHGRI) de los Estados Unidos, ha tenido un impacto transformador en la investigación oncológica traslacional. TCGA ha generado perfiles moleculares completos </w:t>
      </w:r>
      <w:r>
        <w:t>(expresión génica por RNA-</w:t>
      </w:r>
      <w:proofErr w:type="spellStart"/>
      <w:r>
        <w:t>seq</w:t>
      </w:r>
      <w:proofErr w:type="spellEnd"/>
      <w:r>
        <w:t>, mutaciones somáticas, variaciones en número de copias, metilación del ADN, proteómica) de más de 11.000 tumores primarios en 33 tipos de cáncer, con datos clínicos y de seguimiento asociados [19].</w:t>
      </w:r>
    </w:p>
    <w:p w14:paraId="2DE759B6" w14:textId="77777777" w:rsidR="000A030B" w:rsidRDefault="00985EDE">
      <w:pPr>
        <w:spacing w:after="160"/>
        <w:jc w:val="both"/>
      </w:pPr>
      <w:r>
        <w:t>La estandarización de los pi</w:t>
      </w:r>
      <w:r>
        <w:t xml:space="preserve">pelines de procesamiento a través del GDC Data Portal [20] ha resuelto parcialmente el problema de la heterogeneidad entre estudios, permitiendo el análisis comparativo entre tipos de cáncer con datos procesados mediante protocolos uniformes. Los datos de </w:t>
      </w:r>
      <w:r>
        <w:t>TCGA han sido utilizados como fuente primaria en la gran mayoría de los estudios de desarrollo y evaluación de modelos de supervivencia basados en genómica publicados desde 2012.</w:t>
      </w:r>
    </w:p>
    <w:p w14:paraId="1F697675" w14:textId="77777777" w:rsidR="000A030B" w:rsidRDefault="00985EDE">
      <w:pPr>
        <w:spacing w:after="160"/>
        <w:jc w:val="both"/>
      </w:pPr>
      <w:r>
        <w:t xml:space="preserve">Una limitación reconocida de TCGA es la sobrerrepresentación de pacientes de </w:t>
      </w:r>
      <w:proofErr w:type="spellStart"/>
      <w:r>
        <w:t>ancestría</w:t>
      </w:r>
      <w:proofErr w:type="spellEnd"/>
      <w:r>
        <w:t xml:space="preserve"> europea (aproximadamente 70-80% según el tipo de cáncer), lo que puede afectar a la generalización de los modelos entrenados sobre estas cohortes a poblaciones más diversas. Asimismo, el tamaño muestral por tipo de cáncer es heterogéneo: mientras</w:t>
      </w:r>
      <w:r>
        <w:t xml:space="preserve"> TCGA-BRCA cuenta con 1.098 muestras, otros tipos de cáncer presentan menos de 200 muestras, insuficientes para el entrenamiento de modelos de aprendizaje automático complejos.</w:t>
      </w:r>
    </w:p>
    <w:p w14:paraId="2BF22A17" w14:textId="77777777" w:rsidR="000A030B" w:rsidRDefault="00985EDE">
      <w:pPr>
        <w:pStyle w:val="Ttulo3"/>
      </w:pPr>
      <w:r>
        <w:t xml:space="preserve">2.5.2 El </w:t>
      </w:r>
      <w:proofErr w:type="spellStart"/>
      <w:r>
        <w:t>dataset</w:t>
      </w:r>
      <w:proofErr w:type="spellEnd"/>
      <w:r>
        <w:t xml:space="preserve"> METABRIC</w:t>
      </w:r>
    </w:p>
    <w:p w14:paraId="0445880E" w14:textId="77777777" w:rsidR="000A030B" w:rsidRDefault="00985EDE">
      <w:pPr>
        <w:spacing w:after="160"/>
        <w:jc w:val="both"/>
      </w:pPr>
      <w:r>
        <w:t xml:space="preserve">El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(METABRIC) fue descrito por Curtis et al. en 2012 [21] y constituye actualmente el </w:t>
      </w:r>
      <w:proofErr w:type="spellStart"/>
      <w:r>
        <w:t>dataset</w:t>
      </w:r>
      <w:proofErr w:type="spellEnd"/>
      <w:r>
        <w:t xml:space="preserve"> de referencia más amplio y bien caracterizado para cáncer de mama. METABRIC incluye perfiles de </w:t>
      </w:r>
      <w:proofErr w:type="spellStart"/>
      <w:r>
        <w:t>microarrays</w:t>
      </w:r>
      <w:proofErr w:type="spellEnd"/>
      <w:r>
        <w:t xml:space="preserve"> de expresión génica, datos de variaciones en n</w:t>
      </w:r>
      <w:r>
        <w:t>úmero de copias (</w:t>
      </w:r>
      <w:proofErr w:type="spellStart"/>
      <w:r>
        <w:t>aCGH</w:t>
      </w:r>
      <w:proofErr w:type="spellEnd"/>
      <w:r>
        <w:t>), y datos clínicos exhaustivos (estadio, subtipo molecular, tratamiento recibido, seguimiento hasta 30 años) de 1.980 pacientes con cáncer de mama primario.</w:t>
      </w:r>
    </w:p>
    <w:p w14:paraId="7A813070" w14:textId="77777777" w:rsidR="000A030B" w:rsidRDefault="00985EDE">
      <w:pPr>
        <w:spacing w:after="160"/>
        <w:jc w:val="both"/>
      </w:pPr>
      <w:r>
        <w:t>El trabajo de Curtis et al. identificó, mediante análisis de agrupamiento int</w:t>
      </w:r>
      <w:r>
        <w:t xml:space="preserve">egrador de expresión génica y CNV, 10 nuevos subgrupos moleculares (IntClust1-10) con perfiles de supervivencia diferenciados, algunos de los cuales no se correspondían con la clasificación TNM convencional ni con los subtipos intrínsecos de </w:t>
      </w:r>
      <w:proofErr w:type="spellStart"/>
      <w:r>
        <w:t>Perou</w:t>
      </w:r>
      <w:proofErr w:type="spellEnd"/>
      <w:r>
        <w:t xml:space="preserve"> et al. [</w:t>
      </w:r>
      <w:r>
        <w:t xml:space="preserve">22]. Esta nueva clasificación tiene implicaciones directas en el diseño de estudios de supervivencia basados en METABRIC: los subgrupos </w:t>
      </w:r>
      <w:proofErr w:type="spellStart"/>
      <w:r>
        <w:t>IntClust</w:t>
      </w:r>
      <w:proofErr w:type="spellEnd"/>
      <w:r>
        <w:t xml:space="preserve"> son variables de estratificación más informativas que los subtipos PAM50 convencionales para la predicción de s</w:t>
      </w:r>
      <w:r>
        <w:t>upervivencia a largo plazo.</w:t>
      </w:r>
    </w:p>
    <w:p w14:paraId="492C3119" w14:textId="77777777" w:rsidR="000A030B" w:rsidRDefault="00985EDE">
      <w:pPr>
        <w:spacing w:after="160"/>
        <w:jc w:val="both"/>
      </w:pPr>
      <w:r>
        <w:t xml:space="preserve">La disponibilidad de METABRIC a través de </w:t>
      </w:r>
      <w:proofErr w:type="spellStart"/>
      <w:r>
        <w:t>cBioPortal</w:t>
      </w:r>
      <w:proofErr w:type="spellEnd"/>
      <w:r>
        <w:t xml:space="preserve"> y del </w:t>
      </w:r>
      <w:proofErr w:type="spellStart"/>
      <w:r>
        <w:t>European</w:t>
      </w:r>
      <w:proofErr w:type="spellEnd"/>
      <w:r>
        <w:t xml:space="preserve"> </w:t>
      </w:r>
      <w:proofErr w:type="spellStart"/>
      <w:r>
        <w:t>Genome-phenome</w:t>
      </w:r>
      <w:proofErr w:type="spellEnd"/>
      <w:r>
        <w:t xml:space="preserve"> Archive (EGA) ha facilitado su uso extensivo en estudios de validación externa de modelos entrenados sobre TCGA-BRCA, convirtiéndolo en el </w:t>
      </w:r>
      <w:proofErr w:type="spellStart"/>
      <w:r>
        <w:t>datase</w:t>
      </w:r>
      <w:r>
        <w:t>t</w:t>
      </w:r>
      <w:proofErr w:type="spellEnd"/>
      <w:r>
        <w:t xml:space="preserve"> de referencia para la evaluación de transferibilidad en cáncer de mama. Sin embargo, la diferencia en la tecnología de perfilado (</w:t>
      </w:r>
      <w:proofErr w:type="spellStart"/>
      <w:r>
        <w:t>microarrays</w:t>
      </w:r>
      <w:proofErr w:type="spellEnd"/>
      <w:r>
        <w:t xml:space="preserve"> en METABRIC vs. RNA-</w:t>
      </w:r>
      <w:proofErr w:type="spellStart"/>
      <w:r>
        <w:t>seq</w:t>
      </w:r>
      <w:proofErr w:type="spellEnd"/>
      <w:r>
        <w:t xml:space="preserve"> en TCGA) introduce diferencias sistemáticas en los valores de expresión que requieren tr</w:t>
      </w:r>
      <w:r>
        <w:t>atamiento específico mediante corrección de efectos de lote (</w:t>
      </w:r>
      <w:proofErr w:type="spellStart"/>
      <w:r>
        <w:t>batch</w:t>
      </w:r>
      <w:proofErr w:type="spellEnd"/>
      <w:r>
        <w:t xml:space="preserve"> </w:t>
      </w:r>
      <w:proofErr w:type="spellStart"/>
      <w:r>
        <w:t>effect</w:t>
      </w:r>
      <w:proofErr w:type="spellEnd"/>
      <w:r>
        <w:t>) o normalización cruzada [23].</w:t>
      </w:r>
    </w:p>
    <w:p w14:paraId="3F646206" w14:textId="77777777" w:rsidR="000A030B" w:rsidRDefault="00985EDE">
      <w:pPr>
        <w:pStyle w:val="Ttulo3"/>
      </w:pPr>
      <w:r>
        <w:t>2.5.3 Tipos de datos genómicos y su contribución pronóstica</w:t>
      </w:r>
    </w:p>
    <w:p w14:paraId="09116723" w14:textId="77777777" w:rsidR="000A030B" w:rsidRDefault="00985EDE">
      <w:pPr>
        <w:spacing w:after="160"/>
        <w:jc w:val="both"/>
      </w:pPr>
      <w:r>
        <w:lastRenderedPageBreak/>
        <w:t>La contribución relativa de cada tipo de dato genómico a la capacidad predictiva de los mod</w:t>
      </w:r>
      <w:r>
        <w:t xml:space="preserve">elos de supervivencia ha sido analizada en varios estudios comparativos. </w:t>
      </w:r>
      <w:proofErr w:type="spellStart"/>
      <w:r>
        <w:t>Tong</w:t>
      </w:r>
      <w:proofErr w:type="spellEnd"/>
      <w:r>
        <w:t xml:space="preserve"> et al. (2021) [17] encontraron que la expresión génica (mRNA) era consistentemente la modalidad más informativa, seguida de </w:t>
      </w:r>
      <w:proofErr w:type="spellStart"/>
      <w:r>
        <w:t>miRNA</w:t>
      </w:r>
      <w:proofErr w:type="spellEnd"/>
      <w:r>
        <w:t>, metilación del ADN y CNV. Sin embargo, la jerar</w:t>
      </w:r>
      <w:r>
        <w:t>quía varía según el tipo de cáncer: en glioblastoma y cáncer renal, la metilación tiene una contribución pronóstica comparable o superior a la expresión génica, mientras que en cáncer de mama y colorrectal, la expresión génica domina claramente.</w:t>
      </w:r>
    </w:p>
    <w:p w14:paraId="7BAE4CDA" w14:textId="77777777" w:rsidR="000A030B" w:rsidRDefault="00985EDE">
      <w:pPr>
        <w:spacing w:after="160"/>
        <w:jc w:val="both"/>
      </w:pPr>
      <w:r>
        <w:t>Las mutaciones somáticas presentan una contribución pronóstica más heterogénea: mientras que en cáncer de pulmón las mutaciones en EGFR, KRAS y ALK tienen un valor pronóstico y predictivo bien establecido [24], en cáncer de mama las mutaciones somáticas ap</w:t>
      </w:r>
      <w:r>
        <w:t>ortan información incremental modesta sobre la que ya proporciona la expresión génica. Este fenómeno se explica porque las mutaciones son eventos discretos y su frecuencia de ocurrencia individual es baja en la mayoría de los genes (excepto en genes conduc</w:t>
      </w:r>
      <w:r>
        <w:t>tores), mientras que la expresión génica integra el efecto de múltiples alteraciones moleculares aguas abajo.</w:t>
      </w:r>
    </w:p>
    <w:p w14:paraId="68C74EAA" w14:textId="77777777" w:rsidR="000A030B" w:rsidRDefault="000A030B">
      <w:pPr>
        <w:spacing w:after="100"/>
      </w:pPr>
    </w:p>
    <w:p w14:paraId="4121B92F" w14:textId="77777777" w:rsidR="000A030B" w:rsidRDefault="00985EDE">
      <w:pPr>
        <w:pStyle w:val="Ttulo2"/>
      </w:pPr>
      <w:r>
        <w:t>2.6 Estado del arte en cáncer de mama</w:t>
      </w:r>
    </w:p>
    <w:p w14:paraId="45CA095B" w14:textId="77777777" w:rsidR="000A030B" w:rsidRDefault="00985EDE">
      <w:pPr>
        <w:pStyle w:val="Ttulo3"/>
      </w:pPr>
      <w:r>
        <w:t>2.6.1 Clasificación molecular y pronóstico</w:t>
      </w:r>
    </w:p>
    <w:p w14:paraId="72D5B442" w14:textId="77777777" w:rsidR="000A030B" w:rsidRDefault="00985EDE">
      <w:pPr>
        <w:spacing w:after="160"/>
        <w:jc w:val="both"/>
      </w:pPr>
      <w:r>
        <w:t>La clasificación molecular del cáncer de mama ha sido uno de los</w:t>
      </w:r>
      <w:r>
        <w:t xml:space="preserve"> avances más importantes en oncología del siglo XXI. A partir del trabajo pionero de </w:t>
      </w:r>
      <w:proofErr w:type="spellStart"/>
      <w:r>
        <w:t>Perou</w:t>
      </w:r>
      <w:proofErr w:type="spellEnd"/>
      <w:r>
        <w:t xml:space="preserve"> et al. (2000) [22], que identificó cuatro subtipos intrínsecos mediante perfiles de expresión génica (Luminal A, Luminal B, HER2-enriched y Triple Negativo/Basal-</w:t>
      </w:r>
      <w:proofErr w:type="spellStart"/>
      <w:r>
        <w:t>lik</w:t>
      </w:r>
      <w:r>
        <w:t>e</w:t>
      </w:r>
      <w:proofErr w:type="spellEnd"/>
      <w:r>
        <w:t>), múltiples estudios han demostrado que estos subtipos tienen perfiles de supervivencia radicalmente distintos, con tasas de supervivencia relativa a 5 años que oscilan entre el 92% para Luminal A y el 77% para Triple Negativo en estadios tempranos [25].</w:t>
      </w:r>
    </w:p>
    <w:p w14:paraId="0B713DC4" w14:textId="06D2A759" w:rsidR="000A030B" w:rsidRDefault="00985EDE">
      <w:pPr>
        <w:spacing w:after="160"/>
        <w:jc w:val="both"/>
      </w:pPr>
      <w:r>
        <w:t xml:space="preserve">La integración de marcadores genómicos en puntuaciones de riesgo clínicamente validadas ha transformado la práctica oncológica en cáncer de mama. El test </w:t>
      </w:r>
      <w:proofErr w:type="spellStart"/>
      <w:r>
        <w:t>Oncotype</w:t>
      </w:r>
      <w:proofErr w:type="spellEnd"/>
      <w:r>
        <w:t xml:space="preserve"> DX [26] analiza la expresión de 21 genes para estimar el riesgo de recurrencia a 10 años y g</w:t>
      </w:r>
      <w:r>
        <w:t>uiar la decisión de</w:t>
      </w:r>
      <w:r w:rsidR="000206C3">
        <w:t xml:space="preserve"> tratar con</w:t>
      </w:r>
      <w:r>
        <w:t xml:space="preserve"> quimioterapia </w:t>
      </w:r>
      <w:r w:rsidR="000206C3">
        <w:t>a</w:t>
      </w:r>
      <w:r>
        <w:t xml:space="preserve"> pacientes con cáncer de mama luminal en estadio precoz. </w:t>
      </w:r>
      <w:proofErr w:type="spellStart"/>
      <w:r>
        <w:t>MammaPrint</w:t>
      </w:r>
      <w:proofErr w:type="spellEnd"/>
      <w:r>
        <w:t xml:space="preserve"> [27] utiliza 70 genes para clasificar pacientes en riesgo alto o bajo de metástasis a distancia. Ambas herramientas han demostrado su utilidad</w:t>
      </w:r>
      <w:r>
        <w:t xml:space="preserve"> clínica en ensayos aleatorios prospectivos (</w:t>
      </w:r>
      <w:proofErr w:type="spellStart"/>
      <w:r>
        <w:t>TAILORx</w:t>
      </w:r>
      <w:proofErr w:type="spellEnd"/>
      <w:r>
        <w:t xml:space="preserve"> [28] y MINDACT [29], respectivamente), validando el principio de que los datos genómicos mejoran la precisión pronóstica respecto a los factores clínico-patológicos convencionales.</w:t>
      </w:r>
    </w:p>
    <w:p w14:paraId="125B505D" w14:textId="77777777" w:rsidR="000A030B" w:rsidRDefault="00985EDE">
      <w:pPr>
        <w:pStyle w:val="Ttulo3"/>
      </w:pPr>
      <w:r>
        <w:t>2.6.2 Modelos de super</w:t>
      </w:r>
      <w:r>
        <w:t>vivencia basados en TCGA-BRCA y METABRIC</w:t>
      </w:r>
    </w:p>
    <w:p w14:paraId="5426B030" w14:textId="77777777" w:rsidR="000A030B" w:rsidRDefault="00985EDE">
      <w:pPr>
        <w:spacing w:after="160"/>
        <w:jc w:val="both"/>
      </w:pPr>
      <w:r>
        <w:t xml:space="preserve">En el ámbito del aprendizaje automático, numerosos estudios han aplicado modelos de supervivencia sobre TCGA-BRCA y/o METABRIC. La revisión sistemática de </w:t>
      </w:r>
      <w:proofErr w:type="spellStart"/>
      <w:r>
        <w:t>Meng</w:t>
      </w:r>
      <w:proofErr w:type="spellEnd"/>
      <w:r>
        <w:t xml:space="preserve"> et al. (2021) [30] analizó 36 estudios de predicción de</w:t>
      </w:r>
      <w:r>
        <w:t xml:space="preserve"> supervivencia a 5 años en cáncer de mama mediante machine learning, constatando que: (i) los modelos de ensamble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superaban consistentemente a la regresión logística y al modelo de Cox estándar; (</w:t>
      </w:r>
      <w:proofErr w:type="spellStart"/>
      <w:r>
        <w:t>ii</w:t>
      </w:r>
      <w:proofErr w:type="spellEnd"/>
      <w:r>
        <w:t>) el C-</w:t>
      </w:r>
      <w:proofErr w:type="spellStart"/>
      <w:r>
        <w:t>index</w:t>
      </w:r>
      <w:proofErr w:type="spellEnd"/>
      <w:r>
        <w:t xml:space="preserve"> reportado </w:t>
      </w:r>
      <w:r>
        <w:t>variaba ampliamente entre estudios (0,59-0,83) en función del tipo de datos, el horizonte temporal y el pipeline de preprocesamiento; y (</w:t>
      </w:r>
      <w:proofErr w:type="spellStart"/>
      <w:r>
        <w:t>iii</w:t>
      </w:r>
      <w:proofErr w:type="spellEnd"/>
      <w:r>
        <w:t>) únicamente uno de los 36 estudios realizó validación externa, lo que limita severamente las conclusiones sobre gen</w:t>
      </w:r>
      <w:r>
        <w:t>eralización.</w:t>
      </w:r>
    </w:p>
    <w:p w14:paraId="6B420850" w14:textId="77777777" w:rsidR="000A030B" w:rsidRDefault="00985EDE">
      <w:pPr>
        <w:spacing w:after="160"/>
        <w:jc w:val="both"/>
      </w:pPr>
      <w:r>
        <w:t>Gao et al. (2019) [31] construyeron un modelo de supervivencia basado en RSF sobre TCGA-BRCA utilizando datos integrados de expresión génica y variables clínicas (n = 893), obteniendo un C-</w:t>
      </w:r>
      <w:proofErr w:type="spellStart"/>
      <w:r>
        <w:t>index</w:t>
      </w:r>
      <w:proofErr w:type="spellEnd"/>
      <w:r>
        <w:t xml:space="preserve"> de 0,76 en validación cruzada 10-fold. El modelo</w:t>
      </w:r>
      <w:r>
        <w:t xml:space="preserve"> identificó 15 genes con alta importancia pronóstica, entre los que destacaban CENPF, MELK y </w:t>
      </w:r>
      <w:r>
        <w:lastRenderedPageBreak/>
        <w:t>AURKA, genes previamente asociados a la proliferación tumoral y la resistencia a la quimioterapia. La validación del modelo en METABRIC (n = 1.897) resultó en un C</w:t>
      </w:r>
      <w:r>
        <w:t>-</w:t>
      </w:r>
      <w:proofErr w:type="spellStart"/>
      <w:r>
        <w:t>index</w:t>
      </w:r>
      <w:proofErr w:type="spellEnd"/>
      <w:r>
        <w:t xml:space="preserve"> de 0,71, con una reducción de 5 puntos porcentuales respecto a la cohorte de entrenamiento, ilustrando el efecto de la heterogeneidad entre </w:t>
      </w:r>
      <w:proofErr w:type="spellStart"/>
      <w:r>
        <w:t>datasets</w:t>
      </w:r>
      <w:proofErr w:type="spellEnd"/>
      <w:r>
        <w:t xml:space="preserve"> y de las diferencias de plataforma.</w:t>
      </w:r>
    </w:p>
    <w:p w14:paraId="5F45CDF6" w14:textId="77777777" w:rsidR="000A030B" w:rsidRDefault="00985EDE">
      <w:pPr>
        <w:spacing w:after="160"/>
        <w:jc w:val="both"/>
      </w:pPr>
      <w:r>
        <w:t xml:space="preserve">En el contexto específico de </w:t>
      </w:r>
      <w:proofErr w:type="spellStart"/>
      <w:r>
        <w:t>DeepSurv</w:t>
      </w:r>
      <w:proofErr w:type="spellEnd"/>
      <w:r>
        <w:t xml:space="preserve"> aplicado a cáncer de mama,</w:t>
      </w:r>
      <w:r>
        <w:t xml:space="preserve"> </w:t>
      </w:r>
      <w:proofErr w:type="spellStart"/>
      <w:r>
        <w:t>Tapak</w:t>
      </w:r>
      <w:proofErr w:type="spellEnd"/>
      <w:r>
        <w:t xml:space="preserve"> et al. (2019) [32] compararon </w:t>
      </w:r>
      <w:proofErr w:type="spellStart"/>
      <w:r>
        <w:t>DeepSurv</w:t>
      </w:r>
      <w:proofErr w:type="spellEnd"/>
      <w:r>
        <w:t xml:space="preserve"> con RSF, Cox LASSO y regresión de Cox estándar sobre una cohorte de 573 pacientes con datos clínicos y biomarcadores proteicos, reportando que </w:t>
      </w:r>
      <w:proofErr w:type="spellStart"/>
      <w:r>
        <w:t>DeepSurv</w:t>
      </w:r>
      <w:proofErr w:type="spellEnd"/>
      <w:r>
        <w:t xml:space="preserve"> alcanzaba el mayor C-</w:t>
      </w:r>
      <w:proofErr w:type="spellStart"/>
      <w:r>
        <w:t>index</w:t>
      </w:r>
      <w:proofErr w:type="spellEnd"/>
      <w:r>
        <w:t xml:space="preserve"> (0,74) pero requería una cuidad</w:t>
      </w:r>
      <w:r>
        <w:t xml:space="preserve">osa optimización de </w:t>
      </w:r>
      <w:proofErr w:type="spellStart"/>
      <w:r>
        <w:t>hiperparámetros</w:t>
      </w:r>
      <w:proofErr w:type="spellEnd"/>
      <w:r>
        <w:t xml:space="preserve"> para evitar el sobreajuste en este tamaño muestral moderado.</w:t>
      </w:r>
    </w:p>
    <w:p w14:paraId="13FB3B99" w14:textId="77777777" w:rsidR="000A030B" w:rsidRDefault="00985EDE">
      <w:pPr>
        <w:pStyle w:val="Ttulo3"/>
      </w:pPr>
      <w:r>
        <w:t>2.6.3 Tabla resumen de estudios en cáncer de mama</w:t>
      </w:r>
    </w:p>
    <w:p w14:paraId="282A1F45" w14:textId="77777777" w:rsidR="000A030B" w:rsidRDefault="000A030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1321"/>
        <w:gridCol w:w="1823"/>
        <w:gridCol w:w="1234"/>
        <w:gridCol w:w="1367"/>
        <w:gridCol w:w="1890"/>
      </w:tblGrid>
      <w:tr w:rsidR="000A030B" w14:paraId="14463F0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2FE66DD" w14:textId="77777777" w:rsidR="000A030B" w:rsidRDefault="00985EDE">
            <w:pPr>
              <w:jc w:val="center"/>
            </w:pPr>
            <w:r>
              <w:rPr>
                <w:b/>
                <w:bCs/>
                <w:color w:val="FFFFFF"/>
                <w:sz w:val="20"/>
                <w:szCs w:val="20"/>
              </w:rPr>
              <w:t>Estudio (año)</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4BD3375" w14:textId="77777777" w:rsidR="000A030B" w:rsidRDefault="00985EDE">
            <w:pPr>
              <w:jc w:val="center"/>
            </w:pPr>
            <w:proofErr w:type="spellStart"/>
            <w:r>
              <w:rPr>
                <w:b/>
                <w:bCs/>
                <w:color w:val="FFFFFF"/>
                <w:sz w:val="20"/>
                <w:szCs w:val="20"/>
              </w:rPr>
              <w:t>Dataset</w:t>
            </w:r>
            <w:proofErr w:type="spellEnd"/>
            <w:r>
              <w:rPr>
                <w:b/>
                <w:bCs/>
                <w:color w:val="FFFFFF"/>
                <w:sz w:val="20"/>
                <w:szCs w:val="20"/>
              </w:rPr>
              <w:t>(s)</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96BDD0F" w14:textId="77777777" w:rsidR="000A030B" w:rsidRDefault="00985EDE">
            <w:pPr>
              <w:jc w:val="center"/>
            </w:pPr>
            <w:r>
              <w:rPr>
                <w:b/>
                <w:bCs/>
                <w:color w:val="FFFFFF"/>
                <w:sz w:val="20"/>
                <w:szCs w:val="20"/>
              </w:rPr>
              <w:t>Datos de entrada</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A0C3BDB" w14:textId="77777777" w:rsidR="000A030B" w:rsidRDefault="00985EDE">
            <w:pPr>
              <w:jc w:val="center"/>
            </w:pPr>
            <w:r>
              <w:rPr>
                <w:b/>
                <w:bCs/>
                <w:color w:val="FFFFFF"/>
                <w:sz w:val="20"/>
                <w:szCs w:val="20"/>
              </w:rPr>
              <w:t>Mejor modelo</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260E4E7" w14:textId="77777777" w:rsidR="000A030B" w:rsidRDefault="00985EDE">
            <w:pPr>
              <w:jc w:val="center"/>
            </w:pPr>
            <w:r>
              <w:rPr>
                <w:b/>
                <w:bCs/>
                <w:color w:val="FFFFFF"/>
                <w:sz w:val="20"/>
                <w:szCs w:val="20"/>
              </w:rPr>
              <w:t>C-</w:t>
            </w:r>
            <w:proofErr w:type="spellStart"/>
            <w:r>
              <w:rPr>
                <w:b/>
                <w:bCs/>
                <w:color w:val="FFFFFF"/>
                <w:sz w:val="20"/>
                <w:szCs w:val="20"/>
              </w:rPr>
              <w:t>index</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A3A2911" w14:textId="77777777" w:rsidR="000A030B" w:rsidRDefault="00985EDE">
            <w:pPr>
              <w:jc w:val="center"/>
            </w:pPr>
            <w:r>
              <w:rPr>
                <w:b/>
                <w:bCs/>
                <w:color w:val="FFFFFF"/>
                <w:sz w:val="20"/>
                <w:szCs w:val="20"/>
              </w:rPr>
              <w:t>Hallazgo principal</w:t>
            </w:r>
          </w:p>
        </w:tc>
      </w:tr>
      <w:tr w:rsidR="000A030B" w14:paraId="710E7D0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5ECBED1" w14:textId="77777777" w:rsidR="000A030B" w:rsidRDefault="00985EDE">
            <w:r>
              <w:rPr>
                <w:b/>
                <w:bCs/>
                <w:sz w:val="20"/>
                <w:szCs w:val="20"/>
              </w:rPr>
              <w:t>Curtis et al. (2012) [21]</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6613882" w14:textId="77777777" w:rsidR="000A030B" w:rsidRDefault="00985EDE">
            <w:r>
              <w:rPr>
                <w:sz w:val="20"/>
                <w:szCs w:val="20"/>
              </w:rPr>
              <w:t>METABRIC</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AC1B23D" w14:textId="77777777" w:rsidR="000A030B" w:rsidRDefault="00985EDE">
            <w:r>
              <w:rPr>
                <w:sz w:val="20"/>
                <w:szCs w:val="20"/>
              </w:rPr>
              <w:t>Expresión génica + CNV</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3DF8DED" w14:textId="77777777" w:rsidR="000A030B" w:rsidRDefault="00985EDE">
            <w:proofErr w:type="spellStart"/>
            <w:r>
              <w:rPr>
                <w:sz w:val="20"/>
                <w:szCs w:val="20"/>
              </w:rPr>
              <w:t>Clustering</w:t>
            </w:r>
            <w:proofErr w:type="spellEnd"/>
            <w:r>
              <w:rPr>
                <w:sz w:val="20"/>
                <w:szCs w:val="20"/>
              </w:rPr>
              <w:t xml:space="preserve"> integrador</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25486AE" w14:textId="77777777" w:rsidR="000A030B" w:rsidRDefault="00985EDE">
            <w:r>
              <w:rPr>
                <w:sz w:val="20"/>
                <w:szCs w:val="20"/>
              </w:rPr>
              <w:t>N/A</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FBF82EB" w14:textId="77777777" w:rsidR="000A030B" w:rsidRDefault="00985EDE">
            <w:r>
              <w:rPr>
                <w:sz w:val="20"/>
                <w:szCs w:val="20"/>
              </w:rPr>
              <w:t xml:space="preserve">10 subgrupos </w:t>
            </w:r>
            <w:proofErr w:type="spellStart"/>
            <w:r>
              <w:rPr>
                <w:sz w:val="20"/>
                <w:szCs w:val="20"/>
              </w:rPr>
              <w:t>IntClust</w:t>
            </w:r>
            <w:proofErr w:type="spellEnd"/>
            <w:r>
              <w:rPr>
                <w:sz w:val="20"/>
                <w:szCs w:val="20"/>
              </w:rPr>
              <w:t xml:space="preserve"> con pronóstico diferencial</w:t>
            </w:r>
          </w:p>
        </w:tc>
      </w:tr>
      <w:tr w:rsidR="000A030B" w14:paraId="11AE111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3DFC95D" w14:textId="77777777" w:rsidR="000A030B" w:rsidRDefault="00985EDE">
            <w:r>
              <w:rPr>
                <w:b/>
                <w:bCs/>
                <w:sz w:val="20"/>
                <w:szCs w:val="20"/>
              </w:rPr>
              <w:t>Gao et al. (2019) [31]</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B3CE1CE" w14:textId="77777777" w:rsidR="000A030B" w:rsidRDefault="00985EDE">
            <w:r>
              <w:rPr>
                <w:sz w:val="20"/>
                <w:szCs w:val="20"/>
              </w:rPr>
              <w:t>TCGA-BRCA + METABRIC</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9AF80B0" w14:textId="77777777" w:rsidR="000A030B" w:rsidRDefault="00985EDE">
            <w:r>
              <w:rPr>
                <w:sz w:val="20"/>
                <w:szCs w:val="20"/>
              </w:rPr>
              <w:t>Expresión génica + clínico</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E8CC82" w14:textId="77777777" w:rsidR="000A030B" w:rsidRDefault="00985EDE">
            <w:r>
              <w:rPr>
                <w:sz w:val="20"/>
                <w:szCs w:val="20"/>
              </w:rPr>
              <w:t>RSF</w:t>
            </w:r>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9FA78B5" w14:textId="77777777" w:rsidR="000A030B" w:rsidRDefault="00985EDE">
            <w:r>
              <w:rPr>
                <w:sz w:val="20"/>
                <w:szCs w:val="20"/>
              </w:rPr>
              <w:t>0,76 (TCGA) / 0,71 (METABRIC)</w:t>
            </w:r>
          </w:p>
        </w:tc>
        <w:tc>
          <w:tcPr>
            <w:tcW w:w="2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8F59DA8" w14:textId="77777777" w:rsidR="000A030B" w:rsidRDefault="00985EDE">
            <w:r>
              <w:rPr>
                <w:sz w:val="20"/>
                <w:szCs w:val="20"/>
              </w:rPr>
              <w:t>15 genes clave; reducción de 5 puntos en validación externa</w:t>
            </w:r>
          </w:p>
        </w:tc>
      </w:tr>
      <w:tr w:rsidR="000A030B" w14:paraId="5B981A8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DD1AD9D" w14:textId="77777777" w:rsidR="000A030B" w:rsidRDefault="00985EDE">
            <w:proofErr w:type="spellStart"/>
            <w:r>
              <w:rPr>
                <w:b/>
                <w:bCs/>
                <w:sz w:val="20"/>
                <w:szCs w:val="20"/>
              </w:rPr>
              <w:t>Tapak</w:t>
            </w:r>
            <w:proofErr w:type="spellEnd"/>
            <w:r>
              <w:rPr>
                <w:b/>
                <w:bCs/>
                <w:sz w:val="20"/>
                <w:szCs w:val="20"/>
              </w:rPr>
              <w:t xml:space="preserve"> et al. (2019) [32]</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FFE4437" w14:textId="77777777" w:rsidR="000A030B" w:rsidRDefault="00985EDE">
            <w:r>
              <w:rPr>
                <w:sz w:val="20"/>
                <w:szCs w:val="20"/>
              </w:rPr>
              <w:t>Clínico + proteómica</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8BC633" w14:textId="77777777" w:rsidR="000A030B" w:rsidRDefault="00985EDE">
            <w:r>
              <w:rPr>
                <w:sz w:val="20"/>
                <w:szCs w:val="20"/>
              </w:rPr>
              <w:t>Biomarcadores clínicos</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3F72A9" w14:textId="77777777" w:rsidR="000A030B" w:rsidRDefault="00985EDE">
            <w:proofErr w:type="spellStart"/>
            <w:r>
              <w:rPr>
                <w:sz w:val="20"/>
                <w:szCs w:val="20"/>
              </w:rPr>
              <w:t>DeepSurv</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E1E98F4" w14:textId="77777777" w:rsidR="000A030B" w:rsidRDefault="00985EDE">
            <w:r>
              <w:rPr>
                <w:sz w:val="20"/>
                <w:szCs w:val="20"/>
              </w:rPr>
              <w:t>0,74</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6DEC77E" w14:textId="77777777" w:rsidR="000A030B" w:rsidRDefault="00985EDE">
            <w:proofErr w:type="spellStart"/>
            <w:r>
              <w:rPr>
                <w:sz w:val="20"/>
                <w:szCs w:val="20"/>
              </w:rPr>
              <w:t>DeepSurv</w:t>
            </w:r>
            <w:proofErr w:type="spellEnd"/>
            <w:r>
              <w:rPr>
                <w:sz w:val="20"/>
                <w:szCs w:val="20"/>
              </w:rPr>
              <w:t xml:space="preserve"> supera a RSF y Cox con optimización cuidadosa de </w:t>
            </w:r>
            <w:proofErr w:type="spellStart"/>
            <w:r>
              <w:rPr>
                <w:sz w:val="20"/>
                <w:szCs w:val="20"/>
              </w:rPr>
              <w:t>HPs</w:t>
            </w:r>
            <w:proofErr w:type="spellEnd"/>
          </w:p>
        </w:tc>
      </w:tr>
      <w:tr w:rsidR="000A030B" w14:paraId="345198F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3F2461" w14:textId="77777777" w:rsidR="000A030B" w:rsidRDefault="00985EDE">
            <w:proofErr w:type="spellStart"/>
            <w:r>
              <w:rPr>
                <w:b/>
                <w:bCs/>
                <w:sz w:val="20"/>
                <w:szCs w:val="20"/>
              </w:rPr>
              <w:t>Meng</w:t>
            </w:r>
            <w:proofErr w:type="spellEnd"/>
            <w:r>
              <w:rPr>
                <w:b/>
                <w:bCs/>
                <w:sz w:val="20"/>
                <w:szCs w:val="20"/>
              </w:rPr>
              <w:t xml:space="preserve"> et al. (2021) [30]</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2638DEF" w14:textId="77777777" w:rsidR="000A030B" w:rsidRDefault="00985EDE">
            <w:r>
              <w:rPr>
                <w:sz w:val="20"/>
                <w:szCs w:val="20"/>
              </w:rPr>
              <w:t>Revisión sistemática (36 estudios)</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048C47F" w14:textId="77777777" w:rsidR="000A030B" w:rsidRDefault="00985EDE">
            <w:r>
              <w:rPr>
                <w:sz w:val="20"/>
                <w:szCs w:val="20"/>
              </w:rPr>
              <w:t>Variable (clínico/genómico)</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2A6F83A" w14:textId="77777777" w:rsidR="000A030B" w:rsidRDefault="00985EDE">
            <w:r>
              <w:rPr>
                <w:sz w:val="20"/>
                <w:szCs w:val="20"/>
              </w:rPr>
              <w:t xml:space="preserve">Ensemble </w:t>
            </w:r>
            <w:proofErr w:type="spellStart"/>
            <w:r>
              <w:rPr>
                <w:sz w:val="20"/>
                <w:szCs w:val="20"/>
              </w:rPr>
              <w:t>methods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A8DBCD5" w14:textId="77777777" w:rsidR="000A030B" w:rsidRDefault="00985EDE">
            <w:r>
              <w:rPr>
                <w:sz w:val="20"/>
                <w:szCs w:val="20"/>
              </w:rPr>
              <w:t>0,59–0,83</w:t>
            </w:r>
          </w:p>
        </w:tc>
        <w:tc>
          <w:tcPr>
            <w:tcW w:w="2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A922991" w14:textId="77777777" w:rsidR="000A030B" w:rsidRDefault="00985EDE">
            <w:r>
              <w:rPr>
                <w:sz w:val="20"/>
                <w:szCs w:val="20"/>
              </w:rPr>
              <w:t>Solo 1/36 estudios realizó validación externa</w:t>
            </w:r>
          </w:p>
        </w:tc>
      </w:tr>
      <w:tr w:rsidR="000A030B" w14:paraId="54D694F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66D84F" w14:textId="77777777" w:rsidR="000A030B" w:rsidRDefault="00985EDE">
            <w:proofErr w:type="spellStart"/>
            <w:r>
              <w:rPr>
                <w:b/>
                <w:bCs/>
                <w:sz w:val="20"/>
                <w:szCs w:val="20"/>
              </w:rPr>
              <w:t>Tong</w:t>
            </w:r>
            <w:proofErr w:type="spellEnd"/>
            <w:r>
              <w:rPr>
                <w:b/>
                <w:bCs/>
                <w:sz w:val="20"/>
                <w:szCs w:val="20"/>
              </w:rPr>
              <w:t xml:space="preserve"> et al. (2021) [17]</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852398" w14:textId="77777777" w:rsidR="000A030B" w:rsidRDefault="00985EDE">
            <w:r>
              <w:rPr>
                <w:sz w:val="20"/>
                <w:szCs w:val="20"/>
              </w:rPr>
              <w:t>TCGA (15 tipos)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3B35057" w14:textId="77777777" w:rsidR="000A030B" w:rsidRDefault="00985EDE">
            <w:r>
              <w:rPr>
                <w:sz w:val="20"/>
                <w:szCs w:val="20"/>
              </w:rPr>
              <w:t xml:space="preserve">mRNA + </w:t>
            </w:r>
            <w:proofErr w:type="spellStart"/>
            <w:r>
              <w:rPr>
                <w:sz w:val="20"/>
                <w:szCs w:val="20"/>
              </w:rPr>
              <w:t>miRNA</w:t>
            </w:r>
            <w:proofErr w:type="spellEnd"/>
            <w:r>
              <w:rPr>
                <w:sz w:val="20"/>
                <w:szCs w:val="20"/>
              </w:rPr>
              <w:t xml:space="preserve"> + metilación + CNV</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11DF671" w14:textId="77777777" w:rsidR="000A030B" w:rsidRDefault="00985EDE">
            <w:r>
              <w:rPr>
                <w:sz w:val="20"/>
                <w:szCs w:val="20"/>
              </w:rPr>
              <w:t>DCAP (Deep, multimodal)</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8428EB" w14:textId="77777777" w:rsidR="000A030B" w:rsidRDefault="00985EDE">
            <w:r>
              <w:rPr>
                <w:sz w:val="20"/>
                <w:szCs w:val="20"/>
              </w:rPr>
              <w:t>+5,9% vs unimodal</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A226702" w14:textId="77777777" w:rsidR="000A030B" w:rsidRDefault="00985EDE">
            <w:r>
              <w:rPr>
                <w:sz w:val="20"/>
                <w:szCs w:val="20"/>
              </w:rPr>
              <w:t>La integración multimodal mejora consistentemente al unimodal</w:t>
            </w:r>
          </w:p>
        </w:tc>
      </w:tr>
    </w:tbl>
    <w:p w14:paraId="471C9387" w14:textId="77777777" w:rsidR="000A030B" w:rsidRDefault="000A030B">
      <w:pPr>
        <w:spacing w:after="100"/>
      </w:pPr>
    </w:p>
    <w:p w14:paraId="2E5481CD" w14:textId="77777777" w:rsidR="000A030B" w:rsidRDefault="00985EDE">
      <w:pPr>
        <w:pStyle w:val="Ttulo2"/>
      </w:pPr>
      <w:r>
        <w:t>2.7 Estado del arte en cáncer de pulmón no microcítico (NSCLC)</w:t>
      </w:r>
    </w:p>
    <w:p w14:paraId="7B04748E" w14:textId="77777777" w:rsidR="000A030B" w:rsidRDefault="00985EDE">
      <w:pPr>
        <w:pStyle w:val="Ttulo3"/>
      </w:pPr>
      <w:r>
        <w:t>2.7.1 Heterogeneidad molecular y relevancia pronóstica</w:t>
      </w:r>
    </w:p>
    <w:p w14:paraId="74F858AE" w14:textId="77777777" w:rsidR="000A030B" w:rsidRDefault="00985EDE">
      <w:pPr>
        <w:spacing w:after="160"/>
        <w:jc w:val="both"/>
      </w:pPr>
      <w:r>
        <w:t>El cáncer de pulmón no microcítico (NSCLC) abarca aproximadamente el 85% de todos los cánceres de pulmón y se subdivide histológicamente en adenocarcinoma (LUAD, ~40%), carcinoma de células escamosas (LUSC, ~25%) y carcinoma de células grandes (~10%). Esta</w:t>
      </w:r>
      <w:r>
        <w:t xml:space="preserve"> heterogeneidad histológica se corresponde con perfiles moleculares y pronósticos marcadamente distintos, lo que hace del NSCLC un objeto de estudio especialmente complejo y relevante para el análisis de supervivencia basado en genómica.</w:t>
      </w:r>
    </w:p>
    <w:p w14:paraId="766EF708" w14:textId="77777777" w:rsidR="000A030B" w:rsidRDefault="00985EDE">
      <w:pPr>
        <w:spacing w:after="160"/>
        <w:jc w:val="both"/>
      </w:pPr>
      <w:r>
        <w:t>El proyecto TCGA h</w:t>
      </w:r>
      <w:r>
        <w:t xml:space="preserve">a generado caracterizaciones moleculares exhaustivas tanto de LUAD [33] como de LUSC [34], identificando alteraciones moleculares recurrentes con implicaciones pronósticas y terapéuticas directas. En LUAD, las mutaciones en EGFR </w:t>
      </w:r>
      <w:r>
        <w:lastRenderedPageBreak/>
        <w:t>(presentes en ~15% de los c</w:t>
      </w:r>
      <w:r>
        <w:t>asos en poblaciones occidentales y hasta 50% en poblaciones asiáticas), los reordenamientos de ALK y ROS1, y las mutaciones en KRAS son marcadores de tratamiento dirigido validados. En LUSC, las alteraciones en FGFR1, DDR2 y PIK3CA son los targets terapéut</w:t>
      </w:r>
      <w:r>
        <w:t>icos más prometedores, aunque con menor grado de validación clínica [24].</w:t>
      </w:r>
    </w:p>
    <w:p w14:paraId="1A07D66F" w14:textId="77777777" w:rsidR="000A030B" w:rsidRDefault="00985EDE">
      <w:pPr>
        <w:pStyle w:val="Ttulo3"/>
      </w:pPr>
      <w:r>
        <w:t>2.7.2 Modelos de supervivencia en NSCLC basados en datos genómicos</w:t>
      </w:r>
    </w:p>
    <w:p w14:paraId="39BA22C9" w14:textId="77777777" w:rsidR="000A030B" w:rsidRDefault="00985EDE">
      <w:pPr>
        <w:spacing w:after="160"/>
        <w:jc w:val="both"/>
      </w:pPr>
      <w:r>
        <w:t>La aplicación de modelos de machine learning al análisis de supervivencia en NSCLC ha recibido considerable atención en la literatura. Spooner et al. (2020) [11] realizaron uno de los estudios comparativos más completos hasta la fecha, evaluando cinco algo</w:t>
      </w:r>
      <w:r>
        <w:t xml:space="preserve">ritmos (Cox LASSO, RSF, SVM, </w:t>
      </w:r>
      <w:proofErr w:type="spellStart"/>
      <w:r>
        <w:t>Gradient</w:t>
      </w:r>
      <w:proofErr w:type="spellEnd"/>
      <w:r>
        <w:t xml:space="preserve"> </w:t>
      </w:r>
      <w:proofErr w:type="spellStart"/>
      <w:r>
        <w:t>Boosting</w:t>
      </w:r>
      <w:proofErr w:type="spellEnd"/>
      <w:r>
        <w:t xml:space="preserve"> y </w:t>
      </w:r>
      <w:proofErr w:type="spellStart"/>
      <w:r>
        <w:t>DeepSurv</w:t>
      </w:r>
      <w:proofErr w:type="spellEnd"/>
      <w:r>
        <w:t>) sobre datos integrados de expresión génica del TCGA (LUAD y LUSC combinados, n = 959). Sus resultados indicaron que el RSF alcanzó el mayor C-</w:t>
      </w:r>
      <w:proofErr w:type="spellStart"/>
      <w:r>
        <w:t>index</w:t>
      </w:r>
      <w:proofErr w:type="spellEnd"/>
      <w:r>
        <w:t xml:space="preserve"> global (0,68), seguido de </w:t>
      </w:r>
      <w:proofErr w:type="spellStart"/>
      <w:r>
        <w:t>DeepSurv</w:t>
      </w:r>
      <w:proofErr w:type="spellEnd"/>
      <w:r>
        <w:t xml:space="preserve"> (0,66) y Cox L</w:t>
      </w:r>
      <w:r>
        <w:t>ASSO (0,61). Los autores concluyeron que la ganancia de los modelos más complejos respecto al Cox penalizado era estadísticamente significativa pero modesta en términos absolutos, y que el beneficio del aprendizaje automático era más pronunciado en el subt</w:t>
      </w:r>
      <w:r>
        <w:t>ipo LUSC que en LUAD.</w:t>
      </w:r>
    </w:p>
    <w:p w14:paraId="34D55748" w14:textId="77777777" w:rsidR="000A030B" w:rsidRDefault="00985EDE">
      <w:pPr>
        <w:spacing w:after="160"/>
        <w:jc w:val="both"/>
      </w:pPr>
      <w:r>
        <w:t>La separación del análisis por subtipo histológico (LUAD vs. LUSC) es una recomendación metodológica importante que emerge de varios estudios: dado que LUAD y LUSC presentan perfiles moleculares y de supervivencia distintos, el entren</w:t>
      </w:r>
      <w:r>
        <w:t>amiento de un modelo conjunto puede resultar en un rendimiento inferior al de modelos específicos para cada subtipo. Lu et al. (2020) [35] demostraron empíricamente esta diferencia sobre TCGA, con C-</w:t>
      </w:r>
      <w:proofErr w:type="spellStart"/>
      <w:r>
        <w:t>index</w:t>
      </w:r>
      <w:proofErr w:type="spellEnd"/>
      <w:r>
        <w:t xml:space="preserve"> de 0,72 y 0,68 para modelos específicos de LUAD y L</w:t>
      </w:r>
      <w:r>
        <w:t>USC respectivamente, frente a 0,65 para un modelo NSCLC combinado.</w:t>
      </w:r>
    </w:p>
    <w:p w14:paraId="77822BF6" w14:textId="77777777" w:rsidR="000A030B" w:rsidRDefault="00985EDE">
      <w:pPr>
        <w:pStyle w:val="Ttulo3"/>
      </w:pPr>
      <w:r>
        <w:t>2.7.3 Tabla resumen de estudios en cáncer de pulmón</w:t>
      </w:r>
    </w:p>
    <w:p w14:paraId="57DD6F28" w14:textId="77777777" w:rsidR="000A030B" w:rsidRDefault="000A030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1384"/>
        <w:gridCol w:w="1489"/>
        <w:gridCol w:w="1221"/>
        <w:gridCol w:w="997"/>
        <w:gridCol w:w="2168"/>
      </w:tblGrid>
      <w:tr w:rsidR="000A030B" w14:paraId="17968A4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4FE35DC" w14:textId="77777777" w:rsidR="000A030B" w:rsidRDefault="00985EDE">
            <w:pPr>
              <w:jc w:val="center"/>
            </w:pPr>
            <w:r>
              <w:rPr>
                <w:b/>
                <w:bCs/>
                <w:color w:val="FFFFFF"/>
                <w:sz w:val="20"/>
                <w:szCs w:val="20"/>
              </w:rPr>
              <w:t>Estudio (año)</w:t>
            </w:r>
          </w:p>
        </w:tc>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7651B15" w14:textId="77777777" w:rsidR="000A030B" w:rsidRDefault="00985EDE">
            <w:pPr>
              <w:jc w:val="center"/>
            </w:pPr>
            <w:proofErr w:type="spellStart"/>
            <w:r>
              <w:rPr>
                <w:b/>
                <w:bCs/>
                <w:color w:val="FFFFFF"/>
                <w:sz w:val="20"/>
                <w:szCs w:val="20"/>
              </w:rPr>
              <w:t>Dataset</w:t>
            </w:r>
            <w:proofErr w:type="spellEnd"/>
            <w:r>
              <w:rPr>
                <w:b/>
                <w:bCs/>
                <w:color w:val="FFFFFF"/>
                <w:sz w:val="20"/>
                <w:szCs w:val="20"/>
              </w:rPr>
              <w:t>(s)</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CCCA628" w14:textId="77777777" w:rsidR="000A030B" w:rsidRDefault="00985EDE">
            <w:pPr>
              <w:jc w:val="center"/>
            </w:pPr>
            <w:r>
              <w:rPr>
                <w:b/>
                <w:bCs/>
                <w:color w:val="FFFFFF"/>
                <w:sz w:val="20"/>
                <w:szCs w:val="20"/>
              </w:rPr>
              <w:t>Datos de entrada</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20F28D7" w14:textId="77777777" w:rsidR="000A030B" w:rsidRDefault="00985EDE">
            <w:pPr>
              <w:jc w:val="center"/>
            </w:pPr>
            <w:r>
              <w:rPr>
                <w:b/>
                <w:bCs/>
                <w:color w:val="FFFFFF"/>
                <w:sz w:val="20"/>
                <w:szCs w:val="20"/>
              </w:rPr>
              <w:t>Mejor modelo</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A9EB7EA" w14:textId="77777777" w:rsidR="000A030B" w:rsidRDefault="00985EDE">
            <w:pPr>
              <w:jc w:val="center"/>
            </w:pPr>
            <w:r>
              <w:rPr>
                <w:b/>
                <w:bCs/>
                <w:color w:val="FFFFFF"/>
                <w:sz w:val="20"/>
                <w:szCs w:val="20"/>
              </w:rPr>
              <w:t>C-</w:t>
            </w:r>
            <w:proofErr w:type="spellStart"/>
            <w:r>
              <w:rPr>
                <w:b/>
                <w:bCs/>
                <w:color w:val="FFFFFF"/>
                <w:sz w:val="20"/>
                <w:szCs w:val="20"/>
              </w:rPr>
              <w:t>index</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60276DB" w14:textId="77777777" w:rsidR="000A030B" w:rsidRDefault="00985EDE">
            <w:pPr>
              <w:jc w:val="center"/>
            </w:pPr>
            <w:r>
              <w:rPr>
                <w:b/>
                <w:bCs/>
                <w:color w:val="FFFFFF"/>
                <w:sz w:val="20"/>
                <w:szCs w:val="20"/>
              </w:rPr>
              <w:t>Hallazgo principal</w:t>
            </w:r>
          </w:p>
        </w:tc>
      </w:tr>
      <w:tr w:rsidR="000A030B" w14:paraId="4B6C07E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445E2E" w14:textId="77777777" w:rsidR="000A030B" w:rsidRDefault="00985EDE">
            <w:r>
              <w:rPr>
                <w:b/>
                <w:bCs/>
                <w:sz w:val="20"/>
                <w:szCs w:val="20"/>
              </w:rPr>
              <w:t>TCGA LUAD Network (2014) [33]</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DDB2A6" w14:textId="77777777" w:rsidR="000A030B" w:rsidRDefault="00985EDE">
            <w:r>
              <w:rPr>
                <w:sz w:val="20"/>
                <w:szCs w:val="20"/>
              </w:rPr>
              <w:t>TCGA-LUAD</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1B5D07" w14:textId="77777777" w:rsidR="000A030B" w:rsidRDefault="00985EDE">
            <w:proofErr w:type="spellStart"/>
            <w:r>
              <w:rPr>
                <w:sz w:val="20"/>
                <w:szCs w:val="20"/>
              </w:rPr>
              <w:t>Multiómico</w:t>
            </w:r>
            <w:proofErr w:type="spellEnd"/>
            <w:r>
              <w:rPr>
                <w:sz w:val="20"/>
                <w:szCs w:val="20"/>
              </w:rPr>
              <w:t xml:space="preserve"> completo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CC9D66" w14:textId="77777777" w:rsidR="000A030B" w:rsidRDefault="00985EDE">
            <w:r>
              <w:rPr>
                <w:sz w:val="20"/>
                <w:szCs w:val="20"/>
              </w:rPr>
              <w:t>Análisis de subtipos</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BF334F" w14:textId="77777777" w:rsidR="000A030B" w:rsidRDefault="00985EDE">
            <w:r>
              <w:rPr>
                <w:sz w:val="20"/>
                <w:szCs w:val="20"/>
              </w:rPr>
              <w:t>N/A</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8205510" w14:textId="77777777" w:rsidR="000A030B" w:rsidRDefault="00985EDE">
            <w:r>
              <w:rPr>
                <w:sz w:val="20"/>
                <w:szCs w:val="20"/>
              </w:rPr>
              <w:t>3 subtipos moleculares con perfiles de supervivencia diferenciados</w:t>
            </w:r>
          </w:p>
        </w:tc>
      </w:tr>
      <w:tr w:rsidR="000A030B" w14:paraId="382D7B7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A78E305" w14:textId="77777777" w:rsidR="000A030B" w:rsidRDefault="00985EDE">
            <w:r>
              <w:rPr>
                <w:b/>
                <w:bCs/>
                <w:sz w:val="20"/>
                <w:szCs w:val="20"/>
              </w:rPr>
              <w:t>Spooner et al. (2020) [11]</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AA9FB13" w14:textId="77777777" w:rsidR="000A030B" w:rsidRDefault="00985EDE">
            <w:r>
              <w:rPr>
                <w:sz w:val="20"/>
                <w:szCs w:val="20"/>
              </w:rPr>
              <w:t>TCGA-LUAD+LUSC</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611F3F3" w14:textId="77777777" w:rsidR="000A030B" w:rsidRDefault="00985EDE">
            <w:r>
              <w:rPr>
                <w:sz w:val="20"/>
                <w:szCs w:val="20"/>
              </w:rPr>
              <w:t>Expresión génica</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9C88845" w14:textId="77777777" w:rsidR="000A030B" w:rsidRDefault="00985EDE">
            <w:r>
              <w:rPr>
                <w:sz w:val="20"/>
                <w:szCs w:val="20"/>
              </w:rPr>
              <w:t>RSF</w:t>
            </w:r>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D20947C" w14:textId="77777777" w:rsidR="000A030B" w:rsidRDefault="00985EDE">
            <w:r>
              <w:rPr>
                <w:sz w:val="20"/>
                <w:szCs w:val="20"/>
              </w:rPr>
              <w:t>0,68</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5ED3595" w14:textId="77777777" w:rsidR="000A030B" w:rsidRDefault="00985EDE">
            <w:r>
              <w:rPr>
                <w:sz w:val="20"/>
                <w:szCs w:val="20"/>
              </w:rPr>
              <w:t xml:space="preserve">RSF supera a </w:t>
            </w:r>
            <w:proofErr w:type="spellStart"/>
            <w:r>
              <w:rPr>
                <w:sz w:val="20"/>
                <w:szCs w:val="20"/>
              </w:rPr>
              <w:t>DeepSurv</w:t>
            </w:r>
            <w:proofErr w:type="spellEnd"/>
            <w:r>
              <w:rPr>
                <w:sz w:val="20"/>
                <w:szCs w:val="20"/>
              </w:rPr>
              <w:t xml:space="preserve"> y Cox; ventaja más pronunciada en LUSC</w:t>
            </w:r>
          </w:p>
        </w:tc>
      </w:tr>
      <w:tr w:rsidR="000A030B" w14:paraId="26229DE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3E6FC2B" w14:textId="77777777" w:rsidR="000A030B" w:rsidRDefault="00985EDE">
            <w:r>
              <w:rPr>
                <w:b/>
                <w:bCs/>
                <w:sz w:val="20"/>
                <w:szCs w:val="20"/>
              </w:rPr>
              <w:t>Lu et al. (2020) [35]</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F64D956" w14:textId="77777777" w:rsidR="000A030B" w:rsidRDefault="00985EDE">
            <w:r>
              <w:rPr>
                <w:sz w:val="20"/>
                <w:szCs w:val="20"/>
              </w:rPr>
              <w:t>TCGA-LUAD+LUSC</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F2784F" w14:textId="77777777" w:rsidR="000A030B" w:rsidRDefault="00985EDE">
            <w:r>
              <w:rPr>
                <w:sz w:val="20"/>
                <w:szCs w:val="20"/>
              </w:rPr>
              <w:t>Expresión génica + mutaciones</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FE2DCA" w14:textId="77777777" w:rsidR="000A030B" w:rsidRDefault="00985EDE">
            <w:r>
              <w:rPr>
                <w:sz w:val="20"/>
                <w:szCs w:val="20"/>
              </w:rPr>
              <w:t>RSF específico por subtipo</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C2F75F9" w14:textId="77777777" w:rsidR="000A030B" w:rsidRDefault="00985EDE">
            <w:r>
              <w:rPr>
                <w:sz w:val="20"/>
                <w:szCs w:val="20"/>
              </w:rPr>
              <w:t>0,72 (LUAD)</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CDB843" w14:textId="77777777" w:rsidR="000A030B" w:rsidRDefault="00985EDE">
            <w:r>
              <w:rPr>
                <w:sz w:val="20"/>
                <w:szCs w:val="20"/>
              </w:rPr>
              <w:t>Modelos específicos por subtipo superan modelos NSCLC combinados</w:t>
            </w:r>
          </w:p>
        </w:tc>
      </w:tr>
      <w:tr w:rsidR="000A030B" w14:paraId="331EEA3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910B6A2" w14:textId="77777777" w:rsidR="000A030B" w:rsidRDefault="00985EDE">
            <w:r>
              <w:rPr>
                <w:b/>
                <w:bCs/>
                <w:sz w:val="20"/>
                <w:szCs w:val="20"/>
              </w:rPr>
              <w:t>Huang et al. (2020) [14]</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13B272A" w14:textId="77777777" w:rsidR="000A030B" w:rsidRDefault="00985EDE">
            <w:r>
              <w:rPr>
                <w:sz w:val="20"/>
                <w:szCs w:val="20"/>
              </w:rPr>
              <w:t>TCGA (14 tipos)</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55A4695" w14:textId="77777777" w:rsidR="000A030B" w:rsidRDefault="00985EDE">
            <w:r>
              <w:rPr>
                <w:sz w:val="20"/>
                <w:szCs w:val="20"/>
              </w:rPr>
              <w:t>Expresión génica</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352912E" w14:textId="77777777" w:rsidR="000A030B" w:rsidRDefault="00985EDE">
            <w:proofErr w:type="spellStart"/>
            <w:r>
              <w:rPr>
                <w:sz w:val="20"/>
                <w:szCs w:val="20"/>
              </w:rPr>
              <w:t>DeepSurv</w:t>
            </w:r>
            <w:proofErr w:type="spellEnd"/>
            <w:r>
              <w:rPr>
                <w:sz w:val="20"/>
                <w:szCs w:val="20"/>
              </w:rPr>
              <w:t xml:space="preserve"> (8/14 tipos)</w:t>
            </w:r>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1985D65" w14:textId="77777777" w:rsidR="000A030B" w:rsidRDefault="00985EDE">
            <w:r>
              <w:rPr>
                <w:sz w:val="20"/>
                <w:szCs w:val="20"/>
              </w:rPr>
              <w:t>Variable</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D438A56" w14:textId="77777777" w:rsidR="000A030B" w:rsidRDefault="00985EDE">
            <w:proofErr w:type="spellStart"/>
            <w:r>
              <w:rPr>
                <w:sz w:val="20"/>
                <w:szCs w:val="20"/>
              </w:rPr>
              <w:t>DeepSurv</w:t>
            </w:r>
            <w:proofErr w:type="spellEnd"/>
            <w:r>
              <w:rPr>
                <w:sz w:val="20"/>
                <w:szCs w:val="20"/>
              </w:rPr>
              <w:t xml:space="preserve"> supera RSF y Cox en la mayoría de tipos; dependiente del n muestral</w:t>
            </w:r>
          </w:p>
        </w:tc>
      </w:tr>
    </w:tbl>
    <w:p w14:paraId="440D527F" w14:textId="77777777" w:rsidR="000A030B" w:rsidRDefault="000A030B">
      <w:pPr>
        <w:spacing w:after="100"/>
      </w:pPr>
    </w:p>
    <w:p w14:paraId="4E22A349" w14:textId="77777777" w:rsidR="000A030B" w:rsidRDefault="00985EDE">
      <w:pPr>
        <w:pStyle w:val="Ttulo2"/>
      </w:pPr>
      <w:r>
        <w:lastRenderedPageBreak/>
        <w:t xml:space="preserve">2.8 Validación cruzada entre </w:t>
      </w:r>
      <w:proofErr w:type="spellStart"/>
      <w:r>
        <w:t>datasets</w:t>
      </w:r>
      <w:proofErr w:type="spellEnd"/>
      <w:r>
        <w:t xml:space="preserve"> y generalización de modelos</w:t>
      </w:r>
    </w:p>
    <w:p w14:paraId="21DEF67F" w14:textId="77777777" w:rsidR="000A030B" w:rsidRDefault="00985EDE">
      <w:pPr>
        <w:pStyle w:val="Ttulo3"/>
      </w:pPr>
      <w:r>
        <w:t>2.8.1 Importancia y estado actual</w:t>
      </w:r>
    </w:p>
    <w:p w14:paraId="01A32ADA" w14:textId="77777777" w:rsidR="000A030B" w:rsidRDefault="00985EDE">
      <w:pPr>
        <w:spacing w:after="160"/>
        <w:jc w:val="both"/>
      </w:pPr>
      <w:r>
        <w:t>La evaluación de la generalización de los modelos predictivos mediante validación externa en cohortes independientes es un requisito metodológico fundamenta</w:t>
      </w:r>
      <w:r>
        <w:t xml:space="preserve">l que, a pesar de su importancia, se cumple de forma muy inconsistente en la literatura de aprendizaje automático oncológico. La revisión de </w:t>
      </w:r>
      <w:proofErr w:type="spellStart"/>
      <w:r>
        <w:t>Meng</w:t>
      </w:r>
      <w:proofErr w:type="spellEnd"/>
      <w:r>
        <w:t xml:space="preserve"> et al. (2021) [30] constató que el 97% de los estudios revisados sobre cáncer de mama no realizaron validación</w:t>
      </w:r>
      <w:r>
        <w:t xml:space="preserve"> externa. </w:t>
      </w:r>
      <w:proofErr w:type="spellStart"/>
      <w:r>
        <w:t>Dhiman</w:t>
      </w:r>
      <w:proofErr w:type="spellEnd"/>
      <w:r>
        <w:t xml:space="preserve"> et al. (2025) [36] confirmaron este hallazgo en una revisión más amplia, identificando que el riesgo de sesgo metodológico en este tipo de estudios es elevado o muy elevado en más del 80% de los trabajos publicados.</w:t>
      </w:r>
    </w:p>
    <w:p w14:paraId="6BAF8FF6" w14:textId="77777777" w:rsidR="000A030B" w:rsidRDefault="00985EDE">
      <w:pPr>
        <w:spacing w:after="160"/>
        <w:jc w:val="both"/>
      </w:pPr>
      <w:r>
        <w:t>Este déficit tiene impl</w:t>
      </w:r>
      <w:r>
        <w:t xml:space="preserve">icaciones directas en la aplicabilidad clínica de los modelos desarrollados. </w:t>
      </w:r>
      <w:proofErr w:type="spellStart"/>
      <w:r>
        <w:t>Steyerberg</w:t>
      </w:r>
      <w:proofErr w:type="spellEnd"/>
      <w:r>
        <w:t xml:space="preserve"> y </w:t>
      </w:r>
      <w:proofErr w:type="spellStart"/>
      <w:r>
        <w:t>Harrell</w:t>
      </w:r>
      <w:proofErr w:type="spellEnd"/>
      <w:r>
        <w:t xml:space="preserve"> (2021) [37] argumentan que la validación interna (ya sea mediante partición </w:t>
      </w:r>
      <w:proofErr w:type="spellStart"/>
      <w:r>
        <w:t>train</w:t>
      </w:r>
      <w:proofErr w:type="spellEnd"/>
      <w:r>
        <w:t>/test o validación cruzada) solo permite estimar la varianza del rendimiento,</w:t>
      </w:r>
      <w:r>
        <w:t xml:space="preserve"> pero no puede detectar los sesgos derivados de la selección de la cohorte, las diferencias en los protocolos de recogida de datos o la heterogeneidad poblacional. La validación externa, definida como la evaluación del modelo sobre una cohorte recopilada d</w:t>
      </w:r>
      <w:r>
        <w:t>e forma independiente y en un contexto diferente al de entrenamiento, es el único mecanismo que permite establecer con rigor la generalización del modelo.</w:t>
      </w:r>
    </w:p>
    <w:p w14:paraId="4932B4FF" w14:textId="77777777" w:rsidR="000A030B" w:rsidRDefault="00985EDE">
      <w:pPr>
        <w:pStyle w:val="Ttulo3"/>
      </w:pPr>
      <w:r>
        <w:t>2.8.2 Estudios de validación TCGA – METABRIC</w:t>
      </w:r>
    </w:p>
    <w:p w14:paraId="39567DEB" w14:textId="77777777" w:rsidR="000A030B" w:rsidRDefault="00985EDE">
      <w:pPr>
        <w:spacing w:after="160"/>
        <w:jc w:val="both"/>
      </w:pPr>
      <w:r>
        <w:t>En el ámbito específico de cáncer de mama con datos genó</w:t>
      </w:r>
      <w:r>
        <w:t xml:space="preserve">micos, la combinación TCGA-BRCA + METABRIC es la más frecuentemente utilizada para validación cruzada. La diferencia fundamental entre ambos </w:t>
      </w:r>
      <w:proofErr w:type="spellStart"/>
      <w:r>
        <w:t>datasets</w:t>
      </w:r>
      <w:proofErr w:type="spellEnd"/>
      <w:r>
        <w:t xml:space="preserve"> (RNA-</w:t>
      </w:r>
      <w:proofErr w:type="spellStart"/>
      <w:r>
        <w:t>seq</w:t>
      </w:r>
      <w:proofErr w:type="spellEnd"/>
      <w:r>
        <w:t xml:space="preserve"> vs. </w:t>
      </w:r>
      <w:proofErr w:type="spellStart"/>
      <w:r>
        <w:t>microarrays</w:t>
      </w:r>
      <w:proofErr w:type="spellEnd"/>
      <w:r>
        <w:t>) plantea la necesidad de normalización cruzada o corrección de efectos de lote an</w:t>
      </w:r>
      <w:r>
        <w:t>tes de la comparación directa de expresión génica a nivel de valores brutos. Sin embargo, los métodos de puntuación de actividad de vías (</w:t>
      </w:r>
      <w:proofErr w:type="spellStart"/>
      <w:r>
        <w:t>pathway</w:t>
      </w:r>
      <w:proofErr w:type="spellEnd"/>
      <w:r>
        <w:t xml:space="preserve"> </w:t>
      </w:r>
      <w:proofErr w:type="spellStart"/>
      <w:r>
        <w:t>activity</w:t>
      </w:r>
      <w:proofErr w:type="spellEnd"/>
      <w:r>
        <w:t xml:space="preserve"> scores) o de genes de firma (</w:t>
      </w:r>
      <w:proofErr w:type="spellStart"/>
      <w:r>
        <w:t>signature</w:t>
      </w:r>
      <w:proofErr w:type="spellEnd"/>
      <w:r>
        <w:t xml:space="preserve"> scores), al operar en un espacio de características derivadas,</w:t>
      </w:r>
      <w:r>
        <w:t xml:space="preserve"> son más robustos frente a estas diferencias de plataforma [38].</w:t>
      </w:r>
    </w:p>
    <w:p w14:paraId="46296DB2" w14:textId="77777777" w:rsidR="000A030B" w:rsidRDefault="00985EDE">
      <w:pPr>
        <w:spacing w:after="160"/>
        <w:jc w:val="both"/>
      </w:pPr>
      <w:r>
        <w:t>Gao et al. (2019) [31] demostraron que la validación cruzada TCGA→METABRIC resultaba en una reducción media de 4-6 puntos porcentuales en C-</w:t>
      </w:r>
      <w:proofErr w:type="spellStart"/>
      <w:r>
        <w:t>index</w:t>
      </w:r>
      <w:proofErr w:type="spellEnd"/>
      <w:r>
        <w:t>, atribuible tanto a las diferencias de plataf</w:t>
      </w:r>
      <w:r>
        <w:t>orma como a las diferencias en la composición clínica de las cohortes (METABRIC incluye una mayor proporción de pacientes postmenopáusicas y tiene un mayor período de seguimiento). La dirección METABRIC→TCGA no ha sido analizada con la misma frecuencia, en</w:t>
      </w:r>
      <w:r>
        <w:t xml:space="preserve"> parte porque METABRIC se considera la cohorte de referencia de mayor calidad para cáncer de mama.</w:t>
      </w:r>
    </w:p>
    <w:p w14:paraId="3E6230E3" w14:textId="77777777" w:rsidR="000A030B" w:rsidRDefault="00985EDE">
      <w:pPr>
        <w:pStyle w:val="Ttulo3"/>
      </w:pPr>
      <w:r>
        <w:t xml:space="preserve">2.8.3 Estrategias de armonización entre </w:t>
      </w:r>
      <w:proofErr w:type="spellStart"/>
      <w:r>
        <w:t>datasets</w:t>
      </w:r>
      <w:proofErr w:type="spellEnd"/>
    </w:p>
    <w:p w14:paraId="57FA4B88" w14:textId="77777777" w:rsidR="000A030B" w:rsidRDefault="00985EDE">
      <w:pPr>
        <w:spacing w:after="160"/>
        <w:jc w:val="both"/>
      </w:pPr>
      <w:r>
        <w:t xml:space="preserve">Para mitigar el impacto de las diferencias entre </w:t>
      </w:r>
      <w:proofErr w:type="spellStart"/>
      <w:r>
        <w:t>datasets</w:t>
      </w:r>
      <w:proofErr w:type="spellEnd"/>
      <w:r>
        <w:t>, se han desarrollado diversas estrategias metodológicas. Jensen et al. (2021) [20] describieron el proceso de armonización del GDC, que reanaliza todos los datos del TCGA con pipelines estandarizado</w:t>
      </w:r>
      <w:r>
        <w:t>s para minimizar las diferencias debidas al procesamiento computacional. Para las diferencias de plataforma tecnológica (</w:t>
      </w:r>
      <w:proofErr w:type="spellStart"/>
      <w:r>
        <w:t>microarrays</w:t>
      </w:r>
      <w:proofErr w:type="spellEnd"/>
      <w:r>
        <w:t xml:space="preserve"> vs. RNA-</w:t>
      </w:r>
      <w:proofErr w:type="spellStart"/>
      <w:r>
        <w:t>seq</w:t>
      </w:r>
      <w:proofErr w:type="spellEnd"/>
      <w:r>
        <w:t xml:space="preserve">), métodos como </w:t>
      </w:r>
      <w:proofErr w:type="spellStart"/>
      <w:r>
        <w:t>ComBat</w:t>
      </w:r>
      <w:proofErr w:type="spellEnd"/>
      <w:r>
        <w:t xml:space="preserve"> [39] —un modelo de efectos mixtos bayesiano para corrección de </w:t>
      </w:r>
      <w:proofErr w:type="spellStart"/>
      <w:r>
        <w:t>batch</w:t>
      </w:r>
      <w:proofErr w:type="spellEnd"/>
      <w:r>
        <w:t xml:space="preserve"> </w:t>
      </w:r>
      <w:proofErr w:type="spellStart"/>
      <w:r>
        <w:t>effects</w:t>
      </w:r>
      <w:proofErr w:type="spellEnd"/>
      <w:r>
        <w:t>— o la transf</w:t>
      </w:r>
      <w:r>
        <w:t>ormación a rangos percentiles de expresión son los más utilizados en la literatura. En el contexto de este TFM, la estrategia de armonización adoptada se documentará y justificará en el Capítulo 3 (Datos).</w:t>
      </w:r>
    </w:p>
    <w:p w14:paraId="38307CCB" w14:textId="77777777" w:rsidR="000A030B" w:rsidRDefault="000A030B">
      <w:pPr>
        <w:spacing w:after="100"/>
      </w:pPr>
    </w:p>
    <w:p w14:paraId="3730502A" w14:textId="77777777" w:rsidR="000A030B" w:rsidRDefault="00985EDE">
      <w:pPr>
        <w:pStyle w:val="Ttulo2"/>
      </w:pPr>
      <w:r>
        <w:lastRenderedPageBreak/>
        <w:t>2.9 Métricas de evaluación en modelos de superviv</w:t>
      </w:r>
      <w:r>
        <w:t>encia</w:t>
      </w:r>
    </w:p>
    <w:p w14:paraId="53801B9F" w14:textId="77777777" w:rsidR="000A030B" w:rsidRDefault="00985EDE">
      <w:pPr>
        <w:pStyle w:val="Ttulo3"/>
      </w:pPr>
      <w:r>
        <w:t>2.9.1 El índice de concordancia (C-</w:t>
      </w:r>
      <w:proofErr w:type="spellStart"/>
      <w:r>
        <w:t>index</w:t>
      </w:r>
      <w:proofErr w:type="spellEnd"/>
      <w:r>
        <w:t>)</w:t>
      </w:r>
    </w:p>
    <w:p w14:paraId="74B07DB9" w14:textId="77777777" w:rsidR="000A030B" w:rsidRDefault="00985EDE">
      <w:pPr>
        <w:spacing w:after="160"/>
        <w:jc w:val="both"/>
      </w:pPr>
      <w:r>
        <w:t>El índice de concordancia (</w:t>
      </w:r>
      <w:proofErr w:type="spellStart"/>
      <w:r>
        <w:t>Harrell's</w:t>
      </w:r>
      <w:proofErr w:type="spellEnd"/>
      <w:r>
        <w:t xml:space="preserve"> C-</w:t>
      </w:r>
      <w:proofErr w:type="spellStart"/>
      <w:r>
        <w:t>index</w:t>
      </w:r>
      <w:proofErr w:type="spellEnd"/>
      <w:r>
        <w:t>) [40] es la métrica más utilizada en la literatura para evaluar el poder discriminativo de modelos de supervivencia. Mide la probabilidad de que, dado un par de pa</w:t>
      </w:r>
      <w:r>
        <w:t>cientes del que uno ha experimentado el evento, el modelo asigne un riesgo mayor al paciente que experimenta el evento primero. Su interpretación es análoga al área bajo la curva ROC para datos binarios: valores de 0,5 indican rendimiento aleatorio, y valo</w:t>
      </w:r>
      <w:r>
        <w:t>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w:t>
      </w:r>
      <w:r>
        <w:t>os.</w:t>
      </w:r>
    </w:p>
    <w:p w14:paraId="31D40FAE" w14:textId="77777777" w:rsidR="000A030B" w:rsidRDefault="00985EDE">
      <w:pPr>
        <w:spacing w:after="160"/>
        <w:jc w:val="both"/>
      </w:pPr>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w:t>
      </w:r>
      <w:r>
        <w:t>ener calibraciones radicalmente distintas, lo que tiene implicaciones directas en su aplicación clínica. Por esta razón, el uso del C-</w:t>
      </w:r>
      <w:proofErr w:type="spellStart"/>
      <w:r>
        <w:t>index</w:t>
      </w:r>
      <w:proofErr w:type="spellEnd"/>
      <w:r>
        <w:t xml:space="preserve"> debe complementarse con otras métricas.</w:t>
      </w:r>
    </w:p>
    <w:p w14:paraId="2F6A4839" w14:textId="77777777" w:rsidR="000A030B" w:rsidRDefault="00985EDE">
      <w:pPr>
        <w:pStyle w:val="Ttulo3"/>
      </w:pPr>
      <w:r>
        <w:t xml:space="preserve">2.9.2 El </w:t>
      </w:r>
      <w:proofErr w:type="spellStart"/>
      <w:r>
        <w:t>Brier</w:t>
      </w:r>
      <w:proofErr w:type="spellEnd"/>
      <w:r>
        <w:t xml:space="preserve"> Score integrado</w:t>
      </w:r>
    </w:p>
    <w:p w14:paraId="1B618D86" w14:textId="77777777" w:rsidR="000A030B" w:rsidRDefault="00985EDE">
      <w:pPr>
        <w:spacing w:after="160"/>
        <w:jc w:val="both"/>
      </w:pPr>
      <w:r>
        <w:t xml:space="preserve">El </w:t>
      </w:r>
      <w:proofErr w:type="spellStart"/>
      <w:r>
        <w:t>Brier</w:t>
      </w:r>
      <w:proofErr w:type="spellEnd"/>
      <w:r>
        <w:t xml:space="preserve"> Score [41] para supervivencia mide e</w:t>
      </w:r>
      <w:r>
        <w:t xml:space="preserv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w:t>
      </w:r>
      <w:r>
        <w:t>iento, proporcionando una medida conjunta de calibración y discriminación. Un IBS de 0 indica predicción perfecta, un IBS de 0,25 corresponde al score de un modelo que asigna P(supervivencia) = 0,5 a todos los sujetos independientemente de sus característi</w:t>
      </w:r>
      <w:r>
        <w:t>cas (modelo nulo). En la práctica, los modelos bien calibrados en datos oncológicos alcanzan IBS en el rango 0,15-0,22.</w:t>
      </w:r>
    </w:p>
    <w:p w14:paraId="087F06DB" w14:textId="77777777" w:rsidR="000A030B" w:rsidRDefault="00985EDE">
      <w:pPr>
        <w:pStyle w:val="Ttulo3"/>
      </w:pPr>
      <w:r>
        <w:t>2.9.3 El test de log-</w:t>
      </w:r>
      <w:proofErr w:type="spellStart"/>
      <w:r>
        <w:t>rank</w:t>
      </w:r>
      <w:proofErr w:type="spellEnd"/>
      <w:r>
        <w:t xml:space="preserve"> y la estratificación de riesgo</w:t>
      </w:r>
    </w:p>
    <w:p w14:paraId="0C36A361" w14:textId="77777777" w:rsidR="000A030B" w:rsidRDefault="00985EDE">
      <w:pPr>
        <w:spacing w:after="160"/>
        <w:jc w:val="both"/>
      </w:pPr>
      <w:r>
        <w:t>El test de log-</w:t>
      </w:r>
      <w:proofErr w:type="spellStart"/>
      <w:r>
        <w:t>rank</w:t>
      </w:r>
      <w:proofErr w:type="spellEnd"/>
      <w:r>
        <w:t xml:space="preserve"> [42] es el test estadístico estándar para comparar curvas d</w:t>
      </w:r>
      <w:r>
        <w:t>e supervivencia entre grupos. En el contexto de los modelos predictivos, se utiliza habitualmente para evaluar si la estratificación de los pacientes en grupos de riesgo (alto vs. bajo, basada en el score de riesgo del modelo) resulta en diferencias de sup</w:t>
      </w:r>
      <w:r>
        <w:t>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27266CF9" w14:textId="77777777" w:rsidR="000A030B" w:rsidRDefault="000A030B">
      <w:pPr>
        <w:spacing w:after="100"/>
      </w:pPr>
    </w:p>
    <w:p w14:paraId="082F50CC" w14:textId="77777777" w:rsidR="000A030B" w:rsidRDefault="00985EDE">
      <w:pPr>
        <w:pStyle w:val="Ttulo2"/>
      </w:pPr>
      <w:r>
        <w:t>2.10 Síntesis comparativa y brechas de conocimiento</w:t>
      </w:r>
    </w:p>
    <w:p w14:paraId="1A3B4866" w14:textId="77777777" w:rsidR="000A030B" w:rsidRDefault="00985EDE">
      <w:pPr>
        <w:pStyle w:val="Ttulo3"/>
      </w:pPr>
      <w:r>
        <w:t>2.10.1 Tabla comparativa global de metodologías</w:t>
      </w:r>
    </w:p>
    <w:p w14:paraId="6F5543EC" w14:textId="77777777" w:rsidR="000A030B" w:rsidRDefault="000A030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712"/>
        <w:gridCol w:w="1345"/>
        <w:gridCol w:w="1218"/>
        <w:gridCol w:w="1301"/>
        <w:gridCol w:w="1901"/>
      </w:tblGrid>
      <w:tr w:rsidR="000A030B" w14:paraId="2FB16AA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51BB0E4" w14:textId="77777777" w:rsidR="000A030B" w:rsidRDefault="00985EDE">
            <w:pPr>
              <w:jc w:val="center"/>
            </w:pPr>
            <w:r>
              <w:rPr>
                <w:b/>
                <w:bCs/>
                <w:color w:val="FFFFFF"/>
                <w:sz w:val="20"/>
                <w:szCs w:val="20"/>
              </w:rPr>
              <w:t>Método</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25DF3EC" w14:textId="77777777" w:rsidR="000A030B" w:rsidRDefault="00985EDE">
            <w:pPr>
              <w:jc w:val="center"/>
            </w:pPr>
            <w:r>
              <w:rPr>
                <w:b/>
                <w:bCs/>
                <w:color w:val="FFFFFF"/>
                <w:sz w:val="20"/>
                <w:szCs w:val="20"/>
              </w:rPr>
              <w:t>Tipo</w:t>
            </w:r>
          </w:p>
        </w:tc>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9635716" w14:textId="77777777" w:rsidR="000A030B" w:rsidRDefault="00985EDE">
            <w:pPr>
              <w:jc w:val="center"/>
            </w:pPr>
            <w:proofErr w:type="gramStart"/>
            <w:r>
              <w:rPr>
                <w:b/>
                <w:bCs/>
                <w:color w:val="FFFFFF"/>
                <w:sz w:val="20"/>
                <w:szCs w:val="20"/>
              </w:rPr>
              <w:t>Manejo alta</w:t>
            </w:r>
            <w:proofErr w:type="gramEnd"/>
            <w:r>
              <w:rPr>
                <w:b/>
                <w:bCs/>
                <w:color w:val="FFFFFF"/>
                <w:sz w:val="20"/>
                <w:szCs w:val="20"/>
              </w:rPr>
              <w:t xml:space="preserve"> </w:t>
            </w:r>
            <w:proofErr w:type="spellStart"/>
            <w:r>
              <w:rPr>
                <w:b/>
                <w:bCs/>
                <w:color w:val="FFFFFF"/>
                <w:sz w:val="20"/>
                <w:szCs w:val="20"/>
              </w:rPr>
              <w:t>dim</w:t>
            </w:r>
            <w:proofErr w:type="spellEnd"/>
            <w:r>
              <w:rPr>
                <w:b/>
                <w:bCs/>
                <w:color w:val="FFFFFF"/>
                <w:sz w:val="20"/>
                <w:szCs w:val="20"/>
              </w:rPr>
              <w:t>.</w:t>
            </w:r>
          </w:p>
        </w:tc>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310C33C" w14:textId="77777777" w:rsidR="000A030B" w:rsidRDefault="00985EDE">
            <w:pPr>
              <w:jc w:val="center"/>
            </w:pPr>
            <w:r>
              <w:rPr>
                <w:b/>
                <w:bCs/>
                <w:color w:val="FFFFFF"/>
                <w:sz w:val="20"/>
                <w:szCs w:val="20"/>
              </w:rPr>
              <w:t>No linealidad</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51E8FEA" w14:textId="77777777" w:rsidR="000A030B" w:rsidRDefault="00985EDE">
            <w:pPr>
              <w:jc w:val="center"/>
            </w:pPr>
            <w:proofErr w:type="spellStart"/>
            <w:r>
              <w:rPr>
                <w:b/>
                <w:bCs/>
                <w:color w:val="FFFFFF"/>
                <w:sz w:val="20"/>
                <w:szCs w:val="20"/>
              </w:rPr>
              <w:t>Interpretab</w:t>
            </w:r>
            <w:proofErr w:type="spellEnd"/>
            <w:r>
              <w:rPr>
                <w:b/>
                <w:bCs/>
                <w:color w:val="FFFFFF"/>
                <w:sz w:val="20"/>
                <w:szCs w:val="20"/>
              </w:rPr>
              <w: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083E9EA" w14:textId="77777777" w:rsidR="000A030B" w:rsidRDefault="00985EDE">
            <w:pPr>
              <w:jc w:val="center"/>
            </w:pPr>
            <w:r>
              <w:rPr>
                <w:b/>
                <w:bCs/>
                <w:color w:val="FFFFFF"/>
                <w:sz w:val="20"/>
                <w:szCs w:val="20"/>
              </w:rPr>
              <w:t>Referencia fundacional</w:t>
            </w:r>
          </w:p>
        </w:tc>
      </w:tr>
      <w:tr w:rsidR="000A030B" w14:paraId="4E05E75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45689A6" w14:textId="77777777" w:rsidR="000A030B" w:rsidRDefault="00985EDE">
            <w:r>
              <w:rPr>
                <w:b/>
                <w:bCs/>
                <w:sz w:val="20"/>
                <w:szCs w:val="20"/>
              </w:rPr>
              <w:t>Kaplan-Meier</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6EB897C" w14:textId="77777777" w:rsidR="000A030B" w:rsidRDefault="00985EDE">
            <w:r>
              <w:rPr>
                <w:sz w:val="20"/>
                <w:szCs w:val="20"/>
              </w:rPr>
              <w:t>No paramétrico</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062E44" w14:textId="77777777" w:rsidR="000A030B" w:rsidRDefault="00985EDE">
            <w:r>
              <w:rPr>
                <w:sz w:val="20"/>
                <w:szCs w:val="20"/>
              </w:rPr>
              <w:t>No (univariante)</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929C6D5" w14:textId="77777777" w:rsidR="000A030B" w:rsidRDefault="00985EDE">
            <w:r>
              <w:rPr>
                <w:sz w:val="20"/>
                <w:szCs w:val="20"/>
              </w:rPr>
              <w:t>No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2BDDB4F" w14:textId="77777777" w:rsidR="000A030B" w:rsidRDefault="00985EDE">
            <w:r>
              <w:rPr>
                <w:sz w:val="20"/>
                <w:szCs w:val="20"/>
              </w:rPr>
              <w:t>Alta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89317D3" w14:textId="77777777" w:rsidR="000A030B" w:rsidRDefault="00985EDE">
            <w:r>
              <w:rPr>
                <w:sz w:val="20"/>
                <w:szCs w:val="20"/>
              </w:rPr>
              <w:t>Kaplan &amp; Meier (1958) [1]</w:t>
            </w:r>
          </w:p>
        </w:tc>
      </w:tr>
      <w:tr w:rsidR="000A030B" w14:paraId="46D0988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3892F2D" w14:textId="77777777" w:rsidR="000A030B" w:rsidRDefault="00985EDE">
            <w:r>
              <w:rPr>
                <w:b/>
                <w:bCs/>
                <w:sz w:val="20"/>
                <w:szCs w:val="20"/>
              </w:rPr>
              <w:t>Cox PH (estándar)</w:t>
            </w:r>
          </w:p>
        </w:tc>
        <w:tc>
          <w:tcPr>
            <w:tcW w:w="1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0E3B620" w14:textId="77777777" w:rsidR="000A030B" w:rsidRDefault="00985EDE">
            <w:proofErr w:type="spellStart"/>
            <w:r>
              <w:rPr>
                <w:sz w:val="20"/>
                <w:szCs w:val="20"/>
              </w:rPr>
              <w:t>Semiparamétrico</w:t>
            </w:r>
            <w:proofErr w:type="spellEnd"/>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ACECF3A" w14:textId="77777777" w:rsidR="000A030B" w:rsidRDefault="00985EDE">
            <w:r>
              <w:rPr>
                <w:sz w:val="20"/>
                <w:szCs w:val="20"/>
              </w:rPr>
              <w:t>Limitado (p &lt; n)</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F0C998" w14:textId="77777777" w:rsidR="000A030B" w:rsidRDefault="00985EDE">
            <w:r>
              <w:rPr>
                <w:sz w:val="20"/>
                <w:szCs w:val="20"/>
              </w:rPr>
              <w:t>No</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272D125" w14:textId="77777777" w:rsidR="000A030B" w:rsidRDefault="00985EDE">
            <w:r>
              <w:rPr>
                <w:sz w:val="20"/>
                <w:szCs w:val="20"/>
              </w:rPr>
              <w:t>Alta</w:t>
            </w:r>
          </w:p>
        </w:tc>
        <w:tc>
          <w:tcPr>
            <w:tcW w:w="2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9CE34EA" w14:textId="77777777" w:rsidR="000A030B" w:rsidRDefault="00985EDE">
            <w:r>
              <w:rPr>
                <w:sz w:val="20"/>
                <w:szCs w:val="20"/>
              </w:rPr>
              <w:t>Cox (1972) [3]</w:t>
            </w:r>
          </w:p>
        </w:tc>
      </w:tr>
      <w:tr w:rsidR="000A030B" w14:paraId="025AE14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B784142" w14:textId="77777777" w:rsidR="000A030B" w:rsidRDefault="00985EDE">
            <w:r>
              <w:rPr>
                <w:b/>
                <w:bCs/>
                <w:sz w:val="20"/>
                <w:szCs w:val="20"/>
              </w:rPr>
              <w:lastRenderedPageBreak/>
              <w:t>Cox LASSO</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F6C63CE" w14:textId="77777777" w:rsidR="000A030B" w:rsidRDefault="00985EDE">
            <w:proofErr w:type="spellStart"/>
            <w:r>
              <w:rPr>
                <w:sz w:val="20"/>
                <w:szCs w:val="20"/>
              </w:rPr>
              <w:t>Semiparamétrico</w:t>
            </w:r>
            <w:proofErr w:type="spellEnd"/>
            <w:r>
              <w:rPr>
                <w:sz w:val="20"/>
                <w:szCs w:val="20"/>
              </w:rPr>
              <w:t xml:space="preserve"> penalizado</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C3DC614" w14:textId="77777777" w:rsidR="000A030B" w:rsidRDefault="00985EDE">
            <w:r>
              <w:rPr>
                <w:sz w:val="20"/>
                <w:szCs w:val="20"/>
              </w:rPr>
              <w:t>Sí (p &gt;&gt; n)</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8E4CADA" w14:textId="77777777" w:rsidR="000A030B" w:rsidRDefault="00985EDE">
            <w:r>
              <w:rPr>
                <w:sz w:val="20"/>
                <w:szCs w:val="20"/>
              </w:rPr>
              <w:t>No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C46E205" w14:textId="77777777" w:rsidR="000A030B" w:rsidRDefault="00985EDE">
            <w:r>
              <w:rPr>
                <w:sz w:val="20"/>
                <w:szCs w:val="20"/>
              </w:rPr>
              <w:t>Media-Alta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597E9C" w14:textId="77777777" w:rsidR="000A030B" w:rsidRDefault="00985EDE">
            <w:proofErr w:type="spellStart"/>
            <w:r>
              <w:rPr>
                <w:sz w:val="20"/>
                <w:szCs w:val="20"/>
              </w:rPr>
              <w:t>Tibshirani</w:t>
            </w:r>
            <w:proofErr w:type="spellEnd"/>
            <w:r>
              <w:rPr>
                <w:sz w:val="20"/>
                <w:szCs w:val="20"/>
              </w:rPr>
              <w:t xml:space="preserve"> (1997) [5]</w:t>
            </w:r>
          </w:p>
        </w:tc>
      </w:tr>
      <w:tr w:rsidR="000A030B" w14:paraId="120CF5B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380C930" w14:textId="77777777" w:rsidR="000A030B" w:rsidRDefault="00985EDE">
            <w:proofErr w:type="spellStart"/>
            <w:r>
              <w:rPr>
                <w:b/>
                <w:bCs/>
                <w:sz w:val="20"/>
                <w:szCs w:val="20"/>
              </w:rPr>
              <w:t>Random</w:t>
            </w:r>
            <w:proofErr w:type="spellEnd"/>
            <w:r>
              <w:rPr>
                <w:b/>
                <w:bCs/>
                <w:sz w:val="20"/>
                <w:szCs w:val="20"/>
              </w:rPr>
              <w:t xml:space="preserve"> </w:t>
            </w:r>
            <w:proofErr w:type="spellStart"/>
            <w:r>
              <w:rPr>
                <w:b/>
                <w:bCs/>
                <w:sz w:val="20"/>
                <w:szCs w:val="20"/>
              </w:rPr>
              <w:t>Survival</w:t>
            </w:r>
            <w:proofErr w:type="spellEnd"/>
            <w:r>
              <w:rPr>
                <w:b/>
                <w:bCs/>
                <w:sz w:val="20"/>
                <w:szCs w:val="20"/>
              </w:rPr>
              <w:t xml:space="preserve"> Forest</w:t>
            </w:r>
          </w:p>
        </w:tc>
        <w:tc>
          <w:tcPr>
            <w:tcW w:w="1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B32E54" w14:textId="77777777" w:rsidR="000A030B" w:rsidRDefault="00985EDE">
            <w:r>
              <w:rPr>
                <w:sz w:val="20"/>
                <w:szCs w:val="20"/>
              </w:rPr>
              <w:t>Ensemble (ML)</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B0508AF" w14:textId="77777777" w:rsidR="000A030B" w:rsidRDefault="00985EDE">
            <w:r>
              <w:rPr>
                <w:sz w:val="20"/>
                <w:szCs w:val="20"/>
              </w:rPr>
              <w:t>Sí (nativo)</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B2AF5F1" w14:textId="77777777" w:rsidR="000A030B" w:rsidRDefault="00985EDE">
            <w:r>
              <w:rPr>
                <w:sz w:val="20"/>
                <w:szCs w:val="20"/>
              </w:rPr>
              <w:t>Sí</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A2A0C9F" w14:textId="77777777" w:rsidR="000A030B" w:rsidRDefault="00985EDE">
            <w:r>
              <w:rPr>
                <w:sz w:val="20"/>
                <w:szCs w:val="20"/>
              </w:rPr>
              <w:t>Media (VIMP)</w:t>
            </w:r>
          </w:p>
        </w:tc>
        <w:tc>
          <w:tcPr>
            <w:tcW w:w="2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330327" w14:textId="77777777" w:rsidR="000A030B" w:rsidRDefault="00985EDE">
            <w:proofErr w:type="spellStart"/>
            <w:r>
              <w:rPr>
                <w:sz w:val="20"/>
                <w:szCs w:val="20"/>
              </w:rPr>
              <w:t>Ishwaran</w:t>
            </w:r>
            <w:proofErr w:type="spellEnd"/>
            <w:r>
              <w:rPr>
                <w:sz w:val="20"/>
                <w:szCs w:val="20"/>
              </w:rPr>
              <w:t xml:space="preserve"> et al. (2008) [9]</w:t>
            </w:r>
          </w:p>
        </w:tc>
      </w:tr>
      <w:tr w:rsidR="000A030B" w14:paraId="25928BD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3C3632" w14:textId="77777777" w:rsidR="000A030B" w:rsidRDefault="00985EDE">
            <w:proofErr w:type="spellStart"/>
            <w:r>
              <w:rPr>
                <w:b/>
                <w:bCs/>
                <w:sz w:val="20"/>
                <w:szCs w:val="20"/>
              </w:rPr>
              <w:t>Gradient</w:t>
            </w:r>
            <w:proofErr w:type="spellEnd"/>
            <w:r>
              <w:rPr>
                <w:b/>
                <w:bCs/>
                <w:sz w:val="20"/>
                <w:szCs w:val="20"/>
              </w:rPr>
              <w:t xml:space="preserve"> </w:t>
            </w:r>
            <w:proofErr w:type="spellStart"/>
            <w:r>
              <w:rPr>
                <w:b/>
                <w:bCs/>
                <w:sz w:val="20"/>
                <w:szCs w:val="20"/>
              </w:rPr>
              <w:t>Boosting</w:t>
            </w:r>
            <w:proofErr w:type="spellEnd"/>
            <w:r>
              <w:rPr>
                <w:b/>
                <w:bCs/>
                <w:sz w:val="20"/>
                <w:szCs w:val="20"/>
              </w:rPr>
              <w:t xml:space="preserve"> (</w:t>
            </w:r>
            <w:proofErr w:type="spellStart"/>
            <w:r>
              <w:rPr>
                <w:b/>
                <w:bCs/>
                <w:sz w:val="20"/>
                <w:szCs w:val="20"/>
              </w:rPr>
              <w:t>Surv</w:t>
            </w:r>
            <w:proofErr w:type="spellEnd"/>
            <w:r>
              <w:rPr>
                <w:b/>
                <w:bCs/>
                <w:sz w:val="20"/>
                <w:szCs w:val="20"/>
              </w:rPr>
              <w:t>.)</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F7CA2C" w14:textId="77777777" w:rsidR="000A030B" w:rsidRDefault="00985EDE">
            <w:r>
              <w:rPr>
                <w:sz w:val="20"/>
                <w:szCs w:val="20"/>
              </w:rPr>
              <w:t>Ensemble (ML)</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13C1B1" w14:textId="77777777" w:rsidR="000A030B" w:rsidRDefault="00985EDE">
            <w:r>
              <w:rPr>
                <w:sz w:val="20"/>
                <w:szCs w:val="20"/>
              </w:rPr>
              <w:t>Sí</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FA769F" w14:textId="77777777" w:rsidR="000A030B" w:rsidRDefault="00985EDE">
            <w:r>
              <w:rPr>
                <w:sz w:val="20"/>
                <w:szCs w:val="20"/>
              </w:rPr>
              <w:t>Sí (aditivo)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A58B00" w14:textId="77777777" w:rsidR="000A030B" w:rsidRDefault="00985EDE">
            <w:r>
              <w:rPr>
                <w:sz w:val="20"/>
                <w:szCs w:val="20"/>
              </w:rPr>
              <w:t>Media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FD265A6" w14:textId="77777777" w:rsidR="000A030B" w:rsidRDefault="00985EDE">
            <w:proofErr w:type="spellStart"/>
            <w:r>
              <w:rPr>
                <w:sz w:val="20"/>
                <w:szCs w:val="20"/>
              </w:rPr>
              <w:t>Hothorn</w:t>
            </w:r>
            <w:proofErr w:type="spellEnd"/>
            <w:r>
              <w:rPr>
                <w:sz w:val="20"/>
                <w:szCs w:val="20"/>
              </w:rPr>
              <w:t xml:space="preserve"> et al. (2006)</w:t>
            </w:r>
          </w:p>
        </w:tc>
      </w:tr>
      <w:tr w:rsidR="000A030B" w14:paraId="68BCF30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20A83BB" w14:textId="77777777" w:rsidR="000A030B" w:rsidRDefault="00985EDE">
            <w:proofErr w:type="spellStart"/>
            <w:r>
              <w:rPr>
                <w:b/>
                <w:bCs/>
                <w:sz w:val="20"/>
                <w:szCs w:val="20"/>
              </w:rPr>
              <w:t>DeepSurv</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86C5640" w14:textId="77777777" w:rsidR="000A030B" w:rsidRDefault="00985EDE">
            <w:r>
              <w:rPr>
                <w:sz w:val="20"/>
                <w:szCs w:val="20"/>
              </w:rPr>
              <w:t>Deep Learning</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F35D3BC" w14:textId="77777777" w:rsidR="000A030B" w:rsidRDefault="00985EDE">
            <w:r>
              <w:rPr>
                <w:sz w:val="20"/>
                <w:szCs w:val="20"/>
              </w:rPr>
              <w:t>Sí (</w:t>
            </w:r>
            <w:proofErr w:type="spellStart"/>
            <w:r>
              <w:rPr>
                <w:sz w:val="20"/>
                <w:szCs w:val="20"/>
              </w:rPr>
              <w:t>dropout</w:t>
            </w:r>
            <w:proofErr w:type="spellEnd"/>
            <w:r>
              <w:rPr>
                <w:sz w:val="20"/>
                <w:szCs w:val="20"/>
              </w:rPr>
              <w:t>/BN)</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F088ECA" w14:textId="77777777" w:rsidR="000A030B" w:rsidRDefault="00985EDE">
            <w:r>
              <w:rPr>
                <w:sz w:val="20"/>
                <w:szCs w:val="20"/>
              </w:rPr>
              <w:t>Sí (profunda)</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65ABDC4" w14:textId="77777777" w:rsidR="000A030B" w:rsidRDefault="00985EDE">
            <w:r>
              <w:rPr>
                <w:sz w:val="20"/>
                <w:szCs w:val="20"/>
              </w:rPr>
              <w:t xml:space="preserve">Baja (SHAP </w:t>
            </w:r>
            <w:proofErr w:type="spellStart"/>
            <w:r>
              <w:rPr>
                <w:sz w:val="20"/>
                <w:szCs w:val="20"/>
              </w:rPr>
              <w:t>post-hoc</w:t>
            </w:r>
            <w:proofErr w:type="spellEnd"/>
            <w:r>
              <w:rPr>
                <w:sz w:val="20"/>
                <w:szCs w:val="20"/>
              </w:rPr>
              <w:t>)</w:t>
            </w:r>
          </w:p>
        </w:tc>
        <w:tc>
          <w:tcPr>
            <w:tcW w:w="2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22ECEB6" w14:textId="77777777" w:rsidR="000A030B" w:rsidRDefault="00985EDE">
            <w:proofErr w:type="spellStart"/>
            <w:r>
              <w:rPr>
                <w:sz w:val="20"/>
                <w:szCs w:val="20"/>
              </w:rPr>
              <w:t>Katzman</w:t>
            </w:r>
            <w:proofErr w:type="spellEnd"/>
            <w:r>
              <w:rPr>
                <w:sz w:val="20"/>
                <w:szCs w:val="20"/>
              </w:rPr>
              <w:t xml:space="preserve"> et al. (2018) [13]</w:t>
            </w:r>
          </w:p>
        </w:tc>
      </w:tr>
      <w:tr w:rsidR="000A030B" w14:paraId="09739DA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C46EB8" w14:textId="77777777" w:rsidR="000A030B" w:rsidRDefault="00985EDE">
            <w:r>
              <w:rPr>
                <w:b/>
                <w:bCs/>
                <w:sz w:val="20"/>
                <w:szCs w:val="20"/>
              </w:rPr>
              <w:t>Transformers multimodales</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1D86981" w14:textId="77777777" w:rsidR="000A030B" w:rsidRDefault="00985EDE">
            <w:r>
              <w:rPr>
                <w:sz w:val="20"/>
                <w:szCs w:val="20"/>
              </w:rPr>
              <w:t>Deep Learning</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654397A" w14:textId="77777777" w:rsidR="000A030B" w:rsidRDefault="00985EDE">
            <w:r>
              <w:rPr>
                <w:sz w:val="20"/>
                <w:szCs w:val="20"/>
              </w:rPr>
              <w:t>Sí</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82DDF53" w14:textId="77777777" w:rsidR="000A030B" w:rsidRDefault="00985EDE">
            <w:r>
              <w:rPr>
                <w:sz w:val="20"/>
                <w:szCs w:val="20"/>
              </w:rPr>
              <w:t>Sí (atención)</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DD6378" w14:textId="77777777" w:rsidR="000A030B" w:rsidRDefault="00985EDE">
            <w:r>
              <w:rPr>
                <w:sz w:val="20"/>
                <w:szCs w:val="20"/>
              </w:rPr>
              <w:t>Baja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3DD726" w14:textId="77777777" w:rsidR="000A030B" w:rsidRDefault="00985EDE">
            <w:r>
              <w:rPr>
                <w:sz w:val="20"/>
                <w:szCs w:val="20"/>
              </w:rPr>
              <w:t>Müller et al. (2021) [16]</w:t>
            </w:r>
          </w:p>
        </w:tc>
      </w:tr>
    </w:tbl>
    <w:p w14:paraId="3373E922" w14:textId="77777777" w:rsidR="000A030B" w:rsidRDefault="000A030B">
      <w:pPr>
        <w:spacing w:after="100"/>
      </w:pPr>
    </w:p>
    <w:p w14:paraId="00C3928D" w14:textId="77777777" w:rsidR="000A030B" w:rsidRDefault="00985EDE">
      <w:pPr>
        <w:pStyle w:val="Ttulo3"/>
      </w:pPr>
      <w:r>
        <w:t>2.10.2 Brechas de conocimiento identificadas</w:t>
      </w:r>
    </w:p>
    <w:p w14:paraId="69D9CC7D" w14:textId="77777777" w:rsidR="000A030B" w:rsidRDefault="00985EDE">
      <w:pPr>
        <w:spacing w:after="160"/>
        <w:jc w:val="both"/>
      </w:pPr>
      <w:r>
        <w:t>La revisión del estado del arte permite identificar las siguientes brechas de conocimiento que justifican y orientan el diseño del presente TFM:</w:t>
      </w:r>
    </w:p>
    <w:p w14:paraId="6386CA20" w14:textId="77777777" w:rsidR="000A030B" w:rsidRDefault="000A030B">
      <w:pPr>
        <w:spacing w:after="100"/>
      </w:pPr>
    </w:p>
    <w:p w14:paraId="45051673" w14:textId="77777777" w:rsidR="000A030B" w:rsidRDefault="00985EDE">
      <w:pPr>
        <w:pStyle w:val="Prrafodelista"/>
        <w:numPr>
          <w:ilvl w:val="0"/>
          <w:numId w:val="2"/>
        </w:numPr>
        <w:spacing w:after="80"/>
      </w:pPr>
      <w:r>
        <w:t>Déficit sistemático de validación externa: La gran mayoría de los estudios publican resultados de validación i</w:t>
      </w:r>
      <w:r>
        <w:t>nterna únicamente, sin comprobar la generalización en cohortes independientes. Esta brecha es especialmente pronunciada en los estudios que combinan datos genómicos con aprendizaje automático.</w:t>
      </w:r>
    </w:p>
    <w:p w14:paraId="6F3B1809" w14:textId="77777777" w:rsidR="000A030B" w:rsidRDefault="00985EDE">
      <w:pPr>
        <w:pStyle w:val="Prrafodelista"/>
        <w:numPr>
          <w:ilvl w:val="0"/>
          <w:numId w:val="2"/>
        </w:numPr>
        <w:spacing w:after="80"/>
      </w:pPr>
      <w:r>
        <w:t xml:space="preserve">Escasez de comparaciones sistemáticas </w:t>
      </w:r>
      <w:proofErr w:type="spellStart"/>
      <w:r>
        <w:t>multi-modelo</w:t>
      </w:r>
      <w:proofErr w:type="spellEnd"/>
      <w:r>
        <w:t>: Los estudio</w:t>
      </w:r>
      <w:r>
        <w:t xml:space="preserve">s tienden a proponer un modelo nuevo y compararlo con un único </w:t>
      </w:r>
      <w:proofErr w:type="spellStart"/>
      <w:r>
        <w:t>baseline</w:t>
      </w:r>
      <w:proofErr w:type="spellEnd"/>
      <w:r>
        <w:t xml:space="preserve"> (generalmente el modelo de Cox estándar), sin realizar comparaciones exhaustivas entre las principales familias metodológicas bajo las mismas condiciones experimentales.</w:t>
      </w:r>
    </w:p>
    <w:p w14:paraId="4915FE71" w14:textId="77777777" w:rsidR="000A030B" w:rsidRDefault="00985EDE">
      <w:pPr>
        <w:pStyle w:val="Prrafodelista"/>
        <w:numPr>
          <w:ilvl w:val="0"/>
          <w:numId w:val="2"/>
        </w:numPr>
        <w:spacing w:after="80"/>
      </w:pPr>
      <w:r>
        <w:t>Heterogeneidad</w:t>
      </w:r>
      <w:r>
        <w:t xml:space="preserve"> en los pipelines de preprocesamiento: La falta de estandarización en las decisiones de preprocesamiento (normalización, filtrado, reducción dimensional) dificulta la comparación entre estudios y puede ser una fuente importante de variabilidad en los resul</w:t>
      </w:r>
      <w:r>
        <w:t>tados reportados.</w:t>
      </w:r>
    </w:p>
    <w:p w14:paraId="6BCF018D" w14:textId="77777777" w:rsidR="000A030B" w:rsidRDefault="00985EDE">
      <w:pPr>
        <w:pStyle w:val="Prrafodelista"/>
        <w:numPr>
          <w:ilvl w:val="0"/>
          <w:numId w:val="2"/>
        </w:numPr>
        <w:spacing w:after="80"/>
      </w:pPr>
      <w:r>
        <w:t xml:space="preserve">Análisis insuficiente de la transferibilidad TCGA-BRCA ↔ METABRIC con modelos de aprendizaje automático complejos: Aunque algunos estudios han validado modelos de Cox en ambas cohortes, la validación cruzada de modelos RSF y </w:t>
      </w:r>
      <w:proofErr w:type="spellStart"/>
      <w:r>
        <w:t>DeepSurv</w:t>
      </w:r>
      <w:proofErr w:type="spellEnd"/>
      <w:r>
        <w:t xml:space="preserve"> entr</w:t>
      </w:r>
      <w:r>
        <w:t>e TCGA y METABRIC es escasa y no ha sido sistematizada en la literatura.</w:t>
      </w:r>
    </w:p>
    <w:p w14:paraId="7F7B6984" w14:textId="77777777" w:rsidR="000A030B" w:rsidRDefault="00985EDE">
      <w:pPr>
        <w:pStyle w:val="Prrafodelista"/>
        <w:numPr>
          <w:ilvl w:val="0"/>
          <w:numId w:val="2"/>
        </w:numPr>
        <w:spacing w:after="80"/>
      </w:pPr>
      <w:r>
        <w:t xml:space="preserve">Limitada aplicación conjunta de criterios de interpretabilidad: Los estudios que aplican </w:t>
      </w:r>
      <w:proofErr w:type="spellStart"/>
      <w:r>
        <w:t>DeepSurv</w:t>
      </w:r>
      <w:proofErr w:type="spellEnd"/>
      <w:r>
        <w:t xml:space="preserve"> raramente complementan los resultados de rendimiento con análisis de interpretabilida</w:t>
      </w:r>
      <w:r>
        <w:t xml:space="preserve">d (SHAP, </w:t>
      </w:r>
      <w:proofErr w:type="spellStart"/>
      <w:r>
        <w:t>Integrated</w:t>
      </w:r>
      <w:proofErr w:type="spellEnd"/>
      <w:r>
        <w:t xml:space="preserve"> </w:t>
      </w:r>
      <w:proofErr w:type="spellStart"/>
      <w:r>
        <w:t>Gradients</w:t>
      </w:r>
      <w:proofErr w:type="spellEnd"/>
      <w:r>
        <w:t>), dificultando la traducción biológica de los resultados.</w:t>
      </w:r>
    </w:p>
    <w:p w14:paraId="3C8BF15A" w14:textId="77777777" w:rsidR="000A030B" w:rsidRDefault="000A030B">
      <w:pPr>
        <w:spacing w:after="100"/>
      </w:pPr>
    </w:p>
    <w:p w14:paraId="5FB6E209" w14:textId="77777777" w:rsidR="000A030B" w:rsidRDefault="00985EDE">
      <w:pPr>
        <w:spacing w:after="160"/>
        <w:jc w:val="both"/>
      </w:pPr>
      <w:r>
        <w:t xml:space="preserve">El presente TFM aborda explícitamente las tres primeras brechas, al proponer un diseño metodológico que incorpora validación cruzada entre TCGA y METABRIC, compara cuatro familias metodológicas en igualdad de condiciones, y documenta de forma exhaustiva y </w:t>
      </w:r>
      <w:r>
        <w:t>reproducible el pipeline de preprocesamiento. Las brechas cuarta y quinta orientan el análisis de interpretabilidad del apartado 1.2 (OE5) y la discusión del Capítulo 6.</w:t>
      </w:r>
    </w:p>
    <w:p w14:paraId="060A5308" w14:textId="77777777" w:rsidR="000A030B" w:rsidRDefault="000A030B">
      <w:pPr>
        <w:spacing w:after="100"/>
      </w:pPr>
    </w:p>
    <w:p w14:paraId="552012A0" w14:textId="77777777" w:rsidR="000A030B" w:rsidRDefault="00985EDE">
      <w:r>
        <w:lastRenderedPageBreak/>
        <w:br w:type="page"/>
      </w:r>
    </w:p>
    <w:p w14:paraId="4A777138" w14:textId="77777777" w:rsidR="000A030B" w:rsidRDefault="00985EDE">
      <w:pPr>
        <w:pStyle w:val="Ttulo2"/>
      </w:pPr>
      <w:r>
        <w:lastRenderedPageBreak/>
        <w:t>Referencias bibliográficas del Capítulo 2</w:t>
      </w:r>
    </w:p>
    <w:p w14:paraId="10E5FCB6" w14:textId="5A122269" w:rsidR="000A030B" w:rsidRDefault="006132C2">
      <w:pPr>
        <w:spacing w:after="100"/>
        <w:rPr>
          <w:sz w:val="23"/>
          <w:szCs w:val="23"/>
        </w:rPr>
      </w:pPr>
      <w:r>
        <w:rPr>
          <w:sz w:val="23"/>
          <w:szCs w:val="23"/>
        </w:rPr>
        <w:t xml:space="preserve">A continuación, se indican las referencias académicas que sustentan el </w:t>
      </w:r>
      <w:r>
        <w:rPr>
          <w:sz w:val="23"/>
          <w:szCs w:val="23"/>
        </w:rPr>
        <w:t xml:space="preserve">estado del arte </w:t>
      </w:r>
      <w:r>
        <w:rPr>
          <w:sz w:val="23"/>
          <w:szCs w:val="23"/>
        </w:rPr>
        <w:t>de este TFM:</w:t>
      </w:r>
    </w:p>
    <w:p w14:paraId="61B7C85F" w14:textId="77777777" w:rsidR="006132C2" w:rsidRDefault="006132C2">
      <w:pPr>
        <w:spacing w:after="100"/>
      </w:pPr>
    </w:p>
    <w:p w14:paraId="621C8D89" w14:textId="77777777" w:rsidR="000A030B" w:rsidRDefault="00985EDE">
      <w:pPr>
        <w:spacing w:after="120"/>
        <w:ind w:left="720" w:hanging="360"/>
      </w:pPr>
      <w:r>
        <w:rPr>
          <w:b/>
          <w:bCs/>
          <w:color w:val="1F3864"/>
          <w:sz w:val="20"/>
          <w:szCs w:val="20"/>
        </w:rPr>
        <w:t xml:space="preserve">[1] </w:t>
      </w:r>
      <w:r>
        <w:rPr>
          <w:sz w:val="20"/>
          <w:szCs w:val="20"/>
        </w:rPr>
        <w:t xml:space="preserve">Kaplan, E. L., &amp; Meier, P. (1958). </w:t>
      </w:r>
      <w:proofErr w:type="spellStart"/>
      <w:r>
        <w:rPr>
          <w:sz w:val="20"/>
          <w:szCs w:val="20"/>
        </w:rPr>
        <w:t>Nonparametric</w:t>
      </w:r>
      <w:proofErr w:type="spellEnd"/>
      <w:r>
        <w:rPr>
          <w:sz w:val="20"/>
          <w:szCs w:val="20"/>
        </w:rPr>
        <w:t xml:space="preserve"> </w:t>
      </w:r>
      <w:proofErr w:type="spellStart"/>
      <w:r>
        <w:rPr>
          <w:sz w:val="20"/>
          <w:szCs w:val="20"/>
        </w:rPr>
        <w:t>estimation</w:t>
      </w:r>
      <w:proofErr w:type="spellEnd"/>
      <w:r>
        <w:rPr>
          <w:sz w:val="20"/>
          <w:szCs w:val="20"/>
        </w:rPr>
        <w:t xml:space="preserve"> </w:t>
      </w:r>
      <w:proofErr w:type="spellStart"/>
      <w:r>
        <w:rPr>
          <w:sz w:val="20"/>
          <w:szCs w:val="20"/>
        </w:rPr>
        <w:t>from</w:t>
      </w:r>
      <w:proofErr w:type="spellEnd"/>
      <w:r>
        <w:rPr>
          <w:sz w:val="20"/>
          <w:szCs w:val="20"/>
        </w:rPr>
        <w:t xml:space="preserve"> incomplete </w:t>
      </w:r>
      <w:proofErr w:type="spellStart"/>
      <w:r>
        <w:rPr>
          <w:sz w:val="20"/>
          <w:szCs w:val="20"/>
        </w:rPr>
        <w:t>observations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American </w:t>
      </w:r>
      <w:proofErr w:type="spellStart"/>
      <w:r>
        <w:rPr>
          <w:sz w:val="20"/>
          <w:szCs w:val="20"/>
        </w:rPr>
        <w:t>Statistical</w:t>
      </w:r>
      <w:proofErr w:type="spellEnd"/>
      <w:r>
        <w:rPr>
          <w:sz w:val="20"/>
          <w:szCs w:val="20"/>
        </w:rPr>
        <w:t xml:space="preserve"> </w:t>
      </w:r>
      <w:proofErr w:type="spellStart"/>
      <w:r>
        <w:rPr>
          <w:sz w:val="20"/>
          <w:szCs w:val="20"/>
        </w:rPr>
        <w:t>Association</w:t>
      </w:r>
      <w:proofErr w:type="spellEnd"/>
      <w:r>
        <w:rPr>
          <w:sz w:val="20"/>
          <w:szCs w:val="20"/>
        </w:rPr>
        <w:t xml:space="preserve">, 53(282), </w:t>
      </w:r>
      <w:r>
        <w:rPr>
          <w:sz w:val="20"/>
          <w:szCs w:val="20"/>
        </w:rPr>
        <w:t>457-481. https://doi.org/10.1080/01621459.1958.10501452 *</w:t>
      </w:r>
    </w:p>
    <w:p w14:paraId="7C6E9C2E" w14:textId="77777777" w:rsidR="000A030B" w:rsidRDefault="00985EDE">
      <w:pPr>
        <w:spacing w:after="120"/>
        <w:ind w:left="720" w:hanging="360"/>
      </w:pPr>
      <w:r>
        <w:rPr>
          <w:b/>
          <w:bCs/>
          <w:color w:val="1F3864"/>
          <w:sz w:val="20"/>
          <w:szCs w:val="20"/>
        </w:rPr>
        <w:t xml:space="preserve">[2] </w:t>
      </w:r>
      <w:r>
        <w:rPr>
          <w:sz w:val="20"/>
          <w:szCs w:val="20"/>
        </w:rPr>
        <w:t>Le-</w:t>
      </w:r>
      <w:proofErr w:type="spellStart"/>
      <w:r>
        <w:rPr>
          <w:sz w:val="20"/>
          <w:szCs w:val="20"/>
        </w:rPr>
        <w:t>Rademacher</w:t>
      </w:r>
      <w:proofErr w:type="spellEnd"/>
      <w:r>
        <w:rPr>
          <w:sz w:val="20"/>
          <w:szCs w:val="20"/>
        </w:rPr>
        <w:t>, J., &amp; Wang, X. (2021). Time-</w:t>
      </w:r>
      <w:proofErr w:type="spellStart"/>
      <w:r>
        <w:rPr>
          <w:sz w:val="20"/>
          <w:szCs w:val="20"/>
        </w:rPr>
        <w:t>to</w:t>
      </w:r>
      <w:proofErr w:type="spellEnd"/>
      <w:r>
        <w:rPr>
          <w:sz w:val="20"/>
          <w:szCs w:val="20"/>
        </w:rPr>
        <w:t>-</w:t>
      </w:r>
      <w:proofErr w:type="spellStart"/>
      <w:r>
        <w:rPr>
          <w:sz w:val="20"/>
          <w:szCs w:val="20"/>
        </w:rPr>
        <w:t>event</w:t>
      </w:r>
      <w:proofErr w:type="spellEnd"/>
      <w:r>
        <w:rPr>
          <w:sz w:val="20"/>
          <w:szCs w:val="20"/>
        </w:rPr>
        <w:t xml:space="preserve"> data: </w:t>
      </w:r>
      <w:proofErr w:type="spellStart"/>
      <w:r>
        <w:rPr>
          <w:sz w:val="20"/>
          <w:szCs w:val="20"/>
        </w:rPr>
        <w:t>an</w:t>
      </w:r>
      <w:proofErr w:type="spellEnd"/>
      <w:r>
        <w:rPr>
          <w:sz w:val="20"/>
          <w:szCs w:val="20"/>
        </w:rPr>
        <w:t xml:space="preserve"> </w:t>
      </w:r>
      <w:proofErr w:type="spellStart"/>
      <w:r>
        <w:rPr>
          <w:sz w:val="20"/>
          <w:szCs w:val="20"/>
        </w:rPr>
        <w:t>overview</w:t>
      </w:r>
      <w:proofErr w:type="spellEnd"/>
      <w:r>
        <w:rPr>
          <w:sz w:val="20"/>
          <w:szCs w:val="20"/>
        </w:rPr>
        <w:t xml:space="preserve"> and </w:t>
      </w:r>
      <w:proofErr w:type="spellStart"/>
      <w:r>
        <w:rPr>
          <w:sz w:val="20"/>
          <w:szCs w:val="20"/>
        </w:rPr>
        <w:t>analysis</w:t>
      </w:r>
      <w:proofErr w:type="spellEnd"/>
      <w:r>
        <w:rPr>
          <w:sz w:val="20"/>
          <w:szCs w:val="20"/>
        </w:rPr>
        <w:t xml:space="preserve"> </w:t>
      </w:r>
      <w:proofErr w:type="spellStart"/>
      <w:r>
        <w:rPr>
          <w:sz w:val="20"/>
          <w:szCs w:val="20"/>
        </w:rPr>
        <w:t>considerations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Thoracic</w:t>
      </w:r>
      <w:proofErr w:type="spellEnd"/>
      <w:r>
        <w:rPr>
          <w:sz w:val="20"/>
          <w:szCs w:val="20"/>
        </w:rPr>
        <w:t xml:space="preserve"> </w:t>
      </w:r>
      <w:proofErr w:type="spellStart"/>
      <w:r>
        <w:rPr>
          <w:sz w:val="20"/>
          <w:szCs w:val="20"/>
        </w:rPr>
        <w:t>Oncology</w:t>
      </w:r>
      <w:proofErr w:type="spellEnd"/>
      <w:r>
        <w:rPr>
          <w:sz w:val="20"/>
          <w:szCs w:val="20"/>
        </w:rPr>
        <w:t>, 16(7), 1067-1074. https://doi.org/10.1016/j.jtho.2021.04.004</w:t>
      </w:r>
    </w:p>
    <w:p w14:paraId="3A6A81A1" w14:textId="77777777" w:rsidR="000A030B" w:rsidRDefault="00985EDE">
      <w:pPr>
        <w:spacing w:after="120"/>
        <w:ind w:left="720" w:hanging="360"/>
      </w:pPr>
      <w:r>
        <w:rPr>
          <w:b/>
          <w:bCs/>
          <w:color w:val="1F3864"/>
          <w:sz w:val="20"/>
          <w:szCs w:val="20"/>
        </w:rPr>
        <w:t xml:space="preserve">[3] </w:t>
      </w:r>
      <w:r>
        <w:rPr>
          <w:sz w:val="20"/>
          <w:szCs w:val="20"/>
        </w:rPr>
        <w:t xml:space="preserve">Cox, D. R. (1972). </w:t>
      </w:r>
      <w:proofErr w:type="spellStart"/>
      <w:r>
        <w:rPr>
          <w:sz w:val="20"/>
          <w:szCs w:val="20"/>
        </w:rPr>
        <w:t>Regression</w:t>
      </w:r>
      <w:proofErr w:type="spellEnd"/>
      <w:r>
        <w:rPr>
          <w:sz w:val="20"/>
          <w:szCs w:val="20"/>
        </w:rPr>
        <w:t xml:space="preserve"> </w:t>
      </w:r>
      <w:proofErr w:type="spellStart"/>
      <w:r>
        <w:rPr>
          <w:sz w:val="20"/>
          <w:szCs w:val="20"/>
        </w:rPr>
        <w:t>models</w:t>
      </w:r>
      <w:proofErr w:type="spellEnd"/>
      <w:r>
        <w:rPr>
          <w:sz w:val="20"/>
          <w:szCs w:val="20"/>
        </w:rPr>
        <w:t xml:space="preserve"> and </w:t>
      </w:r>
      <w:proofErr w:type="spellStart"/>
      <w:r>
        <w:rPr>
          <w:sz w:val="20"/>
          <w:szCs w:val="20"/>
        </w:rPr>
        <w:t>life</w:t>
      </w:r>
      <w:proofErr w:type="spellEnd"/>
      <w:r>
        <w:rPr>
          <w:sz w:val="20"/>
          <w:szCs w:val="20"/>
        </w:rPr>
        <w:t xml:space="preserve">-tables.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Royal </w:t>
      </w:r>
      <w:proofErr w:type="spellStart"/>
      <w:r>
        <w:rPr>
          <w:sz w:val="20"/>
          <w:szCs w:val="20"/>
        </w:rPr>
        <w:t>Statistical</w:t>
      </w:r>
      <w:proofErr w:type="spellEnd"/>
      <w:r>
        <w:rPr>
          <w:sz w:val="20"/>
          <w:szCs w:val="20"/>
        </w:rPr>
        <w:t xml:space="preserve"> </w:t>
      </w:r>
      <w:proofErr w:type="spellStart"/>
      <w:r>
        <w:rPr>
          <w:sz w:val="20"/>
          <w:szCs w:val="20"/>
        </w:rPr>
        <w:t>Society</w:t>
      </w:r>
      <w:proofErr w:type="spellEnd"/>
      <w:r>
        <w:rPr>
          <w:sz w:val="20"/>
          <w:szCs w:val="20"/>
        </w:rPr>
        <w:t>: Series B, 34(2), 187-220. https://doi.org/10.1111/j.2517-6161.1972.tb00899.x *</w:t>
      </w:r>
    </w:p>
    <w:p w14:paraId="22FBCD24" w14:textId="77777777" w:rsidR="000A030B" w:rsidRDefault="00985EDE">
      <w:pPr>
        <w:spacing w:after="120"/>
        <w:ind w:left="720" w:hanging="360"/>
      </w:pPr>
      <w:r>
        <w:rPr>
          <w:b/>
          <w:bCs/>
          <w:color w:val="1F3864"/>
          <w:sz w:val="20"/>
          <w:szCs w:val="20"/>
        </w:rPr>
        <w:t xml:space="preserve">[4] </w:t>
      </w:r>
      <w:proofErr w:type="spellStart"/>
      <w:r>
        <w:rPr>
          <w:sz w:val="20"/>
          <w:szCs w:val="20"/>
        </w:rPr>
        <w:t>Tibshirani</w:t>
      </w:r>
      <w:proofErr w:type="spellEnd"/>
      <w:r>
        <w:rPr>
          <w:sz w:val="20"/>
          <w:szCs w:val="20"/>
        </w:rPr>
        <w:t xml:space="preserve">, R. (1996). </w:t>
      </w:r>
      <w:proofErr w:type="spellStart"/>
      <w:r>
        <w:rPr>
          <w:sz w:val="20"/>
          <w:szCs w:val="20"/>
        </w:rPr>
        <w:t>Regression</w:t>
      </w:r>
      <w:proofErr w:type="spellEnd"/>
      <w:r>
        <w:rPr>
          <w:sz w:val="20"/>
          <w:szCs w:val="20"/>
        </w:rPr>
        <w:t xml:space="preserve"> </w:t>
      </w:r>
      <w:proofErr w:type="spellStart"/>
      <w:r>
        <w:rPr>
          <w:sz w:val="20"/>
          <w:szCs w:val="20"/>
        </w:rPr>
        <w:t>shrinkage</w:t>
      </w:r>
      <w:proofErr w:type="spellEnd"/>
      <w:r>
        <w:rPr>
          <w:sz w:val="20"/>
          <w:szCs w:val="20"/>
        </w:rPr>
        <w:t xml:space="preserve"> and </w:t>
      </w:r>
      <w:proofErr w:type="spellStart"/>
      <w:r>
        <w:rPr>
          <w:sz w:val="20"/>
          <w:szCs w:val="20"/>
        </w:rPr>
        <w:t>selection</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proofErr w:type="spellStart"/>
      <w:r>
        <w:rPr>
          <w:sz w:val="20"/>
          <w:szCs w:val="20"/>
        </w:rPr>
        <w:t>Jour</w:t>
      </w:r>
      <w:r>
        <w:rPr>
          <w:sz w:val="20"/>
          <w:szCs w:val="20"/>
        </w:rPr>
        <w:t>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Royal </w:t>
      </w:r>
      <w:proofErr w:type="spellStart"/>
      <w:r>
        <w:rPr>
          <w:sz w:val="20"/>
          <w:szCs w:val="20"/>
        </w:rPr>
        <w:t>Statistical</w:t>
      </w:r>
      <w:proofErr w:type="spellEnd"/>
      <w:r>
        <w:rPr>
          <w:sz w:val="20"/>
          <w:szCs w:val="20"/>
        </w:rPr>
        <w:t xml:space="preserve"> </w:t>
      </w:r>
      <w:proofErr w:type="spellStart"/>
      <w:r>
        <w:rPr>
          <w:sz w:val="20"/>
          <w:szCs w:val="20"/>
        </w:rPr>
        <w:t>Society</w:t>
      </w:r>
      <w:proofErr w:type="spellEnd"/>
      <w:r>
        <w:rPr>
          <w:sz w:val="20"/>
          <w:szCs w:val="20"/>
        </w:rPr>
        <w:t>: Series B, 58(1), 267-288. https://doi.org/10.1111/j.2517-6161.1996.tb02080.x</w:t>
      </w:r>
    </w:p>
    <w:p w14:paraId="30F994C7" w14:textId="77777777" w:rsidR="000A030B" w:rsidRDefault="00985EDE">
      <w:pPr>
        <w:spacing w:after="120"/>
        <w:ind w:left="720" w:hanging="360"/>
      </w:pPr>
      <w:r>
        <w:rPr>
          <w:b/>
          <w:bCs/>
          <w:color w:val="1F3864"/>
          <w:sz w:val="20"/>
          <w:szCs w:val="20"/>
        </w:rPr>
        <w:t xml:space="preserve">[5] </w:t>
      </w:r>
      <w:proofErr w:type="spellStart"/>
      <w:r>
        <w:rPr>
          <w:sz w:val="20"/>
          <w:szCs w:val="20"/>
        </w:rPr>
        <w:t>Tibshirani</w:t>
      </w:r>
      <w:proofErr w:type="spellEnd"/>
      <w:r>
        <w:rPr>
          <w:sz w:val="20"/>
          <w:szCs w:val="20"/>
        </w:rPr>
        <w:t xml:space="preserve">, R. (1997).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proofErr w:type="spellStart"/>
      <w:r>
        <w:rPr>
          <w:sz w:val="20"/>
          <w:szCs w:val="20"/>
        </w:rPr>
        <w:t>method</w:t>
      </w:r>
      <w:proofErr w:type="spellEnd"/>
      <w:r>
        <w:rPr>
          <w:sz w:val="20"/>
          <w:szCs w:val="20"/>
        </w:rPr>
        <w:t xml:space="preserve"> </w:t>
      </w:r>
      <w:proofErr w:type="spellStart"/>
      <w:r>
        <w:rPr>
          <w:sz w:val="20"/>
          <w:szCs w:val="20"/>
        </w:rPr>
        <w:t>for</w:t>
      </w:r>
      <w:proofErr w:type="spellEnd"/>
      <w:r>
        <w:rPr>
          <w:sz w:val="20"/>
          <w:szCs w:val="20"/>
        </w:rPr>
        <w:t xml:space="preserve"> variable </w:t>
      </w:r>
      <w:proofErr w:type="spellStart"/>
      <w:r>
        <w:rPr>
          <w:sz w:val="20"/>
          <w:szCs w:val="20"/>
        </w:rPr>
        <w:t>selection</w:t>
      </w:r>
      <w:proofErr w:type="spellEnd"/>
      <w:r>
        <w:rPr>
          <w:sz w:val="20"/>
          <w:szCs w:val="20"/>
        </w:rPr>
        <w:t xml:space="preserve"> in </w:t>
      </w:r>
      <w:proofErr w:type="spellStart"/>
      <w:r>
        <w:rPr>
          <w:sz w:val="20"/>
          <w:szCs w:val="20"/>
        </w:rPr>
        <w:t>the</w:t>
      </w:r>
      <w:proofErr w:type="spellEnd"/>
      <w:r>
        <w:rPr>
          <w:sz w:val="20"/>
          <w:szCs w:val="20"/>
        </w:rPr>
        <w:t xml:space="preserve"> Cox </w:t>
      </w:r>
      <w:proofErr w:type="spellStart"/>
      <w:r>
        <w:rPr>
          <w:sz w:val="20"/>
          <w:szCs w:val="20"/>
        </w:rPr>
        <w:t>model</w:t>
      </w:r>
      <w:proofErr w:type="spellEnd"/>
      <w:r>
        <w:rPr>
          <w:sz w:val="20"/>
          <w:szCs w:val="20"/>
        </w:rPr>
        <w:t xml:space="preserve">. </w:t>
      </w:r>
      <w:proofErr w:type="spellStart"/>
      <w:r>
        <w:rPr>
          <w:sz w:val="20"/>
          <w:szCs w:val="20"/>
        </w:rPr>
        <w:t>Statistics</w:t>
      </w:r>
      <w:proofErr w:type="spellEnd"/>
      <w:r>
        <w:rPr>
          <w:sz w:val="20"/>
          <w:szCs w:val="20"/>
        </w:rPr>
        <w:t xml:space="preserve"> in Medicine, 16(4), 385-395. https://doi.org/</w:t>
      </w:r>
      <w:r>
        <w:rPr>
          <w:sz w:val="20"/>
          <w:szCs w:val="20"/>
        </w:rPr>
        <w:t>10.1002/(SICI)1097-0258(19970228)16:4&lt;</w:t>
      </w:r>
      <w:proofErr w:type="gramStart"/>
      <w:r>
        <w:rPr>
          <w:sz w:val="20"/>
          <w:szCs w:val="20"/>
        </w:rPr>
        <w:t>385::</w:t>
      </w:r>
      <w:proofErr w:type="gramEnd"/>
      <w:r>
        <w:rPr>
          <w:sz w:val="20"/>
          <w:szCs w:val="20"/>
        </w:rPr>
        <w:t>AID-SIM380&gt;3.0.CO;2-3</w:t>
      </w:r>
    </w:p>
    <w:p w14:paraId="71CD60B2" w14:textId="77777777" w:rsidR="000A030B" w:rsidRDefault="00985EDE">
      <w:pPr>
        <w:spacing w:after="120"/>
        <w:ind w:left="720" w:hanging="360"/>
      </w:pPr>
      <w:r>
        <w:rPr>
          <w:b/>
          <w:bCs/>
          <w:color w:val="1F3864"/>
          <w:sz w:val="20"/>
          <w:szCs w:val="20"/>
        </w:rPr>
        <w:t xml:space="preserve">[6] </w:t>
      </w:r>
      <w:proofErr w:type="spellStart"/>
      <w:r>
        <w:rPr>
          <w:sz w:val="20"/>
          <w:szCs w:val="20"/>
        </w:rPr>
        <w:t>Stensrud</w:t>
      </w:r>
      <w:proofErr w:type="spellEnd"/>
      <w:r>
        <w:rPr>
          <w:sz w:val="20"/>
          <w:szCs w:val="20"/>
        </w:rPr>
        <w:t xml:space="preserve">, M. J., &amp; Hernán, M. A. (2020). </w:t>
      </w:r>
      <w:proofErr w:type="spellStart"/>
      <w:r>
        <w:rPr>
          <w:sz w:val="20"/>
          <w:szCs w:val="20"/>
        </w:rPr>
        <w:t>Why</w:t>
      </w:r>
      <w:proofErr w:type="spellEnd"/>
      <w:r>
        <w:rPr>
          <w:sz w:val="20"/>
          <w:szCs w:val="20"/>
        </w:rPr>
        <w:t xml:space="preserve"> test </w:t>
      </w:r>
      <w:proofErr w:type="spellStart"/>
      <w:r>
        <w:rPr>
          <w:sz w:val="20"/>
          <w:szCs w:val="20"/>
        </w:rPr>
        <w:t>for</w:t>
      </w:r>
      <w:proofErr w:type="spellEnd"/>
      <w:r>
        <w:rPr>
          <w:sz w:val="20"/>
          <w:szCs w:val="20"/>
        </w:rPr>
        <w:t xml:space="preserve">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JAMA, 323(14), 1401-1402. https://doi.org/10.1001/jama.2020.1267</w:t>
      </w:r>
    </w:p>
    <w:p w14:paraId="6F0374A9" w14:textId="77777777" w:rsidR="000A030B" w:rsidRDefault="00985EDE">
      <w:pPr>
        <w:spacing w:after="120"/>
        <w:ind w:left="720" w:hanging="360"/>
      </w:pPr>
      <w:r>
        <w:rPr>
          <w:b/>
          <w:bCs/>
          <w:color w:val="1F3864"/>
          <w:sz w:val="20"/>
          <w:szCs w:val="20"/>
        </w:rPr>
        <w:t xml:space="preserve">[7] </w:t>
      </w:r>
      <w:r>
        <w:rPr>
          <w:sz w:val="20"/>
          <w:szCs w:val="20"/>
        </w:rPr>
        <w:t xml:space="preserve">Clarke, R., </w:t>
      </w:r>
      <w:proofErr w:type="spellStart"/>
      <w:r>
        <w:rPr>
          <w:sz w:val="20"/>
          <w:szCs w:val="20"/>
        </w:rPr>
        <w:t>Ressom</w:t>
      </w:r>
      <w:proofErr w:type="spellEnd"/>
      <w:r>
        <w:rPr>
          <w:sz w:val="20"/>
          <w:szCs w:val="20"/>
        </w:rPr>
        <w:t>, H. W., Wang, A., et al</w:t>
      </w:r>
      <w:r>
        <w:rPr>
          <w:sz w:val="20"/>
          <w:szCs w:val="20"/>
        </w:rPr>
        <w:t xml:space="preserve">. (2008). </w:t>
      </w:r>
      <w:proofErr w:type="spellStart"/>
      <w:r>
        <w:rPr>
          <w:sz w:val="20"/>
          <w:szCs w:val="20"/>
        </w:rPr>
        <w:t>The</w:t>
      </w:r>
      <w:proofErr w:type="spellEnd"/>
      <w:r>
        <w:rPr>
          <w:sz w:val="20"/>
          <w:szCs w:val="20"/>
        </w:rPr>
        <w:t xml:space="preserve"> </w:t>
      </w:r>
      <w:proofErr w:type="spellStart"/>
      <w:r>
        <w:rPr>
          <w:sz w:val="20"/>
          <w:szCs w:val="20"/>
        </w:rPr>
        <w:t>properties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high</w:t>
      </w:r>
      <w:proofErr w:type="spellEnd"/>
      <w:r>
        <w:rPr>
          <w:sz w:val="20"/>
          <w:szCs w:val="20"/>
        </w:rPr>
        <w:t xml:space="preserve">-dimensional data </w:t>
      </w:r>
      <w:proofErr w:type="spellStart"/>
      <w:r>
        <w:rPr>
          <w:sz w:val="20"/>
          <w:szCs w:val="20"/>
        </w:rPr>
        <w:t>spaces</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exploring</w:t>
      </w:r>
      <w:proofErr w:type="spellEnd"/>
      <w:r>
        <w:rPr>
          <w:sz w:val="20"/>
          <w:szCs w:val="20"/>
        </w:rPr>
        <w:t xml:space="preserve"> gene and </w:t>
      </w:r>
      <w:proofErr w:type="spellStart"/>
      <w:r>
        <w:rPr>
          <w:sz w:val="20"/>
          <w:szCs w:val="20"/>
        </w:rPr>
        <w:t>protein</w:t>
      </w:r>
      <w:proofErr w:type="spellEnd"/>
      <w:r>
        <w:rPr>
          <w:sz w:val="20"/>
          <w:szCs w:val="20"/>
        </w:rPr>
        <w:t xml:space="preserve"> </w:t>
      </w:r>
      <w:proofErr w:type="spellStart"/>
      <w:r>
        <w:rPr>
          <w:sz w:val="20"/>
          <w:szCs w:val="20"/>
        </w:rPr>
        <w:t>expression</w:t>
      </w:r>
      <w:proofErr w:type="spellEnd"/>
      <w:r>
        <w:rPr>
          <w:sz w:val="20"/>
          <w:szCs w:val="20"/>
        </w:rPr>
        <w:t xml:space="preserve"> data. </w:t>
      </w:r>
      <w:proofErr w:type="spellStart"/>
      <w:r>
        <w:rPr>
          <w:sz w:val="20"/>
          <w:szCs w:val="20"/>
        </w:rPr>
        <w:t>Nature</w:t>
      </w:r>
      <w:proofErr w:type="spellEnd"/>
      <w:r>
        <w:rPr>
          <w:sz w:val="20"/>
          <w:szCs w:val="20"/>
        </w:rPr>
        <w:t xml:space="preserve"> </w:t>
      </w:r>
      <w:proofErr w:type="spellStart"/>
      <w:r>
        <w:rPr>
          <w:sz w:val="20"/>
          <w:szCs w:val="20"/>
        </w:rPr>
        <w:t>Reviews</w:t>
      </w:r>
      <w:proofErr w:type="spellEnd"/>
      <w:r>
        <w:rPr>
          <w:sz w:val="20"/>
          <w:szCs w:val="20"/>
        </w:rPr>
        <w:t xml:space="preserve"> </w:t>
      </w:r>
      <w:proofErr w:type="spellStart"/>
      <w:r>
        <w:rPr>
          <w:sz w:val="20"/>
          <w:szCs w:val="20"/>
        </w:rPr>
        <w:t>Cancer</w:t>
      </w:r>
      <w:proofErr w:type="spellEnd"/>
      <w:r>
        <w:rPr>
          <w:sz w:val="20"/>
          <w:szCs w:val="20"/>
        </w:rPr>
        <w:t>, 8(1), 37-49. https://doi.org/10.1038/nrc2294</w:t>
      </w:r>
    </w:p>
    <w:p w14:paraId="729F7C17" w14:textId="77777777" w:rsidR="000A030B" w:rsidRDefault="00985EDE">
      <w:pPr>
        <w:spacing w:after="120"/>
        <w:ind w:left="720" w:hanging="360"/>
      </w:pPr>
      <w:r>
        <w:rPr>
          <w:b/>
          <w:bCs/>
          <w:color w:val="1F3864"/>
          <w:sz w:val="20"/>
          <w:szCs w:val="20"/>
        </w:rPr>
        <w:t xml:space="preserve">[8] </w:t>
      </w:r>
      <w:r>
        <w:rPr>
          <w:sz w:val="20"/>
          <w:szCs w:val="20"/>
        </w:rPr>
        <w:t xml:space="preserve">Wang, P., Li, Y., &amp; Reddy, C. K. (2019). Machine learning </w:t>
      </w:r>
      <w:proofErr w:type="spellStart"/>
      <w:r>
        <w:rPr>
          <w:sz w:val="20"/>
          <w:szCs w:val="20"/>
        </w:rPr>
        <w:t>for</w:t>
      </w:r>
      <w:proofErr w:type="spellEnd"/>
      <w:r>
        <w:rPr>
          <w:sz w:val="20"/>
          <w:szCs w:val="20"/>
        </w:rPr>
        <w:t xml:space="preserve"> </w:t>
      </w:r>
      <w:proofErr w:type="spellStart"/>
      <w:r>
        <w:rPr>
          <w:sz w:val="20"/>
          <w:szCs w:val="20"/>
        </w:rPr>
        <w:t>sur</w:t>
      </w:r>
      <w:r>
        <w:rPr>
          <w:sz w:val="20"/>
          <w:szCs w:val="20"/>
        </w:rPr>
        <w:t>vival</w:t>
      </w:r>
      <w:proofErr w:type="spellEnd"/>
      <w:r>
        <w:rPr>
          <w:sz w:val="20"/>
          <w:szCs w:val="20"/>
        </w:rPr>
        <w:t xml:space="preserve"> </w:t>
      </w:r>
      <w:proofErr w:type="spellStart"/>
      <w:r>
        <w:rPr>
          <w:sz w:val="20"/>
          <w:szCs w:val="20"/>
        </w:rPr>
        <w:t>analysis</w:t>
      </w:r>
      <w:proofErr w:type="spellEnd"/>
      <w:r>
        <w:rPr>
          <w:sz w:val="20"/>
          <w:szCs w:val="20"/>
        </w:rPr>
        <w:t xml:space="preserve">: a </w:t>
      </w:r>
      <w:proofErr w:type="spellStart"/>
      <w:r>
        <w:rPr>
          <w:sz w:val="20"/>
          <w:szCs w:val="20"/>
        </w:rPr>
        <w:t>survey</w:t>
      </w:r>
      <w:proofErr w:type="spellEnd"/>
      <w:r>
        <w:rPr>
          <w:sz w:val="20"/>
          <w:szCs w:val="20"/>
        </w:rPr>
        <w:t xml:space="preserve">. ACM Computing </w:t>
      </w:r>
      <w:proofErr w:type="spellStart"/>
      <w:r>
        <w:rPr>
          <w:sz w:val="20"/>
          <w:szCs w:val="20"/>
        </w:rPr>
        <w:t>Surveys</w:t>
      </w:r>
      <w:proofErr w:type="spellEnd"/>
      <w:r>
        <w:rPr>
          <w:sz w:val="20"/>
          <w:szCs w:val="20"/>
        </w:rPr>
        <w:t>, 51(6), 1-36. https://doi.org/10.1145/3214306 *</w:t>
      </w:r>
    </w:p>
    <w:p w14:paraId="6B687291" w14:textId="77777777" w:rsidR="000A030B" w:rsidRDefault="00985EDE">
      <w:pPr>
        <w:spacing w:after="120"/>
        <w:ind w:left="720" w:hanging="360"/>
      </w:pPr>
      <w:r>
        <w:rPr>
          <w:b/>
          <w:bCs/>
          <w:color w:val="1F3864"/>
          <w:sz w:val="20"/>
          <w:szCs w:val="20"/>
        </w:rPr>
        <w:t xml:space="preserve">[9] </w:t>
      </w:r>
      <w:proofErr w:type="spellStart"/>
      <w:r>
        <w:rPr>
          <w:sz w:val="20"/>
          <w:szCs w:val="20"/>
        </w:rPr>
        <w:t>Ishwaran</w:t>
      </w:r>
      <w:proofErr w:type="spellEnd"/>
      <w:r>
        <w:rPr>
          <w:sz w:val="20"/>
          <w:szCs w:val="20"/>
        </w:rPr>
        <w:t xml:space="preserve">, H., </w:t>
      </w:r>
      <w:proofErr w:type="spellStart"/>
      <w:r>
        <w:rPr>
          <w:sz w:val="20"/>
          <w:szCs w:val="20"/>
        </w:rPr>
        <w:t>Kogalur</w:t>
      </w:r>
      <w:proofErr w:type="spellEnd"/>
      <w:r>
        <w:rPr>
          <w:sz w:val="20"/>
          <w:szCs w:val="20"/>
        </w:rPr>
        <w:t xml:space="preserve">, U. B., </w:t>
      </w:r>
      <w:proofErr w:type="spellStart"/>
      <w:r>
        <w:rPr>
          <w:sz w:val="20"/>
          <w:szCs w:val="20"/>
        </w:rPr>
        <w:t>Blackstone</w:t>
      </w:r>
      <w:proofErr w:type="spellEnd"/>
      <w:r>
        <w:rPr>
          <w:sz w:val="20"/>
          <w:szCs w:val="20"/>
        </w:rPr>
        <w:t xml:space="preserve">, E. H., &amp; Lauer, M. S. (2008). </w:t>
      </w:r>
      <w:proofErr w:type="spellStart"/>
      <w:r>
        <w:rPr>
          <w:sz w:val="20"/>
          <w:szCs w:val="20"/>
        </w:rPr>
        <w:t>Random</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forests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Annals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Applied</w:t>
      </w:r>
      <w:proofErr w:type="spellEnd"/>
      <w:r>
        <w:rPr>
          <w:sz w:val="20"/>
          <w:szCs w:val="20"/>
        </w:rPr>
        <w:t xml:space="preserve"> </w:t>
      </w:r>
      <w:proofErr w:type="spellStart"/>
      <w:r>
        <w:rPr>
          <w:sz w:val="20"/>
          <w:szCs w:val="20"/>
        </w:rPr>
        <w:t>Statistics</w:t>
      </w:r>
      <w:proofErr w:type="spellEnd"/>
      <w:r>
        <w:rPr>
          <w:sz w:val="20"/>
          <w:szCs w:val="20"/>
        </w:rPr>
        <w:t>, 2(3), 841-860. https://do</w:t>
      </w:r>
      <w:r>
        <w:rPr>
          <w:sz w:val="20"/>
          <w:szCs w:val="20"/>
        </w:rPr>
        <w:t>i.org/10.1214/08-AOAS169 *</w:t>
      </w:r>
    </w:p>
    <w:p w14:paraId="21001A64" w14:textId="77777777" w:rsidR="000A030B" w:rsidRDefault="00985EDE">
      <w:pPr>
        <w:spacing w:after="120"/>
        <w:ind w:left="720" w:hanging="360"/>
      </w:pPr>
      <w:r>
        <w:rPr>
          <w:b/>
          <w:bCs/>
          <w:color w:val="1F3864"/>
          <w:sz w:val="20"/>
          <w:szCs w:val="20"/>
        </w:rPr>
        <w:t xml:space="preserve">[10] </w:t>
      </w:r>
      <w:r>
        <w:rPr>
          <w:sz w:val="20"/>
          <w:szCs w:val="20"/>
        </w:rPr>
        <w:t xml:space="preserve">Zhu, X., Yao, J., &amp; Huang, J. (2020). Deep </w:t>
      </w:r>
      <w:proofErr w:type="spellStart"/>
      <w:r>
        <w:rPr>
          <w:sz w:val="20"/>
          <w:szCs w:val="20"/>
        </w:rPr>
        <w:t>convolutional</w:t>
      </w:r>
      <w:proofErr w:type="spellEnd"/>
      <w:r>
        <w:rPr>
          <w:sz w:val="20"/>
          <w:szCs w:val="20"/>
        </w:rPr>
        <w:t xml:space="preserve"> neural </w:t>
      </w:r>
      <w:proofErr w:type="spellStart"/>
      <w:r>
        <w:rPr>
          <w:sz w:val="20"/>
          <w:szCs w:val="20"/>
        </w:rPr>
        <w:t>network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pathological</w:t>
      </w:r>
      <w:proofErr w:type="spellEnd"/>
      <w:r>
        <w:rPr>
          <w:sz w:val="20"/>
          <w:szCs w:val="20"/>
        </w:rPr>
        <w:t xml:space="preserve"> </w:t>
      </w:r>
      <w:proofErr w:type="spellStart"/>
      <w:r>
        <w:rPr>
          <w:sz w:val="20"/>
          <w:szCs w:val="20"/>
        </w:rPr>
        <w:t>images</w:t>
      </w:r>
      <w:proofErr w:type="spellEnd"/>
      <w:r>
        <w:rPr>
          <w:sz w:val="20"/>
          <w:szCs w:val="20"/>
        </w:rPr>
        <w:t xml:space="preserve">. In 2020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Bioinformatics</w:t>
      </w:r>
      <w:proofErr w:type="spellEnd"/>
      <w:r>
        <w:rPr>
          <w:sz w:val="20"/>
          <w:szCs w:val="20"/>
        </w:rPr>
        <w:t xml:space="preserve"> and </w:t>
      </w:r>
      <w:proofErr w:type="spellStart"/>
      <w:r>
        <w:rPr>
          <w:sz w:val="20"/>
          <w:szCs w:val="20"/>
        </w:rPr>
        <w:t>Biomedicine</w:t>
      </w:r>
      <w:proofErr w:type="spellEnd"/>
      <w:r>
        <w:rPr>
          <w:sz w:val="20"/>
          <w:szCs w:val="20"/>
        </w:rPr>
        <w:t xml:space="preserve"> (BIBM), 544-547. https://doi.org</w:t>
      </w:r>
      <w:r>
        <w:rPr>
          <w:sz w:val="20"/>
          <w:szCs w:val="20"/>
        </w:rPr>
        <w:t>/10.1109/BIBM49941.2020.9313490</w:t>
      </w:r>
    </w:p>
    <w:p w14:paraId="1C012F98" w14:textId="77777777" w:rsidR="000A030B" w:rsidRDefault="00985EDE">
      <w:pPr>
        <w:spacing w:after="120"/>
        <w:ind w:left="720" w:hanging="360"/>
      </w:pPr>
      <w:r>
        <w:rPr>
          <w:b/>
          <w:bCs/>
          <w:color w:val="1F3864"/>
          <w:sz w:val="20"/>
          <w:szCs w:val="20"/>
        </w:rPr>
        <w:t xml:space="preserve">[11] </w:t>
      </w:r>
      <w:r>
        <w:rPr>
          <w:sz w:val="20"/>
          <w:szCs w:val="20"/>
        </w:rPr>
        <w:t xml:space="preserve">Spooner, A., Chen, E., </w:t>
      </w:r>
      <w:proofErr w:type="spellStart"/>
      <w:r>
        <w:rPr>
          <w:sz w:val="20"/>
          <w:szCs w:val="20"/>
        </w:rPr>
        <w:t>Sowmya</w:t>
      </w:r>
      <w:proofErr w:type="spellEnd"/>
      <w:r>
        <w:rPr>
          <w:sz w:val="20"/>
          <w:szCs w:val="20"/>
        </w:rPr>
        <w:t xml:space="preserve">, A., et al. (2020). A </w:t>
      </w:r>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machine learning </w:t>
      </w:r>
      <w:proofErr w:type="spellStart"/>
      <w:r>
        <w:rPr>
          <w:sz w:val="20"/>
          <w:szCs w:val="20"/>
        </w:rPr>
        <w:t>methods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high</w:t>
      </w:r>
      <w:proofErr w:type="spellEnd"/>
      <w:r>
        <w:rPr>
          <w:sz w:val="20"/>
          <w:szCs w:val="20"/>
        </w:rPr>
        <w:t xml:space="preserve">-dimensional </w:t>
      </w:r>
      <w:proofErr w:type="spellStart"/>
      <w:r>
        <w:rPr>
          <w:sz w:val="20"/>
          <w:szCs w:val="20"/>
        </w:rPr>
        <w:t>clinical</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dementia</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10(1), 20410. https://doi.o</w:t>
      </w:r>
      <w:r>
        <w:rPr>
          <w:sz w:val="20"/>
          <w:szCs w:val="20"/>
        </w:rPr>
        <w:t>rg/10.1038/s41598-020-77220-w *</w:t>
      </w:r>
    </w:p>
    <w:p w14:paraId="748B95B5" w14:textId="77777777" w:rsidR="000A030B" w:rsidRDefault="00985EDE">
      <w:pPr>
        <w:spacing w:after="120"/>
        <w:ind w:left="720" w:hanging="360"/>
      </w:pPr>
      <w:r>
        <w:rPr>
          <w:b/>
          <w:bCs/>
          <w:color w:val="1F3864"/>
          <w:sz w:val="20"/>
          <w:szCs w:val="20"/>
        </w:rPr>
        <w:t xml:space="preserve">[12] </w:t>
      </w:r>
      <w:r>
        <w:rPr>
          <w:sz w:val="20"/>
          <w:szCs w:val="20"/>
        </w:rPr>
        <w:t xml:space="preserve">Van Belle, V., </w:t>
      </w:r>
      <w:proofErr w:type="spellStart"/>
      <w:r>
        <w:rPr>
          <w:sz w:val="20"/>
          <w:szCs w:val="20"/>
        </w:rPr>
        <w:t>Pelckmans</w:t>
      </w:r>
      <w:proofErr w:type="spellEnd"/>
      <w:r>
        <w:rPr>
          <w:sz w:val="20"/>
          <w:szCs w:val="20"/>
        </w:rPr>
        <w:t xml:space="preserve">, K., Van </w:t>
      </w:r>
      <w:proofErr w:type="spellStart"/>
      <w:r>
        <w:rPr>
          <w:sz w:val="20"/>
          <w:szCs w:val="20"/>
        </w:rPr>
        <w:t>Huffel</w:t>
      </w:r>
      <w:proofErr w:type="spellEnd"/>
      <w:r>
        <w:rPr>
          <w:sz w:val="20"/>
          <w:szCs w:val="20"/>
        </w:rPr>
        <w:t xml:space="preserve">, S., &amp; </w:t>
      </w:r>
      <w:proofErr w:type="spellStart"/>
      <w:r>
        <w:rPr>
          <w:sz w:val="20"/>
          <w:szCs w:val="20"/>
        </w:rPr>
        <w:t>Suykens</w:t>
      </w:r>
      <w:proofErr w:type="spellEnd"/>
      <w:r>
        <w:rPr>
          <w:sz w:val="20"/>
          <w:szCs w:val="20"/>
        </w:rPr>
        <w:t xml:space="preserve">, J. A. (2011). </w:t>
      </w:r>
      <w:proofErr w:type="spellStart"/>
      <w:r>
        <w:rPr>
          <w:sz w:val="20"/>
          <w:szCs w:val="20"/>
        </w:rPr>
        <w:t>Improved</w:t>
      </w:r>
      <w:proofErr w:type="spellEnd"/>
      <w:r>
        <w:rPr>
          <w:sz w:val="20"/>
          <w:szCs w:val="20"/>
        </w:rPr>
        <w:t xml:space="preserve"> performance </w:t>
      </w:r>
      <w:proofErr w:type="spellStart"/>
      <w:r>
        <w:rPr>
          <w:sz w:val="20"/>
          <w:szCs w:val="20"/>
        </w:rPr>
        <w:t>on</w:t>
      </w:r>
      <w:proofErr w:type="spellEnd"/>
      <w:r>
        <w:rPr>
          <w:sz w:val="20"/>
          <w:szCs w:val="20"/>
        </w:rPr>
        <w:t xml:space="preserve"> </w:t>
      </w:r>
      <w:proofErr w:type="spellStart"/>
      <w:r>
        <w:rPr>
          <w:sz w:val="20"/>
          <w:szCs w:val="20"/>
        </w:rPr>
        <w:t>high</w:t>
      </w:r>
      <w:proofErr w:type="spellEnd"/>
      <w:r>
        <w:rPr>
          <w:sz w:val="20"/>
          <w:szCs w:val="20"/>
        </w:rPr>
        <w:t xml:space="preserve">-dimensional </w:t>
      </w:r>
      <w:proofErr w:type="spellStart"/>
      <w:r>
        <w:rPr>
          <w:sz w:val="20"/>
          <w:szCs w:val="20"/>
        </w:rPr>
        <w:t>survival</w:t>
      </w:r>
      <w:proofErr w:type="spellEnd"/>
      <w:r>
        <w:rPr>
          <w:sz w:val="20"/>
          <w:szCs w:val="20"/>
        </w:rPr>
        <w:t xml:space="preserve"> data </w:t>
      </w:r>
      <w:proofErr w:type="spellStart"/>
      <w:r>
        <w:rPr>
          <w:sz w:val="20"/>
          <w:szCs w:val="20"/>
        </w:rPr>
        <w:t>by</w:t>
      </w:r>
      <w:proofErr w:type="spellEnd"/>
      <w:r>
        <w:rPr>
          <w:sz w:val="20"/>
          <w:szCs w:val="20"/>
        </w:rPr>
        <w:t xml:space="preserve"> </w:t>
      </w:r>
      <w:proofErr w:type="spellStart"/>
      <w:r>
        <w:rPr>
          <w:sz w:val="20"/>
          <w:szCs w:val="20"/>
        </w:rPr>
        <w:t>application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-SVM. </w:t>
      </w:r>
      <w:proofErr w:type="spellStart"/>
      <w:r>
        <w:rPr>
          <w:sz w:val="20"/>
          <w:szCs w:val="20"/>
        </w:rPr>
        <w:t>Bioinformatics</w:t>
      </w:r>
      <w:proofErr w:type="spellEnd"/>
      <w:r>
        <w:rPr>
          <w:sz w:val="20"/>
          <w:szCs w:val="20"/>
        </w:rPr>
        <w:t>, 27(1), 87-94. https://doi.org/10.1093/bioinfo</w:t>
      </w:r>
      <w:r>
        <w:rPr>
          <w:sz w:val="20"/>
          <w:szCs w:val="20"/>
        </w:rPr>
        <w:t>rmatics/btq617</w:t>
      </w:r>
    </w:p>
    <w:p w14:paraId="29FB4980" w14:textId="77777777" w:rsidR="000A030B" w:rsidRDefault="00985EDE">
      <w:pPr>
        <w:spacing w:after="120"/>
        <w:ind w:left="720" w:hanging="360"/>
      </w:pPr>
      <w:r>
        <w:rPr>
          <w:b/>
          <w:bCs/>
          <w:color w:val="1F3864"/>
          <w:sz w:val="20"/>
          <w:szCs w:val="20"/>
        </w:rPr>
        <w:t xml:space="preserve">[13] </w:t>
      </w:r>
      <w:proofErr w:type="spellStart"/>
      <w:r>
        <w:rPr>
          <w:sz w:val="20"/>
          <w:szCs w:val="20"/>
        </w:rPr>
        <w:t>Katzman</w:t>
      </w:r>
      <w:proofErr w:type="spellEnd"/>
      <w:r>
        <w:rPr>
          <w:sz w:val="20"/>
          <w:szCs w:val="20"/>
        </w:rPr>
        <w:t xml:space="preserve">, J. L., </w:t>
      </w:r>
      <w:proofErr w:type="spellStart"/>
      <w:r>
        <w:rPr>
          <w:sz w:val="20"/>
          <w:szCs w:val="20"/>
        </w:rPr>
        <w:t>Shaham</w:t>
      </w:r>
      <w:proofErr w:type="spellEnd"/>
      <w:r>
        <w:rPr>
          <w:sz w:val="20"/>
          <w:szCs w:val="20"/>
        </w:rPr>
        <w:t xml:space="preserve">, U., </w:t>
      </w:r>
      <w:proofErr w:type="spellStart"/>
      <w:r>
        <w:rPr>
          <w:sz w:val="20"/>
          <w:szCs w:val="20"/>
        </w:rPr>
        <w:t>Cloninger</w:t>
      </w:r>
      <w:proofErr w:type="spellEnd"/>
      <w:r>
        <w:rPr>
          <w:sz w:val="20"/>
          <w:szCs w:val="20"/>
        </w:rPr>
        <w:t xml:space="preserve">, A., Bates, J., </w:t>
      </w:r>
      <w:proofErr w:type="spellStart"/>
      <w:r>
        <w:rPr>
          <w:sz w:val="20"/>
          <w:szCs w:val="20"/>
        </w:rPr>
        <w:t>Jiang</w:t>
      </w:r>
      <w:proofErr w:type="spellEnd"/>
      <w:r>
        <w:rPr>
          <w:sz w:val="20"/>
          <w:szCs w:val="20"/>
        </w:rPr>
        <w:t xml:space="preserve">, T., &amp; </w:t>
      </w:r>
      <w:proofErr w:type="spellStart"/>
      <w:r>
        <w:rPr>
          <w:sz w:val="20"/>
          <w:szCs w:val="20"/>
        </w:rPr>
        <w:t>Kluger</w:t>
      </w:r>
      <w:proofErr w:type="spellEnd"/>
      <w:r>
        <w:rPr>
          <w:sz w:val="20"/>
          <w:szCs w:val="20"/>
        </w:rPr>
        <w:t xml:space="preserve">, Y. (2018). </w:t>
      </w:r>
      <w:proofErr w:type="spellStart"/>
      <w:r>
        <w:rPr>
          <w:sz w:val="20"/>
          <w:szCs w:val="20"/>
        </w:rPr>
        <w:t>DeepSurv</w:t>
      </w:r>
      <w:proofErr w:type="spellEnd"/>
      <w:r>
        <w:rPr>
          <w:sz w:val="20"/>
          <w:szCs w:val="20"/>
        </w:rPr>
        <w:t xml:space="preserve">: </w:t>
      </w:r>
      <w:proofErr w:type="spellStart"/>
      <w:r>
        <w:rPr>
          <w:sz w:val="20"/>
          <w:szCs w:val="20"/>
        </w:rPr>
        <w:t>personalized</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recommender</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using</w:t>
      </w:r>
      <w:proofErr w:type="spellEnd"/>
      <w:r>
        <w:rPr>
          <w:sz w:val="20"/>
          <w:szCs w:val="20"/>
        </w:rPr>
        <w:t xml:space="preserve"> a Cox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w:t>
      </w:r>
      <w:proofErr w:type="spellStart"/>
      <w:r>
        <w:rPr>
          <w:sz w:val="20"/>
          <w:szCs w:val="20"/>
        </w:rPr>
        <w:t>deep</w:t>
      </w:r>
      <w:proofErr w:type="spellEnd"/>
      <w:r>
        <w:rPr>
          <w:sz w:val="20"/>
          <w:szCs w:val="20"/>
        </w:rPr>
        <w:t xml:space="preserve"> neural </w:t>
      </w:r>
      <w:proofErr w:type="spellStart"/>
      <w:r>
        <w:rPr>
          <w:sz w:val="20"/>
          <w:szCs w:val="20"/>
        </w:rPr>
        <w:t>network</w:t>
      </w:r>
      <w:proofErr w:type="spellEnd"/>
      <w:r>
        <w:rPr>
          <w:sz w:val="20"/>
          <w:szCs w:val="20"/>
        </w:rPr>
        <w:t xml:space="preserve">. BMC Medical </w:t>
      </w:r>
      <w:proofErr w:type="spellStart"/>
      <w:r>
        <w:rPr>
          <w:sz w:val="20"/>
          <w:szCs w:val="20"/>
        </w:rPr>
        <w:t>Research</w:t>
      </w:r>
      <w:proofErr w:type="spellEnd"/>
      <w:r>
        <w:rPr>
          <w:sz w:val="20"/>
          <w:szCs w:val="20"/>
        </w:rPr>
        <w:t xml:space="preserve"> </w:t>
      </w:r>
      <w:proofErr w:type="spellStart"/>
      <w:r>
        <w:rPr>
          <w:sz w:val="20"/>
          <w:szCs w:val="20"/>
        </w:rPr>
        <w:t>Methodology</w:t>
      </w:r>
      <w:proofErr w:type="spellEnd"/>
      <w:r>
        <w:rPr>
          <w:sz w:val="20"/>
          <w:szCs w:val="20"/>
        </w:rPr>
        <w:t>, 18(1), 24.</w:t>
      </w:r>
      <w:r>
        <w:rPr>
          <w:sz w:val="20"/>
          <w:szCs w:val="20"/>
        </w:rPr>
        <w:t xml:space="preserve"> https://doi.org/10.1186/s12874-018-0482-1 *</w:t>
      </w:r>
    </w:p>
    <w:p w14:paraId="283F7A02" w14:textId="77777777" w:rsidR="000A030B" w:rsidRDefault="00985EDE">
      <w:pPr>
        <w:spacing w:after="120"/>
        <w:ind w:left="720" w:hanging="360"/>
      </w:pPr>
      <w:r>
        <w:rPr>
          <w:b/>
          <w:bCs/>
          <w:color w:val="1F3864"/>
          <w:sz w:val="20"/>
          <w:szCs w:val="20"/>
        </w:rPr>
        <w:t xml:space="preserve">[14] </w:t>
      </w:r>
      <w:r>
        <w:rPr>
          <w:sz w:val="20"/>
          <w:szCs w:val="20"/>
        </w:rPr>
        <w:t>Huang, Z., Johnson, T. S., Han, Z., et al. (2020). Deep learning-</w:t>
      </w:r>
      <w:proofErr w:type="spellStart"/>
      <w:r>
        <w:rPr>
          <w:sz w:val="20"/>
          <w:szCs w:val="20"/>
        </w:rPr>
        <w:t>based</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survival</w:t>
      </w:r>
      <w:proofErr w:type="spellEnd"/>
      <w:r>
        <w:rPr>
          <w:sz w:val="20"/>
          <w:szCs w:val="20"/>
        </w:rPr>
        <w:t xml:space="preserve"> prognosis </w:t>
      </w:r>
      <w:proofErr w:type="spellStart"/>
      <w:r>
        <w:rPr>
          <w:sz w:val="20"/>
          <w:szCs w:val="20"/>
        </w:rPr>
        <w:t>from</w:t>
      </w:r>
      <w:proofErr w:type="spellEnd"/>
      <w:r>
        <w:rPr>
          <w:sz w:val="20"/>
          <w:szCs w:val="20"/>
        </w:rPr>
        <w:t xml:space="preserve"> RNA-</w:t>
      </w:r>
      <w:proofErr w:type="spellStart"/>
      <w:r>
        <w:rPr>
          <w:sz w:val="20"/>
          <w:szCs w:val="20"/>
        </w:rPr>
        <w:t>seq</w:t>
      </w:r>
      <w:proofErr w:type="spellEnd"/>
      <w:r>
        <w:rPr>
          <w:sz w:val="20"/>
          <w:szCs w:val="20"/>
        </w:rPr>
        <w:t xml:space="preserve"> data: </w:t>
      </w:r>
      <w:proofErr w:type="spellStart"/>
      <w:r>
        <w:rPr>
          <w:sz w:val="20"/>
          <w:szCs w:val="20"/>
        </w:rPr>
        <w:t>approaches</w:t>
      </w:r>
      <w:proofErr w:type="spellEnd"/>
      <w:r>
        <w:rPr>
          <w:sz w:val="20"/>
          <w:szCs w:val="20"/>
        </w:rPr>
        <w:t xml:space="preserve"> and </w:t>
      </w:r>
      <w:proofErr w:type="spellStart"/>
      <w:r>
        <w:rPr>
          <w:sz w:val="20"/>
          <w:szCs w:val="20"/>
        </w:rPr>
        <w:t>evaluations</w:t>
      </w:r>
      <w:proofErr w:type="spellEnd"/>
      <w:r>
        <w:rPr>
          <w:sz w:val="20"/>
          <w:szCs w:val="20"/>
        </w:rPr>
        <w:t xml:space="preserve">. BMC Medical </w:t>
      </w:r>
      <w:proofErr w:type="spellStart"/>
      <w:r>
        <w:rPr>
          <w:sz w:val="20"/>
          <w:szCs w:val="20"/>
        </w:rPr>
        <w:t>Genomics</w:t>
      </w:r>
      <w:proofErr w:type="spellEnd"/>
      <w:r>
        <w:rPr>
          <w:sz w:val="20"/>
          <w:szCs w:val="20"/>
        </w:rPr>
        <w:t>, 13(</w:t>
      </w:r>
      <w:proofErr w:type="spellStart"/>
      <w:r>
        <w:rPr>
          <w:sz w:val="20"/>
          <w:szCs w:val="20"/>
        </w:rPr>
        <w:t>Suppl</w:t>
      </w:r>
      <w:proofErr w:type="spellEnd"/>
      <w:r>
        <w:rPr>
          <w:sz w:val="20"/>
          <w:szCs w:val="20"/>
        </w:rPr>
        <w:t xml:space="preserve"> 5), 41. https://doi.org/10.1186</w:t>
      </w:r>
      <w:r>
        <w:rPr>
          <w:sz w:val="20"/>
          <w:szCs w:val="20"/>
        </w:rPr>
        <w:t>/s12920-020-0686-1 *</w:t>
      </w:r>
    </w:p>
    <w:p w14:paraId="263875A5" w14:textId="77777777" w:rsidR="000A030B" w:rsidRDefault="00985EDE">
      <w:pPr>
        <w:spacing w:after="120"/>
        <w:ind w:left="720" w:hanging="360"/>
      </w:pPr>
      <w:r>
        <w:rPr>
          <w:b/>
          <w:bCs/>
          <w:color w:val="1F3864"/>
          <w:sz w:val="20"/>
          <w:szCs w:val="20"/>
        </w:rPr>
        <w:t xml:space="preserve">[15] </w:t>
      </w:r>
      <w:proofErr w:type="spellStart"/>
      <w:r>
        <w:rPr>
          <w:sz w:val="20"/>
          <w:szCs w:val="20"/>
        </w:rPr>
        <w:t>Yousefi</w:t>
      </w:r>
      <w:proofErr w:type="spellEnd"/>
      <w:r>
        <w:rPr>
          <w:sz w:val="20"/>
          <w:szCs w:val="20"/>
        </w:rPr>
        <w:t xml:space="preserve">, S., </w:t>
      </w:r>
      <w:proofErr w:type="spellStart"/>
      <w:r>
        <w:rPr>
          <w:sz w:val="20"/>
          <w:szCs w:val="20"/>
        </w:rPr>
        <w:t>Amrollahi</w:t>
      </w:r>
      <w:proofErr w:type="spellEnd"/>
      <w:r>
        <w:rPr>
          <w:sz w:val="20"/>
          <w:szCs w:val="20"/>
        </w:rPr>
        <w:t xml:space="preserve">, F., </w:t>
      </w:r>
      <w:proofErr w:type="spellStart"/>
      <w:r>
        <w:rPr>
          <w:sz w:val="20"/>
          <w:szCs w:val="20"/>
        </w:rPr>
        <w:t>Amgad</w:t>
      </w:r>
      <w:proofErr w:type="spellEnd"/>
      <w:r>
        <w:rPr>
          <w:sz w:val="20"/>
          <w:szCs w:val="20"/>
        </w:rPr>
        <w:t xml:space="preserve">, M., et al. (2017). </w:t>
      </w:r>
      <w:proofErr w:type="spellStart"/>
      <w:r>
        <w:rPr>
          <w:sz w:val="20"/>
          <w:szCs w:val="20"/>
        </w:rPr>
        <w:t>Predicting</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outcomes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large</w:t>
      </w:r>
      <w:proofErr w:type="spellEnd"/>
      <w:r>
        <w:rPr>
          <w:sz w:val="20"/>
          <w:szCs w:val="20"/>
        </w:rPr>
        <w:t xml:space="preserve"> </w:t>
      </w:r>
      <w:proofErr w:type="spellStart"/>
      <w:r>
        <w:rPr>
          <w:sz w:val="20"/>
          <w:szCs w:val="20"/>
        </w:rPr>
        <w:t>scale</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genomic</w:t>
      </w:r>
      <w:proofErr w:type="spellEnd"/>
      <w:r>
        <w:rPr>
          <w:sz w:val="20"/>
          <w:szCs w:val="20"/>
        </w:rPr>
        <w:t xml:space="preserve"> </w:t>
      </w:r>
      <w:proofErr w:type="spellStart"/>
      <w:r>
        <w:rPr>
          <w:sz w:val="20"/>
          <w:szCs w:val="20"/>
        </w:rPr>
        <w:t>profiles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deep</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7(1), 11707. https://doi.org/10.1038/s41598-017-11817-6</w:t>
      </w:r>
    </w:p>
    <w:p w14:paraId="5F060964" w14:textId="77777777" w:rsidR="000A030B" w:rsidRDefault="00985EDE">
      <w:pPr>
        <w:spacing w:after="120"/>
        <w:ind w:left="720" w:hanging="360"/>
      </w:pPr>
      <w:r>
        <w:rPr>
          <w:b/>
          <w:bCs/>
          <w:color w:val="1F3864"/>
          <w:sz w:val="20"/>
          <w:szCs w:val="20"/>
        </w:rPr>
        <w:lastRenderedPageBreak/>
        <w:t xml:space="preserve">[16] </w:t>
      </w:r>
      <w:r>
        <w:rPr>
          <w:sz w:val="20"/>
          <w:szCs w:val="20"/>
        </w:rPr>
        <w:t xml:space="preserve">Müller, P., </w:t>
      </w:r>
      <w:proofErr w:type="spellStart"/>
      <w:r>
        <w:rPr>
          <w:sz w:val="20"/>
          <w:szCs w:val="20"/>
        </w:rPr>
        <w:t>Gosiewska</w:t>
      </w:r>
      <w:proofErr w:type="spellEnd"/>
      <w:r>
        <w:rPr>
          <w:sz w:val="20"/>
          <w:szCs w:val="20"/>
        </w:rPr>
        <w:t xml:space="preserve">, A., &amp; </w:t>
      </w:r>
      <w:proofErr w:type="spellStart"/>
      <w:r>
        <w:rPr>
          <w:sz w:val="20"/>
          <w:szCs w:val="20"/>
        </w:rPr>
        <w:t>Biecek</w:t>
      </w:r>
      <w:proofErr w:type="spellEnd"/>
      <w:r>
        <w:rPr>
          <w:sz w:val="20"/>
          <w:szCs w:val="20"/>
        </w:rPr>
        <w:t xml:space="preserve">, P. (2021). SHAPR: </w:t>
      </w:r>
      <w:proofErr w:type="spellStart"/>
      <w:r>
        <w:rPr>
          <w:sz w:val="20"/>
          <w:szCs w:val="20"/>
        </w:rPr>
        <w:t>Using</w:t>
      </w:r>
      <w:proofErr w:type="spellEnd"/>
      <w:r>
        <w:rPr>
          <w:sz w:val="20"/>
          <w:szCs w:val="20"/>
        </w:rPr>
        <w:t xml:space="preserve"> neural </w:t>
      </w:r>
      <w:proofErr w:type="spellStart"/>
      <w:r>
        <w:rPr>
          <w:sz w:val="20"/>
          <w:szCs w:val="20"/>
        </w:rPr>
        <w:t>networks</w:t>
      </w:r>
      <w:proofErr w:type="spellEnd"/>
      <w:r>
        <w:rPr>
          <w:sz w:val="20"/>
          <w:szCs w:val="20"/>
        </w:rPr>
        <w:t xml:space="preserve"> and </w:t>
      </w:r>
      <w:proofErr w:type="spellStart"/>
      <w:r>
        <w:rPr>
          <w:sz w:val="20"/>
          <w:szCs w:val="20"/>
        </w:rPr>
        <w:t>optimised</w:t>
      </w:r>
      <w:proofErr w:type="spellEnd"/>
      <w:r>
        <w:rPr>
          <w:sz w:val="20"/>
          <w:szCs w:val="20"/>
        </w:rPr>
        <w:t xml:space="preserve"> </w:t>
      </w:r>
      <w:proofErr w:type="spellStart"/>
      <w:r>
        <w:rPr>
          <w:sz w:val="20"/>
          <w:szCs w:val="20"/>
        </w:rPr>
        <w:t>resampling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improved</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prediction</w:t>
      </w:r>
      <w:proofErr w:type="spellEnd"/>
      <w:r>
        <w:rPr>
          <w:sz w:val="20"/>
          <w:szCs w:val="20"/>
        </w:rPr>
        <w:t>. arXiv:2104.13643. https://arxiv.org/abs/2104.13643</w:t>
      </w:r>
    </w:p>
    <w:p w14:paraId="05A321FD" w14:textId="77777777" w:rsidR="000A030B" w:rsidRDefault="00985EDE">
      <w:pPr>
        <w:spacing w:after="120"/>
        <w:ind w:left="720" w:hanging="360"/>
      </w:pPr>
      <w:r>
        <w:rPr>
          <w:b/>
          <w:bCs/>
          <w:color w:val="1F3864"/>
          <w:sz w:val="20"/>
          <w:szCs w:val="20"/>
        </w:rPr>
        <w:t xml:space="preserve">[17] </w:t>
      </w:r>
      <w:proofErr w:type="spellStart"/>
      <w:r>
        <w:rPr>
          <w:sz w:val="20"/>
          <w:szCs w:val="20"/>
        </w:rPr>
        <w:t>Tong</w:t>
      </w:r>
      <w:proofErr w:type="spellEnd"/>
      <w:r>
        <w:rPr>
          <w:sz w:val="20"/>
          <w:szCs w:val="20"/>
        </w:rPr>
        <w:t xml:space="preserve">, L., Mitchel, J., </w:t>
      </w:r>
      <w:proofErr w:type="spellStart"/>
      <w:r>
        <w:rPr>
          <w:sz w:val="20"/>
          <w:szCs w:val="20"/>
        </w:rPr>
        <w:t>Chatlin</w:t>
      </w:r>
      <w:proofErr w:type="spellEnd"/>
      <w:r>
        <w:rPr>
          <w:sz w:val="20"/>
          <w:szCs w:val="20"/>
        </w:rPr>
        <w:t>, K., &amp; Wang, M. D. (2021). D</w:t>
      </w:r>
      <w:r>
        <w:rPr>
          <w:sz w:val="20"/>
          <w:szCs w:val="20"/>
        </w:rPr>
        <w:t xml:space="preserve">eep learning </w:t>
      </w:r>
      <w:proofErr w:type="spellStart"/>
      <w:r>
        <w:rPr>
          <w:sz w:val="20"/>
          <w:szCs w:val="20"/>
        </w:rPr>
        <w:t>based</w:t>
      </w:r>
      <w:proofErr w:type="spellEnd"/>
      <w:r>
        <w:rPr>
          <w:sz w:val="20"/>
          <w:szCs w:val="20"/>
        </w:rPr>
        <w:t xml:space="preserve"> </w:t>
      </w:r>
      <w:proofErr w:type="spellStart"/>
      <w:r>
        <w:rPr>
          <w:sz w:val="20"/>
          <w:szCs w:val="20"/>
        </w:rPr>
        <w:t>feature-level</w:t>
      </w:r>
      <w:proofErr w:type="spellEnd"/>
      <w:r>
        <w:rPr>
          <w:sz w:val="20"/>
          <w:szCs w:val="20"/>
        </w:rPr>
        <w:t xml:space="preserve"> </w:t>
      </w:r>
      <w:proofErr w:type="spellStart"/>
      <w:r>
        <w:rPr>
          <w:sz w:val="20"/>
          <w:szCs w:val="20"/>
        </w:rPr>
        <w:t>integration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multi-omics</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accurate</w:t>
      </w:r>
      <w:proofErr w:type="spellEnd"/>
      <w:r>
        <w:rPr>
          <w:sz w:val="20"/>
          <w:szCs w:val="20"/>
        </w:rPr>
        <w:t xml:space="preserve"> </w:t>
      </w:r>
      <w:proofErr w:type="spellStart"/>
      <w:r>
        <w:rPr>
          <w:sz w:val="20"/>
          <w:szCs w:val="20"/>
        </w:rPr>
        <w:t>cancer</w:t>
      </w:r>
      <w:proofErr w:type="spellEnd"/>
      <w:r>
        <w:rPr>
          <w:sz w:val="20"/>
          <w:szCs w:val="20"/>
        </w:rPr>
        <w:t xml:space="preserve"> prognosis </w:t>
      </w:r>
      <w:proofErr w:type="spellStart"/>
      <w:r>
        <w:rPr>
          <w:sz w:val="20"/>
          <w:szCs w:val="20"/>
        </w:rPr>
        <w:t>prediction</w:t>
      </w:r>
      <w:proofErr w:type="spellEnd"/>
      <w:r>
        <w:rPr>
          <w:sz w:val="20"/>
          <w:szCs w:val="20"/>
        </w:rPr>
        <w:t xml:space="preserve">. </w:t>
      </w:r>
      <w:proofErr w:type="spellStart"/>
      <w:r>
        <w:rPr>
          <w:sz w:val="20"/>
          <w:szCs w:val="20"/>
        </w:rPr>
        <w:t>Computers</w:t>
      </w:r>
      <w:proofErr w:type="spellEnd"/>
      <w:r>
        <w:rPr>
          <w:sz w:val="20"/>
          <w:szCs w:val="20"/>
        </w:rPr>
        <w:t xml:space="preserve"> in </w:t>
      </w:r>
      <w:proofErr w:type="spellStart"/>
      <w:r>
        <w:rPr>
          <w:sz w:val="20"/>
          <w:szCs w:val="20"/>
        </w:rPr>
        <w:t>Biology</w:t>
      </w:r>
      <w:proofErr w:type="spellEnd"/>
      <w:r>
        <w:rPr>
          <w:sz w:val="20"/>
          <w:szCs w:val="20"/>
        </w:rPr>
        <w:t xml:space="preserve"> and Medicine, 134, 104481. https://doi.org/10.1016/j.compbiomed.2021.104481 *</w:t>
      </w:r>
    </w:p>
    <w:p w14:paraId="5E5BA686" w14:textId="77777777" w:rsidR="000A030B" w:rsidRDefault="00985EDE">
      <w:pPr>
        <w:spacing w:after="120"/>
        <w:ind w:left="720" w:hanging="360"/>
      </w:pPr>
      <w:r>
        <w:rPr>
          <w:b/>
          <w:bCs/>
          <w:color w:val="1F3864"/>
          <w:sz w:val="20"/>
          <w:szCs w:val="20"/>
        </w:rPr>
        <w:t xml:space="preserve">[18] </w:t>
      </w:r>
      <w:r>
        <w:rPr>
          <w:sz w:val="20"/>
          <w:szCs w:val="20"/>
        </w:rPr>
        <w:t>Chen, R. J., Lu, M. Y., Wang, J., et al. (202</w:t>
      </w:r>
      <w:r>
        <w:rPr>
          <w:sz w:val="20"/>
          <w:szCs w:val="20"/>
        </w:rPr>
        <w:t xml:space="preserve">1). </w:t>
      </w:r>
      <w:proofErr w:type="spellStart"/>
      <w:r>
        <w:rPr>
          <w:sz w:val="20"/>
          <w:szCs w:val="20"/>
        </w:rPr>
        <w:t>Pathomic</w:t>
      </w:r>
      <w:proofErr w:type="spellEnd"/>
      <w:r>
        <w:rPr>
          <w:sz w:val="20"/>
          <w:szCs w:val="20"/>
        </w:rPr>
        <w:t xml:space="preserve"> </w:t>
      </w:r>
      <w:proofErr w:type="spellStart"/>
      <w:r>
        <w:rPr>
          <w:sz w:val="20"/>
          <w:szCs w:val="20"/>
        </w:rPr>
        <w:t>fusion</w:t>
      </w:r>
      <w:proofErr w:type="spellEnd"/>
      <w:r>
        <w:rPr>
          <w:sz w:val="20"/>
          <w:szCs w:val="20"/>
        </w:rPr>
        <w:t xml:space="preserve">: </w:t>
      </w:r>
      <w:proofErr w:type="spellStart"/>
      <w:r>
        <w:rPr>
          <w:sz w:val="20"/>
          <w:szCs w:val="20"/>
        </w:rPr>
        <w:t>an</w:t>
      </w:r>
      <w:proofErr w:type="spellEnd"/>
      <w:r>
        <w:rPr>
          <w:sz w:val="20"/>
          <w:szCs w:val="20"/>
        </w:rPr>
        <w:t xml:space="preserve"> </w:t>
      </w:r>
      <w:proofErr w:type="spellStart"/>
      <w:r>
        <w:rPr>
          <w:sz w:val="20"/>
          <w:szCs w:val="20"/>
        </w:rPr>
        <w:t>integrated</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fusing</w:t>
      </w:r>
      <w:proofErr w:type="spellEnd"/>
      <w:r>
        <w:rPr>
          <w:sz w:val="20"/>
          <w:szCs w:val="20"/>
        </w:rPr>
        <w:t xml:space="preserve"> </w:t>
      </w:r>
      <w:proofErr w:type="spellStart"/>
      <w:r>
        <w:rPr>
          <w:sz w:val="20"/>
          <w:szCs w:val="20"/>
        </w:rPr>
        <w:t>histopathology</w:t>
      </w:r>
      <w:proofErr w:type="spellEnd"/>
      <w:r>
        <w:rPr>
          <w:sz w:val="20"/>
          <w:szCs w:val="20"/>
        </w:rPr>
        <w:t xml:space="preserve"> and </w:t>
      </w:r>
      <w:proofErr w:type="spellStart"/>
      <w:r>
        <w:rPr>
          <w:sz w:val="20"/>
          <w:szCs w:val="20"/>
        </w:rPr>
        <w:t>genomic</w:t>
      </w:r>
      <w:proofErr w:type="spellEnd"/>
      <w:r>
        <w:rPr>
          <w:sz w:val="20"/>
          <w:szCs w:val="20"/>
        </w:rPr>
        <w:t xml:space="preserve"> </w:t>
      </w:r>
      <w:proofErr w:type="spellStart"/>
      <w:r>
        <w:rPr>
          <w:sz w:val="20"/>
          <w:szCs w:val="20"/>
        </w:rPr>
        <w:t>features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cancer</w:t>
      </w:r>
      <w:proofErr w:type="spellEnd"/>
      <w:r>
        <w:rPr>
          <w:sz w:val="20"/>
          <w:szCs w:val="20"/>
        </w:rPr>
        <w:t xml:space="preserve"> diagnosis and prognosis. IEEE </w:t>
      </w:r>
      <w:proofErr w:type="spellStart"/>
      <w:r>
        <w:rPr>
          <w:sz w:val="20"/>
          <w:szCs w:val="20"/>
        </w:rPr>
        <w:t>Transactions</w:t>
      </w:r>
      <w:proofErr w:type="spellEnd"/>
      <w:r>
        <w:rPr>
          <w:sz w:val="20"/>
          <w:szCs w:val="20"/>
        </w:rPr>
        <w:t xml:space="preserve"> </w:t>
      </w:r>
      <w:proofErr w:type="spellStart"/>
      <w:r>
        <w:rPr>
          <w:sz w:val="20"/>
          <w:szCs w:val="20"/>
        </w:rPr>
        <w:t>on</w:t>
      </w:r>
      <w:proofErr w:type="spellEnd"/>
      <w:r>
        <w:rPr>
          <w:sz w:val="20"/>
          <w:szCs w:val="20"/>
        </w:rPr>
        <w:t xml:space="preserve"> Medical </w:t>
      </w:r>
      <w:proofErr w:type="spellStart"/>
      <w:r>
        <w:rPr>
          <w:sz w:val="20"/>
          <w:szCs w:val="20"/>
        </w:rPr>
        <w:t>Imaging</w:t>
      </w:r>
      <w:proofErr w:type="spellEnd"/>
      <w:r>
        <w:rPr>
          <w:sz w:val="20"/>
          <w:szCs w:val="20"/>
        </w:rPr>
        <w:t>, 41(4), 757-770. https://doi.org/10.1109/TMI.2020.3021387</w:t>
      </w:r>
    </w:p>
    <w:p w14:paraId="7D1044AF" w14:textId="77777777" w:rsidR="000A030B" w:rsidRDefault="00985EDE">
      <w:pPr>
        <w:spacing w:after="120"/>
        <w:ind w:left="720" w:hanging="360"/>
      </w:pPr>
      <w:r>
        <w:rPr>
          <w:b/>
          <w:bCs/>
          <w:color w:val="1F3864"/>
          <w:sz w:val="20"/>
          <w:szCs w:val="20"/>
        </w:rPr>
        <w:t xml:space="preserve">[19]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(2013). </w:t>
      </w:r>
      <w:proofErr w:type="spellStart"/>
      <w:r>
        <w:rPr>
          <w:sz w:val="20"/>
          <w:szCs w:val="20"/>
        </w:rPr>
        <w:t>The</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Pan-</w:t>
      </w:r>
      <w:proofErr w:type="spellStart"/>
      <w:r>
        <w:rPr>
          <w:sz w:val="20"/>
          <w:szCs w:val="20"/>
        </w:rPr>
        <w:t>Cancer</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Nature</w:t>
      </w:r>
      <w:proofErr w:type="spellEnd"/>
      <w:r>
        <w:rPr>
          <w:sz w:val="20"/>
          <w:szCs w:val="20"/>
        </w:rPr>
        <w:t xml:space="preserve"> </w:t>
      </w:r>
      <w:proofErr w:type="spellStart"/>
      <w:r>
        <w:rPr>
          <w:sz w:val="20"/>
          <w:szCs w:val="20"/>
        </w:rPr>
        <w:t>Genetics</w:t>
      </w:r>
      <w:proofErr w:type="spellEnd"/>
      <w:r>
        <w:rPr>
          <w:sz w:val="20"/>
          <w:szCs w:val="20"/>
        </w:rPr>
        <w:t>, 45(10), 1113-1120. https://doi.org/10.1038/ng.2764</w:t>
      </w:r>
    </w:p>
    <w:p w14:paraId="7427DDE4" w14:textId="77777777" w:rsidR="000A030B" w:rsidRDefault="00985EDE">
      <w:pPr>
        <w:spacing w:after="120"/>
        <w:ind w:left="720" w:hanging="360"/>
      </w:pPr>
      <w:r>
        <w:rPr>
          <w:b/>
          <w:bCs/>
          <w:color w:val="1F3864"/>
          <w:sz w:val="20"/>
          <w:szCs w:val="20"/>
        </w:rPr>
        <w:t xml:space="preserve">[20] </w:t>
      </w:r>
      <w:r>
        <w:rPr>
          <w:sz w:val="20"/>
          <w:szCs w:val="20"/>
        </w:rPr>
        <w:t xml:space="preserve">Jensen, M. A., Ferretti, V., Grossman, R. L., &amp; </w:t>
      </w:r>
      <w:proofErr w:type="spellStart"/>
      <w:r>
        <w:rPr>
          <w:sz w:val="20"/>
          <w:szCs w:val="20"/>
        </w:rPr>
        <w:t>Staudt</w:t>
      </w:r>
      <w:proofErr w:type="spellEnd"/>
      <w:r>
        <w:rPr>
          <w:sz w:val="20"/>
          <w:szCs w:val="20"/>
        </w:rPr>
        <w:t xml:space="preserve">, L. M. (2017). </w:t>
      </w:r>
      <w:proofErr w:type="spellStart"/>
      <w:r>
        <w:rPr>
          <w:sz w:val="20"/>
          <w:szCs w:val="20"/>
        </w:rPr>
        <w:t>The</w:t>
      </w:r>
      <w:proofErr w:type="spellEnd"/>
      <w:r>
        <w:rPr>
          <w:sz w:val="20"/>
          <w:szCs w:val="20"/>
        </w:rPr>
        <w:t xml:space="preserve"> NCI </w:t>
      </w:r>
      <w:proofErr w:type="spellStart"/>
      <w:r>
        <w:rPr>
          <w:sz w:val="20"/>
          <w:szCs w:val="20"/>
        </w:rPr>
        <w:t>Genomic</w:t>
      </w:r>
      <w:proofErr w:type="spellEnd"/>
      <w:r>
        <w:rPr>
          <w:sz w:val="20"/>
          <w:szCs w:val="20"/>
        </w:rPr>
        <w:t xml:space="preserve"> Data Commons as </w:t>
      </w:r>
      <w:proofErr w:type="spellStart"/>
      <w:r>
        <w:rPr>
          <w:sz w:val="20"/>
          <w:szCs w:val="20"/>
        </w:rPr>
        <w:t>an</w:t>
      </w:r>
      <w:proofErr w:type="spellEnd"/>
      <w:r>
        <w:rPr>
          <w:sz w:val="20"/>
          <w:szCs w:val="20"/>
        </w:rPr>
        <w:t xml:space="preserve"> </w:t>
      </w:r>
      <w:proofErr w:type="spellStart"/>
      <w:r>
        <w:rPr>
          <w:sz w:val="20"/>
          <w:szCs w:val="20"/>
        </w:rPr>
        <w:t>engine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precision</w:t>
      </w:r>
      <w:proofErr w:type="spellEnd"/>
      <w:r>
        <w:rPr>
          <w:sz w:val="20"/>
          <w:szCs w:val="20"/>
        </w:rPr>
        <w:t xml:space="preserve"> medicine. </w:t>
      </w:r>
      <w:proofErr w:type="spellStart"/>
      <w:r>
        <w:rPr>
          <w:sz w:val="20"/>
          <w:szCs w:val="20"/>
        </w:rPr>
        <w:t>Blood</w:t>
      </w:r>
      <w:proofErr w:type="spellEnd"/>
      <w:r>
        <w:rPr>
          <w:sz w:val="20"/>
          <w:szCs w:val="20"/>
        </w:rPr>
        <w:t>, 130(4), 453-459. https://doi.org/10.1182/blood-2017-03-735654</w:t>
      </w:r>
    </w:p>
    <w:p w14:paraId="38785875" w14:textId="77777777" w:rsidR="000A030B" w:rsidRDefault="00985EDE">
      <w:pPr>
        <w:spacing w:after="120"/>
        <w:ind w:left="720" w:hanging="360"/>
      </w:pPr>
      <w:r>
        <w:rPr>
          <w:b/>
          <w:bCs/>
          <w:color w:val="1F3864"/>
          <w:sz w:val="20"/>
          <w:szCs w:val="20"/>
        </w:rPr>
        <w:t xml:space="preserve">[21] </w:t>
      </w:r>
      <w:r>
        <w:rPr>
          <w:sz w:val="20"/>
          <w:szCs w:val="20"/>
        </w:rPr>
        <w:t xml:space="preserve">Curtis, C., </w:t>
      </w:r>
      <w:proofErr w:type="spellStart"/>
      <w:r>
        <w:rPr>
          <w:sz w:val="20"/>
          <w:szCs w:val="20"/>
        </w:rPr>
        <w:t>Shah</w:t>
      </w:r>
      <w:proofErr w:type="spellEnd"/>
      <w:r>
        <w:rPr>
          <w:sz w:val="20"/>
          <w:szCs w:val="20"/>
        </w:rPr>
        <w:t>, S. P., Chin, S. F., et al. (</w:t>
      </w:r>
      <w:r>
        <w:rPr>
          <w:sz w:val="20"/>
          <w:szCs w:val="20"/>
        </w:rPr>
        <w:t xml:space="preserve">2012). </w:t>
      </w:r>
      <w:proofErr w:type="spellStart"/>
      <w:r>
        <w:rPr>
          <w:sz w:val="20"/>
          <w:szCs w:val="20"/>
        </w:rPr>
        <w:t>The</w:t>
      </w:r>
      <w:proofErr w:type="spellEnd"/>
      <w:r>
        <w:rPr>
          <w:sz w:val="20"/>
          <w:szCs w:val="20"/>
        </w:rPr>
        <w:t xml:space="preserve"> </w:t>
      </w:r>
      <w:proofErr w:type="spellStart"/>
      <w:r>
        <w:rPr>
          <w:sz w:val="20"/>
          <w:szCs w:val="20"/>
        </w:rPr>
        <w:t>genomic</w:t>
      </w:r>
      <w:proofErr w:type="spellEnd"/>
      <w:r>
        <w:rPr>
          <w:sz w:val="20"/>
          <w:szCs w:val="20"/>
        </w:rPr>
        <w:t xml:space="preserve"> and </w:t>
      </w:r>
      <w:proofErr w:type="spellStart"/>
      <w:r>
        <w:rPr>
          <w:sz w:val="20"/>
          <w:szCs w:val="20"/>
        </w:rPr>
        <w:t>transcriptomic</w:t>
      </w:r>
      <w:proofErr w:type="spellEnd"/>
      <w:r>
        <w:rPr>
          <w:sz w:val="20"/>
          <w:szCs w:val="20"/>
        </w:rPr>
        <w:t xml:space="preserve"> </w:t>
      </w:r>
      <w:proofErr w:type="spellStart"/>
      <w:r>
        <w:rPr>
          <w:sz w:val="20"/>
          <w:szCs w:val="20"/>
        </w:rPr>
        <w:t>architecture</w:t>
      </w:r>
      <w:proofErr w:type="spellEnd"/>
      <w:r>
        <w:rPr>
          <w:sz w:val="20"/>
          <w:szCs w:val="20"/>
        </w:rPr>
        <w:t xml:space="preserve"> </w:t>
      </w:r>
      <w:proofErr w:type="spellStart"/>
      <w:r>
        <w:rPr>
          <w:sz w:val="20"/>
          <w:szCs w:val="20"/>
        </w:rPr>
        <w:t>of</w:t>
      </w:r>
      <w:proofErr w:type="spellEnd"/>
      <w:r>
        <w:rPr>
          <w:sz w:val="20"/>
          <w:szCs w:val="20"/>
        </w:rPr>
        <w:t xml:space="preserve"> 2,000 </w:t>
      </w:r>
      <w:proofErr w:type="spellStart"/>
      <w:r>
        <w:rPr>
          <w:sz w:val="20"/>
          <w:szCs w:val="20"/>
        </w:rPr>
        <w:t>breast</w:t>
      </w:r>
      <w:proofErr w:type="spellEnd"/>
      <w:r>
        <w:rPr>
          <w:sz w:val="20"/>
          <w:szCs w:val="20"/>
        </w:rPr>
        <w:t xml:space="preserve"> </w:t>
      </w:r>
      <w:proofErr w:type="spellStart"/>
      <w:r>
        <w:rPr>
          <w:sz w:val="20"/>
          <w:szCs w:val="20"/>
        </w:rPr>
        <w:t>tumours</w:t>
      </w:r>
      <w:proofErr w:type="spellEnd"/>
      <w:r>
        <w:rPr>
          <w:sz w:val="20"/>
          <w:szCs w:val="20"/>
        </w:rPr>
        <w:t xml:space="preserve"> </w:t>
      </w:r>
      <w:proofErr w:type="spellStart"/>
      <w:r>
        <w:rPr>
          <w:sz w:val="20"/>
          <w:szCs w:val="20"/>
        </w:rPr>
        <w:t>reveals</w:t>
      </w:r>
      <w:proofErr w:type="spellEnd"/>
      <w:r>
        <w:rPr>
          <w:sz w:val="20"/>
          <w:szCs w:val="20"/>
        </w:rPr>
        <w:t xml:space="preserve"> novel </w:t>
      </w:r>
      <w:proofErr w:type="spellStart"/>
      <w:r>
        <w:rPr>
          <w:sz w:val="20"/>
          <w:szCs w:val="20"/>
        </w:rPr>
        <w:t>subgroups</w:t>
      </w:r>
      <w:proofErr w:type="spellEnd"/>
      <w:r>
        <w:rPr>
          <w:sz w:val="20"/>
          <w:szCs w:val="20"/>
        </w:rPr>
        <w:t xml:space="preserve">. </w:t>
      </w:r>
      <w:proofErr w:type="spellStart"/>
      <w:r>
        <w:rPr>
          <w:sz w:val="20"/>
          <w:szCs w:val="20"/>
        </w:rPr>
        <w:t>Nature</w:t>
      </w:r>
      <w:proofErr w:type="spellEnd"/>
      <w:r>
        <w:rPr>
          <w:sz w:val="20"/>
          <w:szCs w:val="20"/>
        </w:rPr>
        <w:t>, 486(7403), 346-352. https://doi.org/10.1038/nature10983 *</w:t>
      </w:r>
    </w:p>
    <w:p w14:paraId="7BE6583E" w14:textId="77777777" w:rsidR="000A030B" w:rsidRDefault="00985EDE">
      <w:pPr>
        <w:spacing w:after="120"/>
        <w:ind w:left="720" w:hanging="360"/>
      </w:pPr>
      <w:r>
        <w:rPr>
          <w:b/>
          <w:bCs/>
          <w:color w:val="1F3864"/>
          <w:sz w:val="20"/>
          <w:szCs w:val="20"/>
        </w:rPr>
        <w:t xml:space="preserve">[22] </w:t>
      </w:r>
      <w:proofErr w:type="spellStart"/>
      <w:r>
        <w:rPr>
          <w:sz w:val="20"/>
          <w:szCs w:val="20"/>
        </w:rPr>
        <w:t>Perou</w:t>
      </w:r>
      <w:proofErr w:type="spellEnd"/>
      <w:r>
        <w:rPr>
          <w:sz w:val="20"/>
          <w:szCs w:val="20"/>
        </w:rPr>
        <w:t xml:space="preserve">, C. M., </w:t>
      </w:r>
      <w:proofErr w:type="spellStart"/>
      <w:r>
        <w:rPr>
          <w:sz w:val="20"/>
          <w:szCs w:val="20"/>
        </w:rPr>
        <w:t>Sørlie</w:t>
      </w:r>
      <w:proofErr w:type="spellEnd"/>
      <w:r>
        <w:rPr>
          <w:sz w:val="20"/>
          <w:szCs w:val="20"/>
        </w:rPr>
        <w:t xml:space="preserve">, T., </w:t>
      </w:r>
      <w:proofErr w:type="spellStart"/>
      <w:r>
        <w:rPr>
          <w:sz w:val="20"/>
          <w:szCs w:val="20"/>
        </w:rPr>
        <w:t>Eisen</w:t>
      </w:r>
      <w:proofErr w:type="spellEnd"/>
      <w:r>
        <w:rPr>
          <w:sz w:val="20"/>
          <w:szCs w:val="20"/>
        </w:rPr>
        <w:t xml:space="preserve">, M. B., et al. (2000). Molecular </w:t>
      </w:r>
      <w:proofErr w:type="spellStart"/>
      <w:r>
        <w:rPr>
          <w:sz w:val="20"/>
          <w:szCs w:val="20"/>
        </w:rPr>
        <w:t>portraits</w:t>
      </w:r>
      <w:proofErr w:type="spellEnd"/>
      <w:r>
        <w:rPr>
          <w:sz w:val="20"/>
          <w:szCs w:val="20"/>
        </w:rPr>
        <w:t xml:space="preserve"> </w:t>
      </w:r>
      <w:proofErr w:type="spellStart"/>
      <w:r>
        <w:rPr>
          <w:sz w:val="20"/>
          <w:szCs w:val="20"/>
        </w:rPr>
        <w:t>of</w:t>
      </w:r>
      <w:proofErr w:type="spellEnd"/>
      <w:r>
        <w:rPr>
          <w:sz w:val="20"/>
          <w:szCs w:val="20"/>
        </w:rPr>
        <w:t xml:space="preserve"> human </w:t>
      </w:r>
      <w:proofErr w:type="spellStart"/>
      <w:r>
        <w:rPr>
          <w:sz w:val="20"/>
          <w:szCs w:val="20"/>
        </w:rPr>
        <w:t>b</w:t>
      </w:r>
      <w:r>
        <w:rPr>
          <w:sz w:val="20"/>
          <w:szCs w:val="20"/>
        </w:rPr>
        <w:t>reast</w:t>
      </w:r>
      <w:proofErr w:type="spellEnd"/>
      <w:r>
        <w:rPr>
          <w:sz w:val="20"/>
          <w:szCs w:val="20"/>
        </w:rPr>
        <w:t xml:space="preserve"> </w:t>
      </w:r>
      <w:proofErr w:type="spellStart"/>
      <w:r>
        <w:rPr>
          <w:sz w:val="20"/>
          <w:szCs w:val="20"/>
        </w:rPr>
        <w:t>tumours</w:t>
      </w:r>
      <w:proofErr w:type="spellEnd"/>
      <w:r>
        <w:rPr>
          <w:sz w:val="20"/>
          <w:szCs w:val="20"/>
        </w:rPr>
        <w:t xml:space="preserve">. </w:t>
      </w:r>
      <w:proofErr w:type="spellStart"/>
      <w:r>
        <w:rPr>
          <w:sz w:val="20"/>
          <w:szCs w:val="20"/>
        </w:rPr>
        <w:t>Nature</w:t>
      </w:r>
      <w:proofErr w:type="spellEnd"/>
      <w:r>
        <w:rPr>
          <w:sz w:val="20"/>
          <w:szCs w:val="20"/>
        </w:rPr>
        <w:t>, 406(6797), 747-752. https://doi.org/10.1038/35021093</w:t>
      </w:r>
    </w:p>
    <w:p w14:paraId="4ED43743" w14:textId="77777777" w:rsidR="000A030B" w:rsidRDefault="00985EDE">
      <w:pPr>
        <w:spacing w:after="120"/>
        <w:ind w:left="720" w:hanging="360"/>
      </w:pPr>
      <w:r>
        <w:rPr>
          <w:b/>
          <w:bCs/>
          <w:color w:val="1F3864"/>
          <w:sz w:val="20"/>
          <w:szCs w:val="20"/>
        </w:rPr>
        <w:t xml:space="preserve">[23] </w:t>
      </w:r>
      <w:proofErr w:type="spellStart"/>
      <w:r>
        <w:rPr>
          <w:sz w:val="20"/>
          <w:szCs w:val="20"/>
        </w:rPr>
        <w:t>Leek</w:t>
      </w:r>
      <w:proofErr w:type="spellEnd"/>
      <w:r>
        <w:rPr>
          <w:sz w:val="20"/>
          <w:szCs w:val="20"/>
        </w:rPr>
        <w:t xml:space="preserve">, J. T., Johnson, W. E., Parker, H. S., Jaffe, A. E., &amp; Storey, J. D. (2012). </w:t>
      </w:r>
      <w:proofErr w:type="spellStart"/>
      <w:r>
        <w:rPr>
          <w:sz w:val="20"/>
          <w:szCs w:val="20"/>
        </w:rPr>
        <w:t>The</w:t>
      </w:r>
      <w:proofErr w:type="spellEnd"/>
      <w:r>
        <w:rPr>
          <w:sz w:val="20"/>
          <w:szCs w:val="20"/>
        </w:rPr>
        <w:t xml:space="preserve"> </w:t>
      </w:r>
      <w:proofErr w:type="spellStart"/>
      <w:r>
        <w:rPr>
          <w:sz w:val="20"/>
          <w:szCs w:val="20"/>
        </w:rPr>
        <w:t>sva</w:t>
      </w:r>
      <w:proofErr w:type="spellEnd"/>
      <w:r>
        <w:rPr>
          <w:sz w:val="20"/>
          <w:szCs w:val="20"/>
        </w:rPr>
        <w:t xml:space="preserve"> </w:t>
      </w:r>
      <w:proofErr w:type="spellStart"/>
      <w:r>
        <w:rPr>
          <w:sz w:val="20"/>
          <w:szCs w:val="20"/>
        </w:rPr>
        <w:t>package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removing</w:t>
      </w:r>
      <w:proofErr w:type="spellEnd"/>
      <w:r>
        <w:rPr>
          <w:sz w:val="20"/>
          <w:szCs w:val="20"/>
        </w:rPr>
        <w:t xml:space="preserve"> </w:t>
      </w:r>
      <w:proofErr w:type="spellStart"/>
      <w:r>
        <w:rPr>
          <w:sz w:val="20"/>
          <w:szCs w:val="20"/>
        </w:rPr>
        <w:t>batch</w:t>
      </w:r>
      <w:proofErr w:type="spellEnd"/>
      <w:r>
        <w:rPr>
          <w:sz w:val="20"/>
          <w:szCs w:val="20"/>
        </w:rPr>
        <w:t xml:space="preserve"> </w:t>
      </w:r>
      <w:proofErr w:type="spellStart"/>
      <w:r>
        <w:rPr>
          <w:sz w:val="20"/>
          <w:szCs w:val="20"/>
        </w:rPr>
        <w:t>effects</w:t>
      </w:r>
      <w:proofErr w:type="spellEnd"/>
      <w:r>
        <w:rPr>
          <w:sz w:val="20"/>
          <w:szCs w:val="20"/>
        </w:rPr>
        <w:t xml:space="preserve"> and </w:t>
      </w:r>
      <w:proofErr w:type="spellStart"/>
      <w:r>
        <w:rPr>
          <w:sz w:val="20"/>
          <w:szCs w:val="20"/>
        </w:rPr>
        <w:t>other</w:t>
      </w:r>
      <w:proofErr w:type="spellEnd"/>
      <w:r>
        <w:rPr>
          <w:sz w:val="20"/>
          <w:szCs w:val="20"/>
        </w:rPr>
        <w:t xml:space="preserve"> </w:t>
      </w:r>
      <w:proofErr w:type="spellStart"/>
      <w:r>
        <w:rPr>
          <w:sz w:val="20"/>
          <w:szCs w:val="20"/>
        </w:rPr>
        <w:t>unwanted</w:t>
      </w:r>
      <w:proofErr w:type="spellEnd"/>
      <w:r>
        <w:rPr>
          <w:sz w:val="20"/>
          <w:szCs w:val="20"/>
        </w:rPr>
        <w:t xml:space="preserve"> </w:t>
      </w:r>
      <w:proofErr w:type="spellStart"/>
      <w:r>
        <w:rPr>
          <w:sz w:val="20"/>
          <w:szCs w:val="20"/>
        </w:rPr>
        <w:t>variation</w:t>
      </w:r>
      <w:proofErr w:type="spellEnd"/>
      <w:r>
        <w:rPr>
          <w:sz w:val="20"/>
          <w:szCs w:val="20"/>
        </w:rPr>
        <w:t xml:space="preserve"> in </w:t>
      </w:r>
      <w:proofErr w:type="spellStart"/>
      <w:r>
        <w:rPr>
          <w:sz w:val="20"/>
          <w:szCs w:val="20"/>
        </w:rPr>
        <w:t>high-throughput</w:t>
      </w:r>
      <w:proofErr w:type="spellEnd"/>
      <w:r>
        <w:rPr>
          <w:sz w:val="20"/>
          <w:szCs w:val="20"/>
        </w:rPr>
        <w:t xml:space="preserve"> </w:t>
      </w:r>
      <w:proofErr w:type="spellStart"/>
      <w:r>
        <w:rPr>
          <w:sz w:val="20"/>
          <w:szCs w:val="20"/>
        </w:rPr>
        <w:t>ex</w:t>
      </w:r>
      <w:r>
        <w:rPr>
          <w:sz w:val="20"/>
          <w:szCs w:val="20"/>
        </w:rPr>
        <w:t>periments</w:t>
      </w:r>
      <w:proofErr w:type="spellEnd"/>
      <w:r>
        <w:rPr>
          <w:sz w:val="20"/>
          <w:szCs w:val="20"/>
        </w:rPr>
        <w:t xml:space="preserve">. </w:t>
      </w:r>
      <w:proofErr w:type="spellStart"/>
      <w:r>
        <w:rPr>
          <w:sz w:val="20"/>
          <w:szCs w:val="20"/>
        </w:rPr>
        <w:t>Bioinformatics</w:t>
      </w:r>
      <w:proofErr w:type="spellEnd"/>
      <w:r>
        <w:rPr>
          <w:sz w:val="20"/>
          <w:szCs w:val="20"/>
        </w:rPr>
        <w:t>, 28(6), 882-883. https://doi.org/10.1093/bioinformatics/bts034</w:t>
      </w:r>
    </w:p>
    <w:p w14:paraId="3E58DF2E" w14:textId="77777777" w:rsidR="000A030B" w:rsidRDefault="00985EDE">
      <w:pPr>
        <w:spacing w:after="120"/>
        <w:ind w:left="720" w:hanging="360"/>
      </w:pPr>
      <w:r>
        <w:rPr>
          <w:b/>
          <w:bCs/>
          <w:color w:val="1F3864"/>
          <w:sz w:val="20"/>
          <w:szCs w:val="20"/>
        </w:rPr>
        <w:t xml:space="preserve">[24] </w:t>
      </w:r>
      <w:proofErr w:type="spellStart"/>
      <w:r>
        <w:rPr>
          <w:sz w:val="20"/>
          <w:szCs w:val="20"/>
        </w:rPr>
        <w:t>Cardarella</w:t>
      </w:r>
      <w:proofErr w:type="spellEnd"/>
      <w:r>
        <w:rPr>
          <w:sz w:val="20"/>
          <w:szCs w:val="20"/>
        </w:rPr>
        <w:t xml:space="preserve">, S., &amp; Johnson, B. E. (2013). </w:t>
      </w:r>
      <w:proofErr w:type="spellStart"/>
      <w:r>
        <w:rPr>
          <w:sz w:val="20"/>
          <w:szCs w:val="20"/>
        </w:rPr>
        <w:t>The</w:t>
      </w:r>
      <w:proofErr w:type="spellEnd"/>
      <w:r>
        <w:rPr>
          <w:sz w:val="20"/>
          <w:szCs w:val="20"/>
        </w:rPr>
        <w:t xml:space="preserve"> </w:t>
      </w:r>
      <w:proofErr w:type="spellStart"/>
      <w:r>
        <w:rPr>
          <w:sz w:val="20"/>
          <w:szCs w:val="20"/>
        </w:rPr>
        <w:t>impact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genomic</w:t>
      </w:r>
      <w:proofErr w:type="spellEnd"/>
      <w:r>
        <w:rPr>
          <w:sz w:val="20"/>
          <w:szCs w:val="20"/>
        </w:rPr>
        <w:t xml:space="preserve"> </w:t>
      </w:r>
      <w:proofErr w:type="spellStart"/>
      <w:r>
        <w:rPr>
          <w:sz w:val="20"/>
          <w:szCs w:val="20"/>
        </w:rPr>
        <w:t>changes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w:t>
      </w:r>
      <w:proofErr w:type="spellEnd"/>
      <w:r>
        <w:rPr>
          <w:sz w:val="20"/>
          <w:szCs w:val="20"/>
        </w:rPr>
        <w:t xml:space="preserve">. American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Respiratory</w:t>
      </w:r>
      <w:proofErr w:type="spellEnd"/>
      <w:r>
        <w:rPr>
          <w:sz w:val="20"/>
          <w:szCs w:val="20"/>
        </w:rPr>
        <w:t xml:space="preserve"> and </w:t>
      </w:r>
      <w:proofErr w:type="spellStart"/>
      <w:r>
        <w:rPr>
          <w:sz w:val="20"/>
          <w:szCs w:val="20"/>
        </w:rPr>
        <w:t>Critical</w:t>
      </w:r>
      <w:proofErr w:type="spellEnd"/>
      <w:r>
        <w:rPr>
          <w:sz w:val="20"/>
          <w:szCs w:val="20"/>
        </w:rPr>
        <w:t xml:space="preserve"> Care Medicine, 18</w:t>
      </w:r>
      <w:r>
        <w:rPr>
          <w:sz w:val="20"/>
          <w:szCs w:val="20"/>
        </w:rPr>
        <w:t>8(7), 770-775. https://doi.org/10.1164/rccm.201305-0843PP</w:t>
      </w:r>
    </w:p>
    <w:p w14:paraId="7276B961" w14:textId="77777777" w:rsidR="000A030B" w:rsidRDefault="00985EDE">
      <w:pPr>
        <w:spacing w:after="120"/>
        <w:ind w:left="720" w:hanging="360"/>
      </w:pPr>
      <w:r>
        <w:rPr>
          <w:b/>
          <w:bCs/>
          <w:color w:val="1F3864"/>
          <w:sz w:val="20"/>
          <w:szCs w:val="20"/>
        </w:rPr>
        <w:t xml:space="preserve">[25] </w:t>
      </w:r>
      <w:proofErr w:type="spellStart"/>
      <w:r>
        <w:rPr>
          <w:sz w:val="20"/>
          <w:szCs w:val="20"/>
        </w:rPr>
        <w:t>Sørlie</w:t>
      </w:r>
      <w:proofErr w:type="spellEnd"/>
      <w:r>
        <w:rPr>
          <w:sz w:val="20"/>
          <w:szCs w:val="20"/>
        </w:rPr>
        <w:t xml:space="preserve">, T., </w:t>
      </w:r>
      <w:proofErr w:type="spellStart"/>
      <w:r>
        <w:rPr>
          <w:sz w:val="20"/>
          <w:szCs w:val="20"/>
        </w:rPr>
        <w:t>Perou</w:t>
      </w:r>
      <w:proofErr w:type="spellEnd"/>
      <w:r>
        <w:rPr>
          <w:sz w:val="20"/>
          <w:szCs w:val="20"/>
        </w:rPr>
        <w:t xml:space="preserve">, C. M., </w:t>
      </w:r>
      <w:proofErr w:type="spellStart"/>
      <w:r>
        <w:rPr>
          <w:sz w:val="20"/>
          <w:szCs w:val="20"/>
        </w:rPr>
        <w:t>Tibshirani</w:t>
      </w:r>
      <w:proofErr w:type="spellEnd"/>
      <w:r>
        <w:rPr>
          <w:sz w:val="20"/>
          <w:szCs w:val="20"/>
        </w:rPr>
        <w:t xml:space="preserve">, R., et al. (2001). Gene </w:t>
      </w:r>
      <w:proofErr w:type="spellStart"/>
      <w:r>
        <w:rPr>
          <w:sz w:val="20"/>
          <w:szCs w:val="20"/>
        </w:rPr>
        <w:t>expression</w:t>
      </w:r>
      <w:proofErr w:type="spellEnd"/>
      <w:r>
        <w:rPr>
          <w:sz w:val="20"/>
          <w:szCs w:val="20"/>
        </w:rPr>
        <w:t xml:space="preserve"> </w:t>
      </w:r>
      <w:proofErr w:type="spellStart"/>
      <w:r>
        <w:rPr>
          <w:sz w:val="20"/>
          <w:szCs w:val="20"/>
        </w:rPr>
        <w:t>patterns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breast</w:t>
      </w:r>
      <w:proofErr w:type="spellEnd"/>
      <w:r>
        <w:rPr>
          <w:sz w:val="20"/>
          <w:szCs w:val="20"/>
        </w:rPr>
        <w:t xml:space="preserve"> carcinomas </w:t>
      </w:r>
      <w:proofErr w:type="spellStart"/>
      <w:r>
        <w:rPr>
          <w:sz w:val="20"/>
          <w:szCs w:val="20"/>
        </w:rPr>
        <w:t>distinguish</w:t>
      </w:r>
      <w:proofErr w:type="spellEnd"/>
      <w:r>
        <w:rPr>
          <w:sz w:val="20"/>
          <w:szCs w:val="20"/>
        </w:rPr>
        <w:t xml:space="preserve"> tumor </w:t>
      </w:r>
      <w:proofErr w:type="spellStart"/>
      <w:r>
        <w:rPr>
          <w:sz w:val="20"/>
          <w:szCs w:val="20"/>
        </w:rPr>
        <w:t>subclasses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Proceedings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National</w:t>
      </w:r>
      <w:proofErr w:type="spellEnd"/>
      <w:r>
        <w:rPr>
          <w:sz w:val="20"/>
          <w:szCs w:val="20"/>
        </w:rPr>
        <w:t xml:space="preserve"> </w:t>
      </w:r>
      <w:proofErr w:type="spellStart"/>
      <w:r>
        <w:rPr>
          <w:sz w:val="20"/>
          <w:szCs w:val="20"/>
        </w:rPr>
        <w:t>Acade</w:t>
      </w:r>
      <w:r>
        <w:rPr>
          <w:sz w:val="20"/>
          <w:szCs w:val="20"/>
        </w:rPr>
        <w:t>my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Sciences</w:t>
      </w:r>
      <w:proofErr w:type="spellEnd"/>
      <w:r>
        <w:rPr>
          <w:sz w:val="20"/>
          <w:szCs w:val="20"/>
        </w:rPr>
        <w:t>, 98(19), 10869-10874. https://doi.org/10.1073/pnas.191367098</w:t>
      </w:r>
    </w:p>
    <w:p w14:paraId="4FB2BDFE" w14:textId="77777777" w:rsidR="000A030B" w:rsidRDefault="00985EDE">
      <w:pPr>
        <w:spacing w:after="120"/>
        <w:ind w:left="720" w:hanging="360"/>
      </w:pPr>
      <w:r>
        <w:rPr>
          <w:b/>
          <w:bCs/>
          <w:color w:val="1F3864"/>
          <w:sz w:val="20"/>
          <w:szCs w:val="20"/>
        </w:rPr>
        <w:t xml:space="preserve">[26] </w:t>
      </w:r>
      <w:proofErr w:type="spellStart"/>
      <w:r>
        <w:rPr>
          <w:sz w:val="20"/>
          <w:szCs w:val="20"/>
        </w:rPr>
        <w:t>Paik</w:t>
      </w:r>
      <w:proofErr w:type="spellEnd"/>
      <w:r>
        <w:rPr>
          <w:sz w:val="20"/>
          <w:szCs w:val="20"/>
        </w:rPr>
        <w:t xml:space="preserve">, S., </w:t>
      </w:r>
      <w:proofErr w:type="spellStart"/>
      <w:r>
        <w:rPr>
          <w:sz w:val="20"/>
          <w:szCs w:val="20"/>
        </w:rPr>
        <w:t>Shak</w:t>
      </w:r>
      <w:proofErr w:type="spellEnd"/>
      <w:r>
        <w:rPr>
          <w:sz w:val="20"/>
          <w:szCs w:val="20"/>
        </w:rPr>
        <w:t xml:space="preserve">, S., Tang, G., et al. (2004). A </w:t>
      </w:r>
      <w:proofErr w:type="spellStart"/>
      <w:r>
        <w:rPr>
          <w:sz w:val="20"/>
          <w:szCs w:val="20"/>
        </w:rPr>
        <w:t>multigene</w:t>
      </w:r>
      <w:proofErr w:type="spellEnd"/>
      <w:r>
        <w:rPr>
          <w:sz w:val="20"/>
          <w:szCs w:val="20"/>
        </w:rPr>
        <w:t xml:space="preserve"> </w:t>
      </w:r>
      <w:proofErr w:type="spellStart"/>
      <w:r>
        <w:rPr>
          <w:sz w:val="20"/>
          <w:szCs w:val="20"/>
        </w:rPr>
        <w:t>assay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predict</w:t>
      </w:r>
      <w:proofErr w:type="spellEnd"/>
      <w:r>
        <w:rPr>
          <w:sz w:val="20"/>
          <w:szCs w:val="20"/>
        </w:rPr>
        <w:t xml:space="preserve"> </w:t>
      </w:r>
      <w:proofErr w:type="spellStart"/>
      <w:r>
        <w:rPr>
          <w:sz w:val="20"/>
          <w:szCs w:val="20"/>
        </w:rPr>
        <w:t>recurrence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tamoxifen-treated</w:t>
      </w:r>
      <w:proofErr w:type="spellEnd"/>
      <w:r>
        <w:rPr>
          <w:sz w:val="20"/>
          <w:szCs w:val="20"/>
        </w:rPr>
        <w:t xml:space="preserve">, </w:t>
      </w:r>
      <w:proofErr w:type="spellStart"/>
      <w:r>
        <w:rPr>
          <w:sz w:val="20"/>
          <w:szCs w:val="20"/>
        </w:rPr>
        <w:t>node</w:t>
      </w:r>
      <w:proofErr w:type="spellEnd"/>
      <w:r>
        <w:rPr>
          <w:sz w:val="20"/>
          <w:szCs w:val="20"/>
        </w:rPr>
        <w:t xml:space="preserve">-negative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351(27</w:t>
      </w:r>
      <w:r>
        <w:rPr>
          <w:sz w:val="20"/>
          <w:szCs w:val="20"/>
        </w:rPr>
        <w:t>), 2817-2826. https://doi.org/10.1056/NEJMoa041588</w:t>
      </w:r>
    </w:p>
    <w:p w14:paraId="172F8794" w14:textId="77777777" w:rsidR="000A030B" w:rsidRDefault="00985EDE">
      <w:pPr>
        <w:spacing w:after="120"/>
        <w:ind w:left="720" w:hanging="360"/>
      </w:pPr>
      <w:r>
        <w:rPr>
          <w:b/>
          <w:bCs/>
          <w:color w:val="1F3864"/>
          <w:sz w:val="20"/>
          <w:szCs w:val="20"/>
        </w:rPr>
        <w:t xml:space="preserve">[27] </w:t>
      </w:r>
      <w:r>
        <w:rPr>
          <w:sz w:val="20"/>
          <w:szCs w:val="20"/>
        </w:rPr>
        <w:t xml:space="preserve">van 't </w:t>
      </w:r>
      <w:proofErr w:type="spellStart"/>
      <w:r>
        <w:rPr>
          <w:sz w:val="20"/>
          <w:szCs w:val="20"/>
        </w:rPr>
        <w:t>Veer</w:t>
      </w:r>
      <w:proofErr w:type="spellEnd"/>
      <w:r>
        <w:rPr>
          <w:sz w:val="20"/>
          <w:szCs w:val="20"/>
        </w:rPr>
        <w:t xml:space="preserve">, L. J., </w:t>
      </w:r>
      <w:proofErr w:type="spellStart"/>
      <w:r>
        <w:rPr>
          <w:sz w:val="20"/>
          <w:szCs w:val="20"/>
        </w:rPr>
        <w:t>Dai</w:t>
      </w:r>
      <w:proofErr w:type="spellEnd"/>
      <w:r>
        <w:rPr>
          <w:sz w:val="20"/>
          <w:szCs w:val="20"/>
        </w:rPr>
        <w:t xml:space="preserve">, H., Van De </w:t>
      </w:r>
      <w:proofErr w:type="spellStart"/>
      <w:r>
        <w:rPr>
          <w:sz w:val="20"/>
          <w:szCs w:val="20"/>
        </w:rPr>
        <w:t>Vijver</w:t>
      </w:r>
      <w:proofErr w:type="spellEnd"/>
      <w:r>
        <w:rPr>
          <w:sz w:val="20"/>
          <w:szCs w:val="20"/>
        </w:rPr>
        <w:t xml:space="preserve">, M. J., et al. (2002). Gene </w:t>
      </w:r>
      <w:proofErr w:type="spellStart"/>
      <w:r>
        <w:rPr>
          <w:sz w:val="20"/>
          <w:szCs w:val="20"/>
        </w:rPr>
        <w:t>expression</w:t>
      </w:r>
      <w:proofErr w:type="spellEnd"/>
      <w:r>
        <w:rPr>
          <w:sz w:val="20"/>
          <w:szCs w:val="20"/>
        </w:rPr>
        <w:t xml:space="preserve"> </w:t>
      </w:r>
      <w:proofErr w:type="spellStart"/>
      <w:r>
        <w:rPr>
          <w:sz w:val="20"/>
          <w:szCs w:val="20"/>
        </w:rPr>
        <w:t>profiling</w:t>
      </w:r>
      <w:proofErr w:type="spellEnd"/>
      <w:r>
        <w:rPr>
          <w:sz w:val="20"/>
          <w:szCs w:val="20"/>
        </w:rPr>
        <w:t xml:space="preserve"> </w:t>
      </w:r>
      <w:proofErr w:type="spellStart"/>
      <w:r>
        <w:rPr>
          <w:sz w:val="20"/>
          <w:szCs w:val="20"/>
        </w:rPr>
        <w:t>predicts</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outcome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Nature</w:t>
      </w:r>
      <w:proofErr w:type="spellEnd"/>
      <w:r>
        <w:rPr>
          <w:sz w:val="20"/>
          <w:szCs w:val="20"/>
        </w:rPr>
        <w:t>, 415(6871), 530-536. https://doi.org/10.1038/415530a</w:t>
      </w:r>
    </w:p>
    <w:p w14:paraId="1570E520" w14:textId="77777777" w:rsidR="000A030B" w:rsidRDefault="00985EDE">
      <w:pPr>
        <w:spacing w:after="120"/>
        <w:ind w:left="720" w:hanging="360"/>
      </w:pPr>
      <w:r>
        <w:rPr>
          <w:b/>
          <w:bCs/>
          <w:color w:val="1F3864"/>
          <w:sz w:val="20"/>
          <w:szCs w:val="20"/>
        </w:rPr>
        <w:t>[28]</w:t>
      </w:r>
      <w:r>
        <w:rPr>
          <w:b/>
          <w:bCs/>
          <w:color w:val="1F3864"/>
          <w:sz w:val="20"/>
          <w:szCs w:val="20"/>
        </w:rPr>
        <w:t xml:space="preserve"> </w:t>
      </w:r>
      <w:proofErr w:type="spellStart"/>
      <w:r>
        <w:rPr>
          <w:sz w:val="20"/>
          <w:szCs w:val="20"/>
        </w:rPr>
        <w:t>Sparano</w:t>
      </w:r>
      <w:proofErr w:type="spellEnd"/>
      <w:r>
        <w:rPr>
          <w:sz w:val="20"/>
          <w:szCs w:val="20"/>
        </w:rPr>
        <w:t xml:space="preserve">, J. A., Gray, R. J., </w:t>
      </w:r>
      <w:proofErr w:type="spellStart"/>
      <w:r>
        <w:rPr>
          <w:sz w:val="20"/>
          <w:szCs w:val="20"/>
        </w:rPr>
        <w:t>Makower</w:t>
      </w:r>
      <w:proofErr w:type="spellEnd"/>
      <w:r>
        <w:rPr>
          <w:sz w:val="20"/>
          <w:szCs w:val="20"/>
        </w:rPr>
        <w:t xml:space="preserve">, D. F., et al. (2018). </w:t>
      </w:r>
      <w:proofErr w:type="spellStart"/>
      <w:r>
        <w:rPr>
          <w:sz w:val="20"/>
          <w:szCs w:val="20"/>
        </w:rPr>
        <w:t>Adjuvant</w:t>
      </w:r>
      <w:proofErr w:type="spellEnd"/>
      <w:r>
        <w:rPr>
          <w:sz w:val="20"/>
          <w:szCs w:val="20"/>
        </w:rPr>
        <w:t xml:space="preserve"> </w:t>
      </w:r>
      <w:proofErr w:type="spellStart"/>
      <w:r>
        <w:rPr>
          <w:sz w:val="20"/>
          <w:szCs w:val="20"/>
        </w:rPr>
        <w:t>chemotherapy</w:t>
      </w:r>
      <w:proofErr w:type="spellEnd"/>
      <w:r>
        <w:rPr>
          <w:sz w:val="20"/>
          <w:szCs w:val="20"/>
        </w:rPr>
        <w:t xml:space="preserve"> </w:t>
      </w:r>
      <w:proofErr w:type="spellStart"/>
      <w:r>
        <w:rPr>
          <w:sz w:val="20"/>
          <w:szCs w:val="20"/>
        </w:rPr>
        <w:t>guided</w:t>
      </w:r>
      <w:proofErr w:type="spellEnd"/>
      <w:r>
        <w:rPr>
          <w:sz w:val="20"/>
          <w:szCs w:val="20"/>
        </w:rPr>
        <w:t xml:space="preserve"> </w:t>
      </w:r>
      <w:proofErr w:type="spellStart"/>
      <w:r>
        <w:rPr>
          <w:sz w:val="20"/>
          <w:szCs w:val="20"/>
        </w:rPr>
        <w:t>by</w:t>
      </w:r>
      <w:proofErr w:type="spellEnd"/>
      <w:r>
        <w:rPr>
          <w:sz w:val="20"/>
          <w:szCs w:val="20"/>
        </w:rPr>
        <w:t xml:space="preserve"> a 21-gene </w:t>
      </w:r>
      <w:proofErr w:type="spellStart"/>
      <w:r>
        <w:rPr>
          <w:sz w:val="20"/>
          <w:szCs w:val="20"/>
        </w:rPr>
        <w:t>expression</w:t>
      </w:r>
      <w:proofErr w:type="spellEnd"/>
      <w:r>
        <w:rPr>
          <w:sz w:val="20"/>
          <w:szCs w:val="20"/>
        </w:rPr>
        <w:t xml:space="preserve"> </w:t>
      </w:r>
      <w:proofErr w:type="spellStart"/>
      <w:r>
        <w:rPr>
          <w:sz w:val="20"/>
          <w:szCs w:val="20"/>
        </w:rPr>
        <w:t>assay</w:t>
      </w:r>
      <w:proofErr w:type="spellEnd"/>
      <w:r>
        <w:rPr>
          <w:sz w:val="20"/>
          <w:szCs w:val="20"/>
        </w:rPr>
        <w:t xml:space="preserve"> in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379(2), 111-121. https://doi.org/10.1056/NEJMoa1804710</w:t>
      </w:r>
    </w:p>
    <w:p w14:paraId="2712C47C" w14:textId="77777777" w:rsidR="000A030B" w:rsidRDefault="00985EDE">
      <w:pPr>
        <w:spacing w:after="120"/>
        <w:ind w:left="720" w:hanging="360"/>
      </w:pPr>
      <w:r>
        <w:rPr>
          <w:b/>
          <w:bCs/>
          <w:color w:val="1F3864"/>
          <w:sz w:val="20"/>
          <w:szCs w:val="20"/>
        </w:rPr>
        <w:t xml:space="preserve">[29] </w:t>
      </w:r>
      <w:r>
        <w:rPr>
          <w:sz w:val="20"/>
          <w:szCs w:val="20"/>
        </w:rPr>
        <w:t xml:space="preserve">Cardoso, F., van 't </w:t>
      </w:r>
      <w:proofErr w:type="spellStart"/>
      <w:r>
        <w:rPr>
          <w:sz w:val="20"/>
          <w:szCs w:val="20"/>
        </w:rPr>
        <w:t>Veer</w:t>
      </w:r>
      <w:proofErr w:type="spellEnd"/>
      <w:r>
        <w:rPr>
          <w:sz w:val="20"/>
          <w:szCs w:val="20"/>
        </w:rPr>
        <w:t>,</w:t>
      </w:r>
      <w:r>
        <w:rPr>
          <w:sz w:val="20"/>
          <w:szCs w:val="20"/>
        </w:rPr>
        <w:t xml:space="preserve"> L. J., </w:t>
      </w:r>
      <w:proofErr w:type="spellStart"/>
      <w:r>
        <w:rPr>
          <w:sz w:val="20"/>
          <w:szCs w:val="20"/>
        </w:rPr>
        <w:t>Bogaerts</w:t>
      </w:r>
      <w:proofErr w:type="spellEnd"/>
      <w:r>
        <w:rPr>
          <w:sz w:val="20"/>
          <w:szCs w:val="20"/>
        </w:rPr>
        <w:t xml:space="preserve">, J., et al. (2016). 70-gene </w:t>
      </w:r>
      <w:proofErr w:type="spellStart"/>
      <w:r>
        <w:rPr>
          <w:sz w:val="20"/>
          <w:szCs w:val="20"/>
        </w:rPr>
        <w:t>signature</w:t>
      </w:r>
      <w:proofErr w:type="spellEnd"/>
      <w:r>
        <w:rPr>
          <w:sz w:val="20"/>
          <w:szCs w:val="20"/>
        </w:rPr>
        <w:t xml:space="preserve"> as </w:t>
      </w:r>
      <w:proofErr w:type="spellStart"/>
      <w:r>
        <w:rPr>
          <w:sz w:val="20"/>
          <w:szCs w:val="20"/>
        </w:rPr>
        <w:t>an</w:t>
      </w:r>
      <w:proofErr w:type="spellEnd"/>
      <w:r>
        <w:rPr>
          <w:sz w:val="20"/>
          <w:szCs w:val="20"/>
        </w:rPr>
        <w:t xml:space="preserve"> </w:t>
      </w:r>
      <w:proofErr w:type="spellStart"/>
      <w:r>
        <w:rPr>
          <w:sz w:val="20"/>
          <w:szCs w:val="20"/>
        </w:rPr>
        <w:t>aid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decisions</w:t>
      </w:r>
      <w:proofErr w:type="spellEnd"/>
      <w:r>
        <w:rPr>
          <w:sz w:val="20"/>
          <w:szCs w:val="20"/>
        </w:rPr>
        <w:t xml:space="preserve"> in </w:t>
      </w:r>
      <w:proofErr w:type="spellStart"/>
      <w:r>
        <w:rPr>
          <w:sz w:val="20"/>
          <w:szCs w:val="20"/>
        </w:rPr>
        <w:t>early-stage</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375(8), 717-729. https://doi.org/10.1056/NEJMoa1602253</w:t>
      </w:r>
    </w:p>
    <w:p w14:paraId="160883F2" w14:textId="77777777" w:rsidR="000A030B" w:rsidRDefault="00985EDE">
      <w:pPr>
        <w:spacing w:after="120"/>
        <w:ind w:left="720" w:hanging="360"/>
      </w:pPr>
      <w:r>
        <w:rPr>
          <w:b/>
          <w:bCs/>
          <w:color w:val="1F3864"/>
          <w:sz w:val="20"/>
          <w:szCs w:val="20"/>
        </w:rPr>
        <w:t xml:space="preserve">[30] </w:t>
      </w:r>
      <w:proofErr w:type="spellStart"/>
      <w:r>
        <w:rPr>
          <w:sz w:val="20"/>
          <w:szCs w:val="20"/>
        </w:rPr>
        <w:t>Meng</w:t>
      </w:r>
      <w:proofErr w:type="spellEnd"/>
      <w:r>
        <w:rPr>
          <w:sz w:val="20"/>
          <w:szCs w:val="20"/>
        </w:rPr>
        <w:t xml:space="preserve">, X., </w:t>
      </w:r>
      <w:proofErr w:type="spellStart"/>
      <w:r>
        <w:rPr>
          <w:sz w:val="20"/>
          <w:szCs w:val="20"/>
        </w:rPr>
        <w:t>Xing</w:t>
      </w:r>
      <w:proofErr w:type="spellEnd"/>
      <w:r>
        <w:rPr>
          <w:sz w:val="20"/>
          <w:szCs w:val="20"/>
        </w:rPr>
        <w:t xml:space="preserve">, X., Cao, S., et al. (2021). </w:t>
      </w:r>
      <w:proofErr w:type="spellStart"/>
      <w:r>
        <w:rPr>
          <w:sz w:val="20"/>
          <w:szCs w:val="20"/>
        </w:rPr>
        <w:t>P</w:t>
      </w:r>
      <w:r>
        <w:rPr>
          <w:sz w:val="20"/>
          <w:szCs w:val="20"/>
        </w:rPr>
        <w:t>redicting</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5-year </w:t>
      </w:r>
      <w:proofErr w:type="spellStart"/>
      <w:r>
        <w:rPr>
          <w:sz w:val="20"/>
          <w:szCs w:val="20"/>
        </w:rPr>
        <w:t>survival</w:t>
      </w:r>
      <w:proofErr w:type="spellEnd"/>
      <w:r>
        <w:rPr>
          <w:sz w:val="20"/>
          <w:szCs w:val="20"/>
        </w:rPr>
        <w:t xml:space="preserve"> </w:t>
      </w:r>
      <w:proofErr w:type="spellStart"/>
      <w:r>
        <w:rPr>
          <w:sz w:val="20"/>
          <w:szCs w:val="20"/>
        </w:rPr>
        <w:t>using</w:t>
      </w:r>
      <w:proofErr w:type="spellEnd"/>
      <w:r>
        <w:rPr>
          <w:sz w:val="20"/>
          <w:szCs w:val="20"/>
        </w:rPr>
        <w:t xml:space="preserve"> machine learning: A </w:t>
      </w:r>
      <w:proofErr w:type="spellStart"/>
      <w:r>
        <w:rPr>
          <w:sz w:val="20"/>
          <w:szCs w:val="20"/>
        </w:rPr>
        <w:t>systematic</w:t>
      </w:r>
      <w:proofErr w:type="spellEnd"/>
      <w:r>
        <w:rPr>
          <w:sz w:val="20"/>
          <w:szCs w:val="20"/>
        </w:rPr>
        <w:t xml:space="preserve"> </w:t>
      </w:r>
      <w:proofErr w:type="spellStart"/>
      <w:r>
        <w:rPr>
          <w:sz w:val="20"/>
          <w:szCs w:val="20"/>
        </w:rPr>
        <w:t>review</w:t>
      </w:r>
      <w:proofErr w:type="spellEnd"/>
      <w:r>
        <w:rPr>
          <w:sz w:val="20"/>
          <w:szCs w:val="20"/>
        </w:rPr>
        <w:t>. PLOS ONE, 16(4), e0250370. https://doi.org/10.1371/journal.pone.0250370 *</w:t>
      </w:r>
    </w:p>
    <w:p w14:paraId="5FBA858C" w14:textId="77777777" w:rsidR="000A030B" w:rsidRDefault="00985EDE">
      <w:pPr>
        <w:spacing w:after="120"/>
        <w:ind w:left="720" w:hanging="360"/>
      </w:pPr>
      <w:r>
        <w:rPr>
          <w:b/>
          <w:bCs/>
          <w:color w:val="1F3864"/>
          <w:sz w:val="20"/>
          <w:szCs w:val="20"/>
        </w:rPr>
        <w:t xml:space="preserve">[31] </w:t>
      </w:r>
      <w:r>
        <w:rPr>
          <w:sz w:val="20"/>
          <w:szCs w:val="20"/>
        </w:rPr>
        <w:t xml:space="preserve">Gao, J., Zhang, P., Ren, Y., et al. (2019). Integrative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gene </w:t>
      </w:r>
      <w:proofErr w:type="spellStart"/>
      <w:r>
        <w:rPr>
          <w:sz w:val="20"/>
          <w:szCs w:val="20"/>
        </w:rPr>
        <w:t>expression</w:t>
      </w:r>
      <w:proofErr w:type="spellEnd"/>
      <w:r>
        <w:rPr>
          <w:sz w:val="20"/>
          <w:szCs w:val="20"/>
        </w:rPr>
        <w:t xml:space="preserve"> data in </w:t>
      </w:r>
      <w:r>
        <w:rPr>
          <w:sz w:val="20"/>
          <w:szCs w:val="20"/>
        </w:rPr>
        <w:t xml:space="preserve">TCGA </w:t>
      </w:r>
      <w:proofErr w:type="spellStart"/>
      <w:r>
        <w:rPr>
          <w:sz w:val="20"/>
          <w:szCs w:val="20"/>
        </w:rPr>
        <w:t>for</w:t>
      </w:r>
      <w:proofErr w:type="spellEnd"/>
      <w:r>
        <w:rPr>
          <w:sz w:val="20"/>
          <w:szCs w:val="20"/>
        </w:rPr>
        <w:t xml:space="preserve"> </w:t>
      </w:r>
      <w:proofErr w:type="spellStart"/>
      <w:r>
        <w:rPr>
          <w:sz w:val="20"/>
          <w:szCs w:val="20"/>
        </w:rPr>
        <w:t>predicting</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prognosis. BMC </w:t>
      </w:r>
      <w:proofErr w:type="spellStart"/>
      <w:r>
        <w:rPr>
          <w:sz w:val="20"/>
          <w:szCs w:val="20"/>
        </w:rPr>
        <w:t>Bioinformatics</w:t>
      </w:r>
      <w:proofErr w:type="spellEnd"/>
      <w:r>
        <w:rPr>
          <w:sz w:val="20"/>
          <w:szCs w:val="20"/>
        </w:rPr>
        <w:t>, 20(1), 582. https://doi.org/10.1186/s12859-019-3190-4</w:t>
      </w:r>
    </w:p>
    <w:p w14:paraId="11A23343" w14:textId="77777777" w:rsidR="000A030B" w:rsidRDefault="00985EDE">
      <w:pPr>
        <w:spacing w:after="120"/>
        <w:ind w:left="720" w:hanging="360"/>
      </w:pPr>
      <w:r>
        <w:rPr>
          <w:b/>
          <w:bCs/>
          <w:color w:val="1F3864"/>
          <w:sz w:val="20"/>
          <w:szCs w:val="20"/>
        </w:rPr>
        <w:t xml:space="preserve">[32] </w:t>
      </w:r>
      <w:proofErr w:type="spellStart"/>
      <w:r>
        <w:rPr>
          <w:sz w:val="20"/>
          <w:szCs w:val="20"/>
        </w:rPr>
        <w:t>Tapak</w:t>
      </w:r>
      <w:proofErr w:type="spellEnd"/>
      <w:r>
        <w:rPr>
          <w:sz w:val="20"/>
          <w:szCs w:val="20"/>
        </w:rPr>
        <w:t xml:space="preserve">, L., </w:t>
      </w:r>
      <w:proofErr w:type="spellStart"/>
      <w:r>
        <w:rPr>
          <w:sz w:val="20"/>
          <w:szCs w:val="20"/>
        </w:rPr>
        <w:t>Hamidi</w:t>
      </w:r>
      <w:proofErr w:type="spellEnd"/>
      <w:r>
        <w:rPr>
          <w:sz w:val="20"/>
          <w:szCs w:val="20"/>
        </w:rPr>
        <w:t xml:space="preserve">, O., </w:t>
      </w:r>
      <w:proofErr w:type="spellStart"/>
      <w:r>
        <w:rPr>
          <w:sz w:val="20"/>
          <w:szCs w:val="20"/>
        </w:rPr>
        <w:t>Amini</w:t>
      </w:r>
      <w:proofErr w:type="spellEnd"/>
      <w:r>
        <w:rPr>
          <w:sz w:val="20"/>
          <w:szCs w:val="20"/>
        </w:rPr>
        <w:t xml:space="preserve">, P., &amp; Verbeke, G. (2019). </w:t>
      </w:r>
      <w:proofErr w:type="spellStart"/>
      <w:r>
        <w:rPr>
          <w:sz w:val="20"/>
          <w:szCs w:val="20"/>
        </w:rPr>
        <w:t>Prediction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 in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via</w:t>
      </w:r>
      <w:proofErr w:type="spellEnd"/>
      <w:r>
        <w:rPr>
          <w:sz w:val="20"/>
          <w:szCs w:val="20"/>
        </w:rPr>
        <w:t xml:space="preserve"> a competitive </w:t>
      </w:r>
      <w:proofErr w:type="spellStart"/>
      <w:r>
        <w:rPr>
          <w:sz w:val="20"/>
          <w:szCs w:val="20"/>
        </w:rPr>
        <w:t>penalized</w:t>
      </w:r>
      <w:proofErr w:type="spellEnd"/>
      <w:r>
        <w:rPr>
          <w:sz w:val="20"/>
          <w:szCs w:val="20"/>
        </w:rPr>
        <w:t xml:space="preserve"> Cox </w:t>
      </w:r>
      <w:proofErr w:type="spellStart"/>
      <w:r>
        <w:rPr>
          <w:sz w:val="20"/>
          <w:szCs w:val="20"/>
        </w:rPr>
        <w:t>model</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presence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correlated</w:t>
      </w:r>
      <w:proofErr w:type="spellEnd"/>
      <w:r>
        <w:rPr>
          <w:sz w:val="20"/>
          <w:szCs w:val="20"/>
        </w:rPr>
        <w:t xml:space="preserve"> gene </w:t>
      </w:r>
      <w:proofErr w:type="spellStart"/>
      <w:r>
        <w:rPr>
          <w:sz w:val="20"/>
          <w:szCs w:val="20"/>
        </w:rPr>
        <w:lastRenderedPageBreak/>
        <w:t>expression</w:t>
      </w:r>
      <w:proofErr w:type="spellEnd"/>
      <w:r>
        <w:rPr>
          <w:sz w:val="20"/>
          <w:szCs w:val="20"/>
        </w:rPr>
        <w:t xml:space="preserve"> data.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9(1), 10841. https://doi.org/10.1038/s41598-019-47181-0</w:t>
      </w:r>
    </w:p>
    <w:p w14:paraId="16955E4B" w14:textId="77777777" w:rsidR="000A030B" w:rsidRDefault="00985EDE">
      <w:pPr>
        <w:spacing w:after="120"/>
        <w:ind w:left="720" w:hanging="360"/>
      </w:pPr>
      <w:r>
        <w:rPr>
          <w:b/>
          <w:bCs/>
          <w:color w:val="1F3864"/>
          <w:sz w:val="20"/>
          <w:szCs w:val="20"/>
        </w:rPr>
        <w:t xml:space="preserve">[33]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(2014). Comprehensive molecular </w:t>
      </w:r>
      <w:proofErr w:type="spellStart"/>
      <w:r>
        <w:rPr>
          <w:sz w:val="20"/>
          <w:szCs w:val="20"/>
        </w:rPr>
        <w:t>profiling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adenocarcinoma. </w:t>
      </w:r>
      <w:proofErr w:type="spellStart"/>
      <w:r>
        <w:rPr>
          <w:sz w:val="20"/>
          <w:szCs w:val="20"/>
        </w:rPr>
        <w:t>Nature</w:t>
      </w:r>
      <w:proofErr w:type="spellEnd"/>
      <w:r>
        <w:rPr>
          <w:sz w:val="20"/>
          <w:szCs w:val="20"/>
        </w:rPr>
        <w:t xml:space="preserve">, </w:t>
      </w:r>
      <w:r>
        <w:rPr>
          <w:sz w:val="20"/>
          <w:szCs w:val="20"/>
        </w:rPr>
        <w:t>511(7511), 543-550. https://doi.org/10.1038/nature13385</w:t>
      </w:r>
    </w:p>
    <w:p w14:paraId="7B4F2BA0" w14:textId="77777777" w:rsidR="000A030B" w:rsidRDefault="00985EDE">
      <w:pPr>
        <w:spacing w:after="120"/>
        <w:ind w:left="720" w:hanging="360"/>
      </w:pPr>
      <w:r>
        <w:rPr>
          <w:b/>
          <w:bCs/>
          <w:color w:val="1F3864"/>
          <w:sz w:val="20"/>
          <w:szCs w:val="20"/>
        </w:rPr>
        <w:t xml:space="preserve">[34]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(2012). Comprehensive </w:t>
      </w:r>
      <w:proofErr w:type="spellStart"/>
      <w:r>
        <w:rPr>
          <w:sz w:val="20"/>
          <w:szCs w:val="20"/>
        </w:rPr>
        <w:t>genomic</w:t>
      </w:r>
      <w:proofErr w:type="spellEnd"/>
      <w:r>
        <w:rPr>
          <w:sz w:val="20"/>
          <w:szCs w:val="20"/>
        </w:rPr>
        <w:t xml:space="preserve"> </w:t>
      </w:r>
      <w:proofErr w:type="spellStart"/>
      <w:r>
        <w:rPr>
          <w:sz w:val="20"/>
          <w:szCs w:val="20"/>
        </w:rPr>
        <w:t>characterization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squamous</w:t>
      </w:r>
      <w:proofErr w:type="spellEnd"/>
      <w:r>
        <w:rPr>
          <w:sz w:val="20"/>
          <w:szCs w:val="20"/>
        </w:rPr>
        <w:t xml:space="preserve"> </w:t>
      </w:r>
      <w:proofErr w:type="spellStart"/>
      <w:r>
        <w:rPr>
          <w:sz w:val="20"/>
          <w:szCs w:val="20"/>
        </w:rPr>
        <w:t>cell</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cancers</w:t>
      </w:r>
      <w:proofErr w:type="spellEnd"/>
      <w:r>
        <w:rPr>
          <w:sz w:val="20"/>
          <w:szCs w:val="20"/>
        </w:rPr>
        <w:t xml:space="preserve">. </w:t>
      </w:r>
      <w:proofErr w:type="spellStart"/>
      <w:r>
        <w:rPr>
          <w:sz w:val="20"/>
          <w:szCs w:val="20"/>
        </w:rPr>
        <w:t>Nature</w:t>
      </w:r>
      <w:proofErr w:type="spellEnd"/>
      <w:r>
        <w:rPr>
          <w:sz w:val="20"/>
          <w:szCs w:val="20"/>
        </w:rPr>
        <w:t>, 489(7417), 519-525. https://doi.org/10.1038/nature11404</w:t>
      </w:r>
    </w:p>
    <w:p w14:paraId="274984CC" w14:textId="77777777" w:rsidR="000A030B" w:rsidRDefault="00985EDE">
      <w:pPr>
        <w:spacing w:after="120"/>
        <w:ind w:left="720" w:hanging="360"/>
      </w:pPr>
      <w:r>
        <w:rPr>
          <w:b/>
          <w:bCs/>
          <w:color w:val="1F3864"/>
          <w:sz w:val="20"/>
          <w:szCs w:val="20"/>
        </w:rPr>
        <w:t xml:space="preserve">[35] </w:t>
      </w:r>
      <w:r>
        <w:rPr>
          <w:sz w:val="20"/>
          <w:szCs w:val="20"/>
        </w:rPr>
        <w:t xml:space="preserve">Lu, M., </w:t>
      </w:r>
      <w:proofErr w:type="spellStart"/>
      <w:r>
        <w:rPr>
          <w:sz w:val="20"/>
          <w:szCs w:val="20"/>
        </w:rPr>
        <w:t>Gu</w:t>
      </w:r>
      <w:r>
        <w:rPr>
          <w:sz w:val="20"/>
          <w:szCs w:val="20"/>
        </w:rPr>
        <w:t>o</w:t>
      </w:r>
      <w:proofErr w:type="spellEnd"/>
      <w:r>
        <w:rPr>
          <w:sz w:val="20"/>
          <w:szCs w:val="20"/>
        </w:rPr>
        <w:t xml:space="preserve">, H., </w:t>
      </w:r>
      <w:proofErr w:type="spellStart"/>
      <w:r>
        <w:rPr>
          <w:sz w:val="20"/>
          <w:szCs w:val="20"/>
        </w:rPr>
        <w:t>Xu</w:t>
      </w:r>
      <w:proofErr w:type="spellEnd"/>
      <w:r>
        <w:rPr>
          <w:sz w:val="20"/>
          <w:szCs w:val="20"/>
        </w:rPr>
        <w:t xml:space="preserve">, M., et al. (2020). </w:t>
      </w:r>
      <w:proofErr w:type="spellStart"/>
      <w:r>
        <w:rPr>
          <w:sz w:val="20"/>
          <w:szCs w:val="20"/>
        </w:rPr>
        <w:t>Predicting</w:t>
      </w:r>
      <w:proofErr w:type="spellEnd"/>
      <w:r>
        <w:rPr>
          <w:sz w:val="20"/>
          <w:szCs w:val="20"/>
        </w:rPr>
        <w:t xml:space="preserve"> </w:t>
      </w:r>
      <w:proofErr w:type="spellStart"/>
      <w:r>
        <w:rPr>
          <w:sz w:val="20"/>
          <w:szCs w:val="20"/>
        </w:rPr>
        <w:t>the</w:t>
      </w:r>
      <w:proofErr w:type="spellEnd"/>
      <w:r>
        <w:rPr>
          <w:sz w:val="20"/>
          <w:szCs w:val="20"/>
        </w:rPr>
        <w:t xml:space="preserve"> prognosis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using</w:t>
      </w:r>
      <w:proofErr w:type="spellEnd"/>
      <w:r>
        <w:rPr>
          <w:sz w:val="20"/>
          <w:szCs w:val="20"/>
        </w:rPr>
        <w:t xml:space="preserve"> a machine learning </w:t>
      </w:r>
      <w:proofErr w:type="spellStart"/>
      <w:r>
        <w:rPr>
          <w:sz w:val="20"/>
          <w:szCs w:val="20"/>
        </w:rPr>
        <w:t>method</w:t>
      </w:r>
      <w:proofErr w:type="spellEnd"/>
      <w:r>
        <w:rPr>
          <w:sz w:val="20"/>
          <w:szCs w:val="20"/>
        </w:rPr>
        <w:t xml:space="preserve"> </w:t>
      </w:r>
      <w:proofErr w:type="spellStart"/>
      <w:r>
        <w:rPr>
          <w:sz w:val="20"/>
          <w:szCs w:val="20"/>
        </w:rPr>
        <w:t>with</w:t>
      </w:r>
      <w:proofErr w:type="spellEnd"/>
      <w:r>
        <w:rPr>
          <w:sz w:val="20"/>
          <w:szCs w:val="20"/>
        </w:rPr>
        <w:t xml:space="preserve"> data </w:t>
      </w:r>
      <w:proofErr w:type="spellStart"/>
      <w:r>
        <w:rPr>
          <w:sz w:val="20"/>
          <w:szCs w:val="20"/>
        </w:rPr>
        <w:t>from</w:t>
      </w:r>
      <w:proofErr w:type="spellEnd"/>
      <w:r>
        <w:rPr>
          <w:sz w:val="20"/>
          <w:szCs w:val="20"/>
        </w:rPr>
        <w:t xml:space="preserve"> TCGA.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Clinical</w:t>
      </w:r>
      <w:proofErr w:type="spellEnd"/>
      <w:r>
        <w:rPr>
          <w:sz w:val="20"/>
          <w:szCs w:val="20"/>
        </w:rPr>
        <w:t xml:space="preserve"> Medicine, 9(11), 3406. https://doi.org/10.3390/jcm9113406</w:t>
      </w:r>
    </w:p>
    <w:p w14:paraId="4A7860B3" w14:textId="77777777" w:rsidR="000A030B" w:rsidRDefault="00985EDE">
      <w:pPr>
        <w:spacing w:after="120"/>
        <w:ind w:left="720" w:hanging="360"/>
      </w:pPr>
      <w:r>
        <w:rPr>
          <w:b/>
          <w:bCs/>
          <w:color w:val="1F3864"/>
          <w:sz w:val="20"/>
          <w:szCs w:val="20"/>
        </w:rPr>
        <w:t xml:space="preserve">[36] </w:t>
      </w:r>
      <w:proofErr w:type="spellStart"/>
      <w:r>
        <w:rPr>
          <w:sz w:val="20"/>
          <w:szCs w:val="20"/>
        </w:rPr>
        <w:t>Dhiman</w:t>
      </w:r>
      <w:proofErr w:type="spellEnd"/>
      <w:r>
        <w:rPr>
          <w:sz w:val="20"/>
          <w:szCs w:val="20"/>
        </w:rPr>
        <w:t>, P., Ma, J., Navarro, C. L. A., et al. (202</w:t>
      </w:r>
      <w:r>
        <w:rPr>
          <w:sz w:val="20"/>
          <w:szCs w:val="20"/>
        </w:rPr>
        <w:t xml:space="preserve">2). </w:t>
      </w:r>
      <w:proofErr w:type="spellStart"/>
      <w:r>
        <w:rPr>
          <w:sz w:val="20"/>
          <w:szCs w:val="20"/>
        </w:rPr>
        <w:t>Reporting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based</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modern</w:t>
      </w:r>
      <w:proofErr w:type="spellEnd"/>
      <w:r>
        <w:rPr>
          <w:sz w:val="20"/>
          <w:szCs w:val="20"/>
        </w:rPr>
        <w:t xml:space="preserve"> </w:t>
      </w:r>
      <w:proofErr w:type="spellStart"/>
      <w:r>
        <w:rPr>
          <w:sz w:val="20"/>
          <w:szCs w:val="20"/>
        </w:rPr>
        <w:t>statistical</w:t>
      </w:r>
      <w:proofErr w:type="spellEnd"/>
      <w:r>
        <w:rPr>
          <w:sz w:val="20"/>
          <w:szCs w:val="20"/>
        </w:rPr>
        <w:t xml:space="preserve"> and machine learning </w:t>
      </w:r>
      <w:proofErr w:type="spellStart"/>
      <w:r>
        <w:rPr>
          <w:sz w:val="20"/>
          <w:szCs w:val="20"/>
        </w:rPr>
        <w:t>methods</w:t>
      </w:r>
      <w:proofErr w:type="spellEnd"/>
      <w:r>
        <w:rPr>
          <w:sz w:val="20"/>
          <w:szCs w:val="20"/>
        </w:rPr>
        <w:t xml:space="preserve"> in </w:t>
      </w:r>
      <w:proofErr w:type="spellStart"/>
      <w:r>
        <w:rPr>
          <w:sz w:val="20"/>
          <w:szCs w:val="20"/>
        </w:rPr>
        <w:t>oncology</w:t>
      </w:r>
      <w:proofErr w:type="spellEnd"/>
      <w:r>
        <w:rPr>
          <w:sz w:val="20"/>
          <w:szCs w:val="20"/>
        </w:rPr>
        <w:t xml:space="preserve">: </w:t>
      </w:r>
      <w:proofErr w:type="spellStart"/>
      <w:r>
        <w:rPr>
          <w:sz w:val="20"/>
          <w:szCs w:val="20"/>
        </w:rPr>
        <w:t>poor</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persists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Epidemiology</w:t>
      </w:r>
      <w:proofErr w:type="spellEnd"/>
      <w:r>
        <w:rPr>
          <w:sz w:val="20"/>
          <w:szCs w:val="20"/>
        </w:rPr>
        <w:t>, 138, 133-145. https://doi.org/10.1016/j.jclinepi.2021.06.023 *</w:t>
      </w:r>
    </w:p>
    <w:p w14:paraId="07227DA9" w14:textId="77777777" w:rsidR="000A030B" w:rsidRDefault="00985EDE">
      <w:pPr>
        <w:spacing w:after="120"/>
        <w:ind w:left="720" w:hanging="360"/>
      </w:pPr>
      <w:r>
        <w:rPr>
          <w:b/>
          <w:bCs/>
          <w:color w:val="1F3864"/>
          <w:sz w:val="20"/>
          <w:szCs w:val="20"/>
        </w:rPr>
        <w:t xml:space="preserve">[37] </w:t>
      </w:r>
      <w:proofErr w:type="spellStart"/>
      <w:r>
        <w:rPr>
          <w:sz w:val="20"/>
          <w:szCs w:val="20"/>
        </w:rPr>
        <w:t>Steyer</w:t>
      </w:r>
      <w:r>
        <w:rPr>
          <w:sz w:val="20"/>
          <w:szCs w:val="20"/>
        </w:rPr>
        <w:t>berg</w:t>
      </w:r>
      <w:proofErr w:type="spellEnd"/>
      <w:r>
        <w:rPr>
          <w:sz w:val="20"/>
          <w:szCs w:val="20"/>
        </w:rPr>
        <w:t xml:space="preserve">, E. W., &amp; </w:t>
      </w:r>
      <w:proofErr w:type="spellStart"/>
      <w:r>
        <w:rPr>
          <w:sz w:val="20"/>
          <w:szCs w:val="20"/>
        </w:rPr>
        <w:t>Harrell</w:t>
      </w:r>
      <w:proofErr w:type="spellEnd"/>
      <w:r>
        <w:rPr>
          <w:sz w:val="20"/>
          <w:szCs w:val="20"/>
        </w:rPr>
        <w:t xml:space="preserve">, F. E. (2021). </w:t>
      </w:r>
      <w:proofErr w:type="spellStart"/>
      <w:r>
        <w:rPr>
          <w:sz w:val="20"/>
          <w:szCs w:val="20"/>
        </w:rPr>
        <w:t>External</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proofErr w:type="gramStart"/>
      <w:r>
        <w:rPr>
          <w:sz w:val="20"/>
          <w:szCs w:val="20"/>
        </w:rPr>
        <w:t>what</w:t>
      </w:r>
      <w:proofErr w:type="spellEnd"/>
      <w:r>
        <w:rPr>
          <w:sz w:val="20"/>
          <w:szCs w:val="20"/>
        </w:rPr>
        <w:t xml:space="preserve">, </w:t>
      </w:r>
      <w:proofErr w:type="spellStart"/>
      <w:r>
        <w:rPr>
          <w:sz w:val="20"/>
          <w:szCs w:val="20"/>
        </w:rPr>
        <w:t>why</w:t>
      </w:r>
      <w:proofErr w:type="spellEnd"/>
      <w:r>
        <w:rPr>
          <w:sz w:val="20"/>
          <w:szCs w:val="20"/>
        </w:rPr>
        <w:t xml:space="preserve">, </w:t>
      </w:r>
      <w:proofErr w:type="spellStart"/>
      <w:r>
        <w:rPr>
          <w:sz w:val="20"/>
          <w:szCs w:val="20"/>
        </w:rPr>
        <w:t>how</w:t>
      </w:r>
      <w:proofErr w:type="spellEnd"/>
      <w:r>
        <w:rPr>
          <w:sz w:val="20"/>
          <w:szCs w:val="20"/>
        </w:rPr>
        <w:t xml:space="preserve">, </w:t>
      </w:r>
      <w:proofErr w:type="spellStart"/>
      <w:r>
        <w:rPr>
          <w:sz w:val="20"/>
          <w:szCs w:val="20"/>
        </w:rPr>
        <w:t>when</w:t>
      </w:r>
      <w:proofErr w:type="spellEnd"/>
      <w:r>
        <w:rPr>
          <w:sz w:val="20"/>
          <w:szCs w:val="20"/>
        </w:rPr>
        <w:t xml:space="preserve"> and </w:t>
      </w:r>
      <w:proofErr w:type="spellStart"/>
      <w:r>
        <w:rPr>
          <w:sz w:val="20"/>
          <w:szCs w:val="20"/>
        </w:rPr>
        <w:t>where</w:t>
      </w:r>
      <w:proofErr w:type="spellEnd"/>
      <w:r>
        <w:rPr>
          <w:sz w:val="20"/>
          <w:szCs w:val="20"/>
        </w:rPr>
        <w:t>?</w:t>
      </w:r>
      <w:proofErr w:type="gram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Kidney</w:t>
      </w:r>
      <w:proofErr w:type="spellEnd"/>
      <w:r>
        <w:rPr>
          <w:sz w:val="20"/>
          <w:szCs w:val="20"/>
        </w:rPr>
        <w:t xml:space="preserve"> </w:t>
      </w:r>
      <w:proofErr w:type="spellStart"/>
      <w:r>
        <w:rPr>
          <w:sz w:val="20"/>
          <w:szCs w:val="20"/>
        </w:rPr>
        <w:t>Journal</w:t>
      </w:r>
      <w:proofErr w:type="spellEnd"/>
      <w:r>
        <w:rPr>
          <w:sz w:val="20"/>
          <w:szCs w:val="20"/>
        </w:rPr>
        <w:t>, 14(1), 49-58. https://doi.org/10.1093/ckj/sfaa188 *</w:t>
      </w:r>
    </w:p>
    <w:p w14:paraId="513B6C93" w14:textId="77777777" w:rsidR="000A030B" w:rsidRDefault="00985EDE">
      <w:pPr>
        <w:spacing w:after="120"/>
        <w:ind w:left="720" w:hanging="360"/>
      </w:pPr>
      <w:r>
        <w:rPr>
          <w:b/>
          <w:bCs/>
          <w:color w:val="1F3864"/>
          <w:sz w:val="20"/>
          <w:szCs w:val="20"/>
        </w:rPr>
        <w:t xml:space="preserve">[38] </w:t>
      </w:r>
      <w:proofErr w:type="spellStart"/>
      <w:r>
        <w:rPr>
          <w:sz w:val="20"/>
          <w:szCs w:val="20"/>
        </w:rPr>
        <w:t>Hänzelmann</w:t>
      </w:r>
      <w:proofErr w:type="spellEnd"/>
      <w:r>
        <w:rPr>
          <w:sz w:val="20"/>
          <w:szCs w:val="20"/>
        </w:rPr>
        <w:t xml:space="preserve">, S., Castelo, R., &amp; </w:t>
      </w:r>
      <w:proofErr w:type="spellStart"/>
      <w:r>
        <w:rPr>
          <w:sz w:val="20"/>
          <w:szCs w:val="20"/>
        </w:rPr>
        <w:t>Guinney</w:t>
      </w:r>
      <w:proofErr w:type="spellEnd"/>
      <w:r>
        <w:rPr>
          <w:sz w:val="20"/>
          <w:szCs w:val="20"/>
        </w:rPr>
        <w:t xml:space="preserve">, J. (2013). GSVA: gene </w:t>
      </w:r>
      <w:r>
        <w:rPr>
          <w:sz w:val="20"/>
          <w:szCs w:val="20"/>
        </w:rPr>
        <w:t xml:space="preserve">set </w:t>
      </w:r>
      <w:proofErr w:type="spellStart"/>
      <w:r>
        <w:rPr>
          <w:sz w:val="20"/>
          <w:szCs w:val="20"/>
        </w:rPr>
        <w:t>variation</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microarray</w:t>
      </w:r>
      <w:proofErr w:type="spellEnd"/>
      <w:r>
        <w:rPr>
          <w:sz w:val="20"/>
          <w:szCs w:val="20"/>
        </w:rPr>
        <w:t xml:space="preserve"> and RNA-</w:t>
      </w:r>
      <w:proofErr w:type="spellStart"/>
      <w:r>
        <w:rPr>
          <w:sz w:val="20"/>
          <w:szCs w:val="20"/>
        </w:rPr>
        <w:t>seq</w:t>
      </w:r>
      <w:proofErr w:type="spellEnd"/>
      <w:r>
        <w:rPr>
          <w:sz w:val="20"/>
          <w:szCs w:val="20"/>
        </w:rPr>
        <w:t xml:space="preserve"> data. BMC </w:t>
      </w:r>
      <w:proofErr w:type="spellStart"/>
      <w:r>
        <w:rPr>
          <w:sz w:val="20"/>
          <w:szCs w:val="20"/>
        </w:rPr>
        <w:t>Bioinformatics</w:t>
      </w:r>
      <w:proofErr w:type="spellEnd"/>
      <w:r>
        <w:rPr>
          <w:sz w:val="20"/>
          <w:szCs w:val="20"/>
        </w:rPr>
        <w:t>, 14(1), 7. https://doi.org/10.1186/1471-2105-14-7</w:t>
      </w:r>
    </w:p>
    <w:p w14:paraId="6FC1155F" w14:textId="77777777" w:rsidR="000A030B" w:rsidRDefault="00985EDE">
      <w:pPr>
        <w:spacing w:after="120"/>
        <w:ind w:left="720" w:hanging="360"/>
      </w:pPr>
      <w:r>
        <w:rPr>
          <w:b/>
          <w:bCs/>
          <w:color w:val="1F3864"/>
          <w:sz w:val="20"/>
          <w:szCs w:val="20"/>
        </w:rPr>
        <w:t xml:space="preserve">[39] </w:t>
      </w:r>
      <w:r>
        <w:rPr>
          <w:sz w:val="20"/>
          <w:szCs w:val="20"/>
        </w:rPr>
        <w:t xml:space="preserve">Johnson, W. E., Li, C., &amp; </w:t>
      </w:r>
      <w:proofErr w:type="spellStart"/>
      <w:r>
        <w:rPr>
          <w:sz w:val="20"/>
          <w:szCs w:val="20"/>
        </w:rPr>
        <w:t>Rabinovic</w:t>
      </w:r>
      <w:proofErr w:type="spellEnd"/>
      <w:r>
        <w:rPr>
          <w:sz w:val="20"/>
          <w:szCs w:val="20"/>
        </w:rPr>
        <w:t xml:space="preserve">, A. (2007). </w:t>
      </w:r>
      <w:proofErr w:type="spellStart"/>
      <w:r>
        <w:rPr>
          <w:sz w:val="20"/>
          <w:szCs w:val="20"/>
        </w:rPr>
        <w:t>Adjusting</w:t>
      </w:r>
      <w:proofErr w:type="spellEnd"/>
      <w:r>
        <w:rPr>
          <w:sz w:val="20"/>
          <w:szCs w:val="20"/>
        </w:rPr>
        <w:t xml:space="preserve"> </w:t>
      </w:r>
      <w:proofErr w:type="spellStart"/>
      <w:r>
        <w:rPr>
          <w:sz w:val="20"/>
          <w:szCs w:val="20"/>
        </w:rPr>
        <w:t>batch</w:t>
      </w:r>
      <w:proofErr w:type="spellEnd"/>
      <w:r>
        <w:rPr>
          <w:sz w:val="20"/>
          <w:szCs w:val="20"/>
        </w:rPr>
        <w:t xml:space="preserve"> </w:t>
      </w:r>
      <w:proofErr w:type="spellStart"/>
      <w:r>
        <w:rPr>
          <w:sz w:val="20"/>
          <w:szCs w:val="20"/>
        </w:rPr>
        <w:t>effects</w:t>
      </w:r>
      <w:proofErr w:type="spellEnd"/>
      <w:r>
        <w:rPr>
          <w:sz w:val="20"/>
          <w:szCs w:val="20"/>
        </w:rPr>
        <w:t xml:space="preserve"> in </w:t>
      </w:r>
      <w:proofErr w:type="spellStart"/>
      <w:r>
        <w:rPr>
          <w:sz w:val="20"/>
          <w:szCs w:val="20"/>
        </w:rPr>
        <w:t>microarray</w:t>
      </w:r>
      <w:proofErr w:type="spellEnd"/>
      <w:r>
        <w:rPr>
          <w:sz w:val="20"/>
          <w:szCs w:val="20"/>
        </w:rPr>
        <w:t xml:space="preserve"> </w:t>
      </w:r>
      <w:proofErr w:type="spellStart"/>
      <w:r>
        <w:rPr>
          <w:sz w:val="20"/>
          <w:szCs w:val="20"/>
        </w:rPr>
        <w:t>expression</w:t>
      </w:r>
      <w:proofErr w:type="spellEnd"/>
      <w:r>
        <w:rPr>
          <w:sz w:val="20"/>
          <w:szCs w:val="20"/>
        </w:rPr>
        <w:t xml:space="preserve"> data </w:t>
      </w:r>
      <w:proofErr w:type="spellStart"/>
      <w:r>
        <w:rPr>
          <w:sz w:val="20"/>
          <w:szCs w:val="20"/>
        </w:rPr>
        <w:t>using</w:t>
      </w:r>
      <w:proofErr w:type="spellEnd"/>
      <w:r>
        <w:rPr>
          <w:sz w:val="20"/>
          <w:szCs w:val="20"/>
        </w:rPr>
        <w:t xml:space="preserve"> </w:t>
      </w:r>
      <w:proofErr w:type="spellStart"/>
      <w:r>
        <w:rPr>
          <w:sz w:val="20"/>
          <w:szCs w:val="20"/>
        </w:rPr>
        <w:t>empirical</w:t>
      </w:r>
      <w:proofErr w:type="spellEnd"/>
      <w:r>
        <w:rPr>
          <w:sz w:val="20"/>
          <w:szCs w:val="20"/>
        </w:rPr>
        <w:t xml:space="preserve"> Bayes </w:t>
      </w:r>
      <w:proofErr w:type="spellStart"/>
      <w:r>
        <w:rPr>
          <w:sz w:val="20"/>
          <w:szCs w:val="20"/>
        </w:rPr>
        <w:t>me</w:t>
      </w:r>
      <w:r>
        <w:rPr>
          <w:sz w:val="20"/>
          <w:szCs w:val="20"/>
        </w:rPr>
        <w:t>thods</w:t>
      </w:r>
      <w:proofErr w:type="spellEnd"/>
      <w:r>
        <w:rPr>
          <w:sz w:val="20"/>
          <w:szCs w:val="20"/>
        </w:rPr>
        <w:t xml:space="preserve">. </w:t>
      </w:r>
      <w:proofErr w:type="spellStart"/>
      <w:r>
        <w:rPr>
          <w:sz w:val="20"/>
          <w:szCs w:val="20"/>
        </w:rPr>
        <w:t>Biostatistics</w:t>
      </w:r>
      <w:proofErr w:type="spellEnd"/>
      <w:r>
        <w:rPr>
          <w:sz w:val="20"/>
          <w:szCs w:val="20"/>
        </w:rPr>
        <w:t>, 8(1), 118-127. https://doi.org/10.1093/biostatistics/kxj037</w:t>
      </w:r>
    </w:p>
    <w:p w14:paraId="5D5DD2C6" w14:textId="77777777" w:rsidR="000A030B" w:rsidRDefault="00985EDE">
      <w:pPr>
        <w:spacing w:after="120"/>
        <w:ind w:left="720" w:hanging="360"/>
      </w:pPr>
      <w:r>
        <w:rPr>
          <w:b/>
          <w:bCs/>
          <w:color w:val="1F3864"/>
          <w:sz w:val="20"/>
          <w:szCs w:val="20"/>
        </w:rPr>
        <w:t xml:space="preserve">[40] </w:t>
      </w:r>
      <w:proofErr w:type="spellStart"/>
      <w:r>
        <w:rPr>
          <w:sz w:val="20"/>
          <w:szCs w:val="20"/>
        </w:rPr>
        <w:t>Harrell</w:t>
      </w:r>
      <w:proofErr w:type="spellEnd"/>
      <w:r>
        <w:rPr>
          <w:sz w:val="20"/>
          <w:szCs w:val="20"/>
        </w:rPr>
        <w:t xml:space="preserve">, F. E., Lee, K. L., &amp; Mark, D. B. (1996). Multivariable </w:t>
      </w:r>
      <w:proofErr w:type="spellStart"/>
      <w:r>
        <w:rPr>
          <w:sz w:val="20"/>
          <w:szCs w:val="20"/>
        </w:rPr>
        <w:t>prognostic</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issues</w:t>
      </w:r>
      <w:proofErr w:type="spellEnd"/>
      <w:r>
        <w:rPr>
          <w:sz w:val="20"/>
          <w:szCs w:val="20"/>
        </w:rPr>
        <w:t xml:space="preserve"> in </w:t>
      </w:r>
      <w:proofErr w:type="spellStart"/>
      <w:r>
        <w:rPr>
          <w:sz w:val="20"/>
          <w:szCs w:val="20"/>
        </w:rPr>
        <w:t>developing</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evaluating</w:t>
      </w:r>
      <w:proofErr w:type="spellEnd"/>
      <w:r>
        <w:rPr>
          <w:sz w:val="20"/>
          <w:szCs w:val="20"/>
        </w:rPr>
        <w:t xml:space="preserve"> </w:t>
      </w:r>
      <w:proofErr w:type="spellStart"/>
      <w:r>
        <w:rPr>
          <w:sz w:val="20"/>
          <w:szCs w:val="20"/>
        </w:rPr>
        <w:t>assumptions</w:t>
      </w:r>
      <w:proofErr w:type="spellEnd"/>
      <w:r>
        <w:rPr>
          <w:sz w:val="20"/>
          <w:szCs w:val="20"/>
        </w:rPr>
        <w:t xml:space="preserve"> and </w:t>
      </w:r>
      <w:proofErr w:type="spellStart"/>
      <w:r>
        <w:rPr>
          <w:sz w:val="20"/>
          <w:szCs w:val="20"/>
        </w:rPr>
        <w:t>adequacy</w:t>
      </w:r>
      <w:proofErr w:type="spellEnd"/>
      <w:r>
        <w:rPr>
          <w:sz w:val="20"/>
          <w:szCs w:val="20"/>
        </w:rPr>
        <w:t xml:space="preserve">, and </w:t>
      </w:r>
      <w:proofErr w:type="spellStart"/>
      <w:r>
        <w:rPr>
          <w:sz w:val="20"/>
          <w:szCs w:val="20"/>
        </w:rPr>
        <w:t>measuring</w:t>
      </w:r>
      <w:proofErr w:type="spellEnd"/>
      <w:r>
        <w:rPr>
          <w:sz w:val="20"/>
          <w:szCs w:val="20"/>
        </w:rPr>
        <w:t xml:space="preserve"> and </w:t>
      </w:r>
      <w:proofErr w:type="spellStart"/>
      <w:r>
        <w:rPr>
          <w:sz w:val="20"/>
          <w:szCs w:val="20"/>
        </w:rPr>
        <w:t>re</w:t>
      </w:r>
      <w:r>
        <w:rPr>
          <w:sz w:val="20"/>
          <w:szCs w:val="20"/>
        </w:rPr>
        <w:t>ducing</w:t>
      </w:r>
      <w:proofErr w:type="spellEnd"/>
      <w:r>
        <w:rPr>
          <w:sz w:val="20"/>
          <w:szCs w:val="20"/>
        </w:rPr>
        <w:t xml:space="preserve"> </w:t>
      </w:r>
      <w:proofErr w:type="spellStart"/>
      <w:r>
        <w:rPr>
          <w:sz w:val="20"/>
          <w:szCs w:val="20"/>
        </w:rPr>
        <w:t>errors</w:t>
      </w:r>
      <w:proofErr w:type="spellEnd"/>
      <w:r>
        <w:rPr>
          <w:sz w:val="20"/>
          <w:szCs w:val="20"/>
        </w:rPr>
        <w:t xml:space="preserve">. </w:t>
      </w:r>
      <w:proofErr w:type="spellStart"/>
      <w:r>
        <w:rPr>
          <w:sz w:val="20"/>
          <w:szCs w:val="20"/>
        </w:rPr>
        <w:t>Statistics</w:t>
      </w:r>
      <w:proofErr w:type="spellEnd"/>
      <w:r>
        <w:rPr>
          <w:sz w:val="20"/>
          <w:szCs w:val="20"/>
        </w:rPr>
        <w:t xml:space="preserve"> in Medicine, 15(4), 361-387. https://doi.org/10.1002/(SICI)1097-0258(19960229)15:4&lt;</w:t>
      </w:r>
      <w:proofErr w:type="gramStart"/>
      <w:r>
        <w:rPr>
          <w:sz w:val="20"/>
          <w:szCs w:val="20"/>
        </w:rPr>
        <w:t>361::</w:t>
      </w:r>
      <w:proofErr w:type="gramEnd"/>
      <w:r>
        <w:rPr>
          <w:sz w:val="20"/>
          <w:szCs w:val="20"/>
        </w:rPr>
        <w:t>AID-SIM168&gt;3.0.CO;2-4</w:t>
      </w:r>
    </w:p>
    <w:p w14:paraId="736BDA1B" w14:textId="77777777" w:rsidR="000A030B" w:rsidRDefault="00985EDE">
      <w:pPr>
        <w:spacing w:after="120"/>
        <w:ind w:left="720" w:hanging="360"/>
      </w:pPr>
      <w:r>
        <w:rPr>
          <w:b/>
          <w:bCs/>
          <w:color w:val="1F3864"/>
          <w:sz w:val="20"/>
          <w:szCs w:val="20"/>
        </w:rPr>
        <w:t xml:space="preserve">[41] </w:t>
      </w:r>
      <w:r>
        <w:rPr>
          <w:sz w:val="20"/>
          <w:szCs w:val="20"/>
        </w:rPr>
        <w:t xml:space="preserve">Graf, E., </w:t>
      </w:r>
      <w:proofErr w:type="spellStart"/>
      <w:r>
        <w:rPr>
          <w:sz w:val="20"/>
          <w:szCs w:val="20"/>
        </w:rPr>
        <w:t>Schmoor</w:t>
      </w:r>
      <w:proofErr w:type="spellEnd"/>
      <w:r>
        <w:rPr>
          <w:sz w:val="20"/>
          <w:szCs w:val="20"/>
        </w:rPr>
        <w:t xml:space="preserve">, C., </w:t>
      </w:r>
      <w:proofErr w:type="spellStart"/>
      <w:r>
        <w:rPr>
          <w:sz w:val="20"/>
          <w:szCs w:val="20"/>
        </w:rPr>
        <w:t>Sauerbrei</w:t>
      </w:r>
      <w:proofErr w:type="spellEnd"/>
      <w:r>
        <w:rPr>
          <w:sz w:val="20"/>
          <w:szCs w:val="20"/>
        </w:rPr>
        <w:t xml:space="preserve">, W., &amp; Schumacher, M. (1999). </w:t>
      </w:r>
      <w:proofErr w:type="spellStart"/>
      <w:r>
        <w:rPr>
          <w:sz w:val="20"/>
          <w:szCs w:val="20"/>
        </w:rPr>
        <w:t>Assessment</w:t>
      </w:r>
      <w:proofErr w:type="spellEnd"/>
      <w:r>
        <w:rPr>
          <w:sz w:val="20"/>
          <w:szCs w:val="20"/>
        </w:rPr>
        <w:t xml:space="preserve"> and </w:t>
      </w:r>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classificati</w:t>
      </w:r>
      <w:r>
        <w:rPr>
          <w:sz w:val="20"/>
          <w:szCs w:val="20"/>
        </w:rPr>
        <w:t>on</w:t>
      </w:r>
      <w:proofErr w:type="spellEnd"/>
      <w:r>
        <w:rPr>
          <w:sz w:val="20"/>
          <w:szCs w:val="20"/>
        </w:rPr>
        <w:t xml:space="preserve"> </w:t>
      </w:r>
      <w:proofErr w:type="spellStart"/>
      <w:r>
        <w:rPr>
          <w:sz w:val="20"/>
          <w:szCs w:val="20"/>
        </w:rPr>
        <w:t>schemes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data. </w:t>
      </w:r>
      <w:proofErr w:type="spellStart"/>
      <w:r>
        <w:rPr>
          <w:sz w:val="20"/>
          <w:szCs w:val="20"/>
        </w:rPr>
        <w:t>Statistics</w:t>
      </w:r>
      <w:proofErr w:type="spellEnd"/>
      <w:r>
        <w:rPr>
          <w:sz w:val="20"/>
          <w:szCs w:val="20"/>
        </w:rPr>
        <w:t xml:space="preserve"> in Medicine, 18(17-18), 2529-2545. https://doi.org/10.1002/(SICI)1097-0258(19990915/30)18:17/18&lt;</w:t>
      </w:r>
      <w:proofErr w:type="gramStart"/>
      <w:r>
        <w:rPr>
          <w:sz w:val="20"/>
          <w:szCs w:val="20"/>
        </w:rPr>
        <w:t>2529::</w:t>
      </w:r>
      <w:proofErr w:type="gramEnd"/>
      <w:r>
        <w:rPr>
          <w:sz w:val="20"/>
          <w:szCs w:val="20"/>
        </w:rPr>
        <w:t>AID-SIM274&gt;3.0.CO;2-5</w:t>
      </w:r>
    </w:p>
    <w:p w14:paraId="0B9B3865" w14:textId="77777777" w:rsidR="000A030B" w:rsidRDefault="00985EDE">
      <w:pPr>
        <w:spacing w:after="120"/>
        <w:ind w:left="720" w:hanging="360"/>
      </w:pPr>
      <w:r>
        <w:rPr>
          <w:b/>
          <w:bCs/>
          <w:color w:val="1F3864"/>
          <w:sz w:val="20"/>
          <w:szCs w:val="20"/>
        </w:rPr>
        <w:t xml:space="preserve">[42] </w:t>
      </w:r>
      <w:r>
        <w:rPr>
          <w:sz w:val="20"/>
          <w:szCs w:val="20"/>
        </w:rPr>
        <w:t xml:space="preserve">Mantel, N. (1966). </w:t>
      </w:r>
      <w:proofErr w:type="spellStart"/>
      <w:r>
        <w:rPr>
          <w:sz w:val="20"/>
          <w:szCs w:val="20"/>
        </w:rPr>
        <w:t>Evaluation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 data and </w:t>
      </w:r>
      <w:proofErr w:type="spellStart"/>
      <w:r>
        <w:rPr>
          <w:sz w:val="20"/>
          <w:szCs w:val="20"/>
        </w:rPr>
        <w:t>two</w:t>
      </w:r>
      <w:proofErr w:type="spellEnd"/>
      <w:r>
        <w:rPr>
          <w:sz w:val="20"/>
          <w:szCs w:val="20"/>
        </w:rPr>
        <w:t xml:space="preserve"> new </w:t>
      </w:r>
      <w:proofErr w:type="spellStart"/>
      <w:r>
        <w:rPr>
          <w:sz w:val="20"/>
          <w:szCs w:val="20"/>
        </w:rPr>
        <w:t>rank</w:t>
      </w:r>
      <w:proofErr w:type="spellEnd"/>
      <w:r>
        <w:rPr>
          <w:sz w:val="20"/>
          <w:szCs w:val="20"/>
        </w:rPr>
        <w:t xml:space="preserve"> </w:t>
      </w:r>
      <w:proofErr w:type="spellStart"/>
      <w:r>
        <w:rPr>
          <w:sz w:val="20"/>
          <w:szCs w:val="20"/>
        </w:rPr>
        <w:t>order</w:t>
      </w:r>
      <w:proofErr w:type="spellEnd"/>
      <w:r>
        <w:rPr>
          <w:sz w:val="20"/>
          <w:szCs w:val="20"/>
        </w:rPr>
        <w:t xml:space="preserve"> </w:t>
      </w:r>
      <w:proofErr w:type="spellStart"/>
      <w:r>
        <w:rPr>
          <w:sz w:val="20"/>
          <w:szCs w:val="20"/>
        </w:rPr>
        <w:t>statistics</w:t>
      </w:r>
      <w:proofErr w:type="spellEnd"/>
      <w:r>
        <w:rPr>
          <w:sz w:val="20"/>
          <w:szCs w:val="20"/>
        </w:rPr>
        <w:t xml:space="preserve"> </w:t>
      </w:r>
      <w:proofErr w:type="spellStart"/>
      <w:r>
        <w:rPr>
          <w:sz w:val="20"/>
          <w:szCs w:val="20"/>
        </w:rPr>
        <w:t>arisi</w:t>
      </w:r>
      <w:r>
        <w:rPr>
          <w:sz w:val="20"/>
          <w:szCs w:val="20"/>
        </w:rPr>
        <w:t>ng</w:t>
      </w:r>
      <w:proofErr w:type="spellEnd"/>
      <w:r>
        <w:rPr>
          <w:sz w:val="20"/>
          <w:szCs w:val="20"/>
        </w:rPr>
        <w:t xml:space="preserve"> in </w:t>
      </w:r>
      <w:proofErr w:type="spellStart"/>
      <w:r>
        <w:rPr>
          <w:sz w:val="20"/>
          <w:szCs w:val="20"/>
        </w:rPr>
        <w:t>its</w:t>
      </w:r>
      <w:proofErr w:type="spellEnd"/>
      <w:r>
        <w:rPr>
          <w:sz w:val="20"/>
          <w:szCs w:val="20"/>
        </w:rPr>
        <w:t xml:space="preserve"> </w:t>
      </w:r>
      <w:proofErr w:type="spellStart"/>
      <w:r>
        <w:rPr>
          <w:sz w:val="20"/>
          <w:szCs w:val="20"/>
        </w:rPr>
        <w:t>consideration</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Chemotherapy</w:t>
      </w:r>
      <w:proofErr w:type="spellEnd"/>
      <w:r>
        <w:rPr>
          <w:sz w:val="20"/>
          <w:szCs w:val="20"/>
        </w:rPr>
        <w:t xml:space="preserve"> </w:t>
      </w:r>
      <w:proofErr w:type="spellStart"/>
      <w:r>
        <w:rPr>
          <w:sz w:val="20"/>
          <w:szCs w:val="20"/>
        </w:rPr>
        <w:t>Reports</w:t>
      </w:r>
      <w:proofErr w:type="spellEnd"/>
      <w:r>
        <w:rPr>
          <w:sz w:val="20"/>
          <w:szCs w:val="20"/>
        </w:rPr>
        <w:t>, 50(3), 163-170.</w:t>
      </w:r>
    </w:p>
    <w:p w14:paraId="5CCF3476" w14:textId="77777777" w:rsidR="000A030B" w:rsidRDefault="000A030B">
      <w:pPr>
        <w:spacing w:after="100"/>
      </w:pPr>
    </w:p>
    <w:sectPr w:rsidR="000A030B">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1D8E1" w14:textId="77777777" w:rsidR="00985EDE" w:rsidRDefault="00985EDE">
      <w:r>
        <w:separator/>
      </w:r>
    </w:p>
  </w:endnote>
  <w:endnote w:type="continuationSeparator" w:id="0">
    <w:p w14:paraId="02732C88" w14:textId="77777777" w:rsidR="00985EDE" w:rsidRDefault="00985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8697" w14:textId="77777777" w:rsidR="000A030B" w:rsidRDefault="00985EDE">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4F6D0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A2FD3" w14:textId="77777777" w:rsidR="00985EDE" w:rsidRDefault="00985EDE">
      <w:r>
        <w:separator/>
      </w:r>
    </w:p>
  </w:footnote>
  <w:footnote w:type="continuationSeparator" w:id="0">
    <w:p w14:paraId="0459A46D" w14:textId="77777777" w:rsidR="00985EDE" w:rsidRDefault="00985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FE97F" w14:textId="77777777" w:rsidR="000A030B" w:rsidRDefault="00985EDE">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1" w15:restartNumberingAfterBreak="0">
    <w:nsid w:val="629233A3"/>
    <w:multiLevelType w:val="hybridMultilevel"/>
    <w:tmpl w:val="898C3190"/>
    <w:lvl w:ilvl="0" w:tplc="A7C4A9EA">
      <w:start w:val="1"/>
      <w:numFmt w:val="bullet"/>
      <w:lvlText w:val="●"/>
      <w:lvlJc w:val="left"/>
      <w:pPr>
        <w:ind w:left="720" w:hanging="360"/>
      </w:pPr>
    </w:lvl>
    <w:lvl w:ilvl="1" w:tplc="00CCD7C8">
      <w:start w:val="1"/>
      <w:numFmt w:val="bullet"/>
      <w:lvlText w:val="○"/>
      <w:lvlJc w:val="left"/>
      <w:pPr>
        <w:ind w:left="1440" w:hanging="360"/>
      </w:pPr>
    </w:lvl>
    <w:lvl w:ilvl="2" w:tplc="C45EDBFE">
      <w:start w:val="1"/>
      <w:numFmt w:val="bullet"/>
      <w:lvlText w:val="■"/>
      <w:lvlJc w:val="left"/>
      <w:pPr>
        <w:ind w:left="2160" w:hanging="360"/>
      </w:pPr>
    </w:lvl>
    <w:lvl w:ilvl="3" w:tplc="5888F330">
      <w:start w:val="1"/>
      <w:numFmt w:val="bullet"/>
      <w:lvlText w:val="●"/>
      <w:lvlJc w:val="left"/>
      <w:pPr>
        <w:ind w:left="2880" w:hanging="360"/>
      </w:pPr>
    </w:lvl>
    <w:lvl w:ilvl="4" w:tplc="FA3A2754">
      <w:start w:val="1"/>
      <w:numFmt w:val="bullet"/>
      <w:lvlText w:val="○"/>
      <w:lvlJc w:val="left"/>
      <w:pPr>
        <w:ind w:left="3600" w:hanging="360"/>
      </w:pPr>
    </w:lvl>
    <w:lvl w:ilvl="5" w:tplc="365A8408">
      <w:start w:val="1"/>
      <w:numFmt w:val="bullet"/>
      <w:lvlText w:val="■"/>
      <w:lvlJc w:val="left"/>
      <w:pPr>
        <w:ind w:left="4320" w:hanging="360"/>
      </w:pPr>
    </w:lvl>
    <w:lvl w:ilvl="6" w:tplc="BA6EBBA6">
      <w:start w:val="1"/>
      <w:numFmt w:val="bullet"/>
      <w:lvlText w:val="●"/>
      <w:lvlJc w:val="left"/>
      <w:pPr>
        <w:ind w:left="5040" w:hanging="360"/>
      </w:pPr>
    </w:lvl>
    <w:lvl w:ilvl="7" w:tplc="8968C734">
      <w:start w:val="1"/>
      <w:numFmt w:val="bullet"/>
      <w:lvlText w:val="●"/>
      <w:lvlJc w:val="left"/>
      <w:pPr>
        <w:ind w:left="5760" w:hanging="360"/>
      </w:pPr>
    </w:lvl>
    <w:lvl w:ilvl="8" w:tplc="96B630CE">
      <w:start w:val="1"/>
      <w:numFmt w:val="bullet"/>
      <w:lvlText w:val="●"/>
      <w:lvlJc w:val="left"/>
      <w:pPr>
        <w:ind w:left="6480" w:hanging="360"/>
      </w:pPr>
    </w:lvl>
  </w:abstractNum>
  <w:abstractNum w:abstractNumId="2" w15:restartNumberingAfterBreak="0">
    <w:nsid w:val="6BDC3635"/>
    <w:multiLevelType w:val="hybridMultilevel"/>
    <w:tmpl w:val="765ACDA4"/>
    <w:lvl w:ilvl="0" w:tplc="9C76C41A">
      <w:start w:val="1"/>
      <w:numFmt w:val="decimal"/>
      <w:lvlText w:val="%1."/>
      <w:lvlJc w:val="left"/>
      <w:pPr>
        <w:ind w:left="720" w:hanging="360"/>
      </w:pPr>
    </w:lvl>
    <w:lvl w:ilvl="1" w:tplc="C8527EB4">
      <w:numFmt w:val="decimal"/>
      <w:lvlText w:val=""/>
      <w:lvlJc w:val="left"/>
    </w:lvl>
    <w:lvl w:ilvl="2" w:tplc="1BBAEDB4">
      <w:numFmt w:val="decimal"/>
      <w:lvlText w:val=""/>
      <w:lvlJc w:val="left"/>
    </w:lvl>
    <w:lvl w:ilvl="3" w:tplc="9FD64618">
      <w:numFmt w:val="decimal"/>
      <w:lvlText w:val=""/>
      <w:lvlJc w:val="left"/>
    </w:lvl>
    <w:lvl w:ilvl="4" w:tplc="953ED56C">
      <w:numFmt w:val="decimal"/>
      <w:lvlText w:val=""/>
      <w:lvlJc w:val="left"/>
    </w:lvl>
    <w:lvl w:ilvl="5" w:tplc="26D07060">
      <w:numFmt w:val="decimal"/>
      <w:lvlText w:val=""/>
      <w:lvlJc w:val="left"/>
    </w:lvl>
    <w:lvl w:ilvl="6" w:tplc="A64095BC">
      <w:numFmt w:val="decimal"/>
      <w:lvlText w:val=""/>
      <w:lvlJc w:val="left"/>
    </w:lvl>
    <w:lvl w:ilvl="7" w:tplc="E92AB4CE">
      <w:numFmt w:val="decimal"/>
      <w:lvlText w:val=""/>
      <w:lvlJc w:val="left"/>
    </w:lvl>
    <w:lvl w:ilvl="8" w:tplc="E996A2C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30B"/>
    <w:rsid w:val="000206C3"/>
    <w:rsid w:val="000A030B"/>
    <w:rsid w:val="004F6D08"/>
    <w:rsid w:val="006132C2"/>
    <w:rsid w:val="00985EDE"/>
    <w:rsid w:val="00CF2F4C"/>
    <w:rsid w:val="00DC5F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A7F2"/>
  <w15:docId w15:val="{346AD822-331B-496F-AFA3-A0EB5B1E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20" w:after="180"/>
      <w:outlineLvl w:val="1"/>
    </w:pPr>
    <w:rPr>
      <w:b/>
      <w:bCs/>
      <w:color w:val="2E5496"/>
      <w:sz w:val="28"/>
      <w:szCs w:val="28"/>
    </w:rPr>
  </w:style>
  <w:style w:type="paragraph" w:styleId="Ttulo3">
    <w:name w:val="heading 3"/>
    <w:uiPriority w:val="9"/>
    <w:unhideWhenUsed/>
    <w:qFormat/>
    <w:pPr>
      <w:spacing w:before="240" w:after="120"/>
      <w:outlineLvl w:val="2"/>
    </w:pPr>
    <w:rPr>
      <w:b/>
      <w:bCs/>
      <w:color w:val="375623"/>
      <w:sz w:val="24"/>
      <w:szCs w:val="24"/>
    </w:rPr>
  </w:style>
  <w:style w:type="paragraph" w:styleId="Ttulo4">
    <w:name w:val="heading 4"/>
    <w:uiPriority w:val="9"/>
    <w:semiHidden/>
    <w:unhideWhenUsed/>
    <w:qFormat/>
    <w:pPr>
      <w:spacing w:before="180" w:after="100"/>
      <w:outlineLvl w:val="3"/>
    </w:pPr>
    <w:rPr>
      <w:b/>
      <w:bCs/>
      <w:color w:val="7F3F9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15</Pages>
  <Words>6793</Words>
  <Characters>37364</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quesada ubeda</cp:lastModifiedBy>
  <cp:revision>2</cp:revision>
  <dcterms:created xsi:type="dcterms:W3CDTF">2026-03-07T16:38:00Z</dcterms:created>
  <dcterms:modified xsi:type="dcterms:W3CDTF">2026-03-07T18:00:00Z</dcterms:modified>
</cp:coreProperties>
</file>