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w:t>
                            </w:r>
                          </w:p>
                          <w:p w14:paraId="688F79BE" w14:textId="6EB51AAE" w:rsidR="00DC67DE" w:rsidRDefault="009721C2" w:rsidP="00DC67DE">
                            <w:pPr>
                              <w:spacing w:before="0"/>
                              <w:jc w:val="center"/>
                            </w:pPr>
                            <w:r>
                              <w:t>Murillo Medina, Gabriel Omar</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w:t>
                      </w:r>
                    </w:p>
                    <w:p w14:paraId="688F79BE" w14:textId="6EB51AAE" w:rsidR="00DC67DE" w:rsidRDefault="009721C2" w:rsidP="00DC67DE">
                      <w:pPr>
                        <w:spacing w:before="0"/>
                        <w:jc w:val="center"/>
                      </w:pPr>
                      <w:r>
                        <w:t>Murillo Medina, Gabriel Omar</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r>
        <w:t>ESPECIFICACIÓN DE REQUERIMIENTOS DE SOFTWARE PARA SOA CON SOAP EN JAVA SIN BDD</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 SOFTWARE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t>Tabla 1. Definiciones</w:t>
        <w:tab/>
        <w:t>7</w:t>
      </w:r>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 Acrónimos y abreviaturas</w:t>
        <w:tab/>
        <w:t>9</w:t>
      </w:r>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 Referencias</w:t>
        <w:tab/>
        <w:t>10</w:t>
      </w:r>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4. Tipo de usuario / Usuario final</w:t>
        <w:tab/>
        <w:t>12</w:t>
      </w:r>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8. Requisitos de interfaces de hardware</w:t>
        <w:tab/>
        <w:t>14</w:t>
      </w:r>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9. Interfaces de software</w:t>
        <w:tab/>
        <w:t>15</w:t>
      </w:r>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10. Objetivos: Autenticar el acceso de los clientes (OBJ-001)</w:t>
        <w:tab/>
        <w:t>16</w:t>
      </w:r>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11. Objetivos: Realizar conversiones (OBJ-002)</w:t>
        <w:tab/>
        <w:t>16</w:t>
      </w:r>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14. Actor: Usuario Final (ACT-001)</w:t>
        <w:tab/>
        <w:t>17</w:t>
      </w:r>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18. Matriz general de requisitos funcionales</w:t>
        <w:tab/>
        <w:t>18</w:t>
      </w:r>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19. RQF-001: Autenticar Cliente</w:t>
        <w:tab/>
        <w:t>19</w:t>
      </w:r>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20. RQF-002: Convertir Longitud</w:t>
        <w:tab/>
        <w:t>20</w:t>
      </w:r>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21. RQF-003: Convertir Masa</w:t>
        <w:tab/>
        <w:t>20</w:t>
      </w:r>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22. RQF-004: Convertir Temperatura</w:t>
        <w:tab/>
        <w:t>21</w:t>
      </w:r>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26. RNF-001: Protocolo de Arquitectura (SOAP)</w:t>
        <w:tab/>
        <w:t>22</w:t>
      </w:r>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27. RNF-002: Especificación de Software</w:t>
        <w:tab/>
        <w:t>22</w:t>
      </w:r>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28. RNF-003: Entorno de Desarrollo</w:t>
        <w:tab/>
        <w:t>22</w:t>
      </w:r>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29. RNF-004: Servidor de Aplicaciones</w:t>
        <w:tab/>
        <w:t>23</w:t>
      </w:r>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30. RNF-005: Seguridad y autorización mediante Token</w:t>
        <w:tab/>
        <w:t>23</w:t>
      </w:r>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31. RNF-006: Accesibilidad</w:t>
        <w:tab/>
        <w:t>23</w:t>
      </w:r>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32. RNF-007: Mantenimiento</w:t>
        <w:tab/>
        <w:t>23</w:t>
      </w:r>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ageBreakBefore/>
      </w:pPr>
      <w:bookmarkStart w:id="1" w:name="_bookmark0"/>
      <w:bookmarkStart w:id="2" w:name="_Hlk241086724"/>
      <w:bookmarkEnd w:id="1"/>
      <w:r w:rsidRPr="00850009">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El sistema será desarrollado con NetBeans como IDE y sin uso de base de datos (SINBDD). La arquitectura es SOA (Service Oriented Architecture) usando Servicios Web SOAP con Jakarta EE / JAX-WS.</w:t>
      </w:r>
    </w:p>
    <w:bookmarkEnd w:id="2"/>
    <w:p w14:paraId="4D48D55E" w14:textId="77777777" w:rsidR="000722E8" w:rsidRPr="000722E8" w:rsidRDefault="000722E8" w:rsidP="000722E8"/>
    <w:p w14:paraId="66E39F3C" w14:textId="77777777" w:rsidR="003E41D8" w:rsidRDefault="003E41D8" w:rsidP="00850009"/>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t>Introducción</w:t>
      </w:r>
      <w:bookmarkEnd w:id="4"/>
    </w:p>
    <w:p w14:paraId="42BB9370" w14:textId="4BFB9A8A" w:rsidR="00D51532" w:rsidRDefault="003E41D8" w:rsidP="00E9721E">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en JAVA,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t>El servidor de aplicaciones es Payara Server / Tomcat embebido y la arquitectura es Jakarta EE / JAX-WS.</w:t>
      </w:r>
    </w:p>
    <w:p w14:paraId="5F7E3566" w14:textId="041A66FE" w:rsidR="00796919" w:rsidRPr="00F31807" w:rsidRDefault="00796919" w:rsidP="00F31807">
      <w:pPr>
        <w:pStyle w:val="Prrafodelista"/>
        <w:numPr>
          <w:ilvl w:val="0"/>
          <w:numId w:val="41"/>
        </w:numPr>
        <w:spacing w:before="0" w:after="0"/>
      </w:pPr>
      <w:r>
        <w:t>El entorno de desarrollo para la construcción del sistema es NetBeans.</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Proveer el conjunto de </w:t>
            </w:r>
            <w:proofErr w:type="spellStart"/>
            <w:r w:rsidRPr="008B4168">
              <w:t>APIs</w:t>
            </w:r>
            <w:proofErr w:type="spellEnd"/>
            <w:r w:rsidRPr="008B4168">
              <w:t xml:space="preserve"> y anotaciones necesarias para construir la lógica </w:t>
            </w:r>
            <w:r w:rsidRPr="008B4168">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t>Intercambio de datos: La comunicación entre los cuatro clientes (web, móvil, escritorio, consola) y el servidor central se rige por el estándar SOAP sobre la plataforma JAVA.</w:t>
      </w:r>
    </w:p>
    <w:p w14:paraId="7EC554F1" w14:textId="5EB04971" w:rsidR="000E0F5E" w:rsidRPr="00850009" w:rsidRDefault="009E01C9" w:rsidP="00850009">
      <w:pPr>
        <w:pStyle w:val="Prrafodelista"/>
        <w:numPr>
          <w:ilvl w:val="0"/>
          <w:numId w:val="24"/>
        </w:numPr>
      </w:pPr>
      <w:r>
        <w:t>Formato de datos: Tanto las peticiones enviadas por los clientes como las respuestas generadas por el servidor se estructuran en formato XML, de acuerdo con el contrato definido en el archivo WSDL.</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pPr>
        <w:pStyle w:val="Ttulo3"/>
      </w:pPr>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servidor central debe exponer sus servicios de conversión y autenticación estrictamente mediante el protocolo SOAP 1.1/1.2, utilizando archivos WSDL y esquemas XSD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backend del sistema debe ser desarrollado utilizando el lenguaje Java (JDK 17/21) e implementando la especificación Jakarta XML Web Services (JAX-WS)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código fuente del servidor de conversiones debe ser construido, gestionado y estructurado utilizando el Entorno de Desarrollo Integrado (IDE) NetBeans con soporte Maven.</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despliegue y la ejecución en red del proyecto backend debe realizarse sobre Payara Server / Tomcat o mediante servidor embebido JAX-WS.</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sistema debe restringir el acceso a los servicios de cálculo matemático. Solo procesará aquellas peticiones SOAP que incluyan un token de autenticación válido generado por el Login en memoria.</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t>Portabilidad. - Al tratarse de una arquitectura SOA utilizando SOAP en JAVA, el sistema garantiza que cualquier cliente pueda consumir los servicios mediante el intercambio de mensajes XML, independiente del lenguaje de programación del cliente.</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r>
        <w:t>Los cuatro clientes y el servidor central de conversiones se comunicarán a través de la red utilizando el protocolo HTTP/HTTPS, intercambiando información estructurada mediante el estándar de mensajería SOAP y respetando el contrato definido en el archivo WSDL.</w:t>
      </w:r>
    </w:p>
    <w:p w14:paraId="220CFAF8" w14:textId="4A6EDACE" w:rsidR="006018F0" w:rsidRPr="00850009" w:rsidRDefault="006018F0" w:rsidP="00F106AD">
      <w:pPr>
        <w:pStyle w:val="Ttulo3"/>
      </w:pPr>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2"/>
      </w:pPr>
      <w:r>
        <w:t>11. Recomendaciones</w:t>
      </w:r>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Es importante mantener un control de versionamiento en el archivo WSDL. Cualquier modificación en los parámetros del servidor requiere actualización en el código de los cuatro clientes para evitar fallos en la comunicación.</w:t>
      </w:r>
    </w:p>
    <w:p w14:paraId="36D42516" w14:textId="30CCED78" w:rsidR="00BE4BCE" w:rsidRPr="00850009" w:rsidRDefault="00BE4BCE" w:rsidP="006141C5">
      <w:pPr>
        <w:pStyle w:val="Ttulo2"/>
      </w:pPr>
      <w:r>
        <w:t>10. Conclusiones</w:t>
      </w:r>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2"/>
        <w:rPr>
          <w:rFonts w:cstheme="minorHAnsi"/>
        </w:rPr>
      </w:pPr>
      <w:r>
        <w:t>12. Bibliografía</w:t>
      </w:r>
    </w:p>
    <w:p>
      <w:r>
        <w:t>1. IEEE Computer Society. (1998). IEEE Recommended Practice for Software Requirements Specifications (IEEE Std 830-1998).</w:t>
      </w:r>
    </w:p>
    <w:p>
      <w:r>
        <w:t>2. World Wide Web Consortium (W3C). (2007). SOAP Version 1.2 Part 1: Messaging Framework (Second Edition). W3C Recommendation.</w:t>
      </w:r>
    </w:p>
    <w:p>
      <w:r>
        <w:t>3. Oracle Corporation. (2023). Java Platform, Standard Edition &amp; Java Web Services Documentation (JAX-WS).</w:t>
      </w:r>
    </w:p>
    <w:p>
      <w:r>
        <w:t>4. Universidad de las Fuerzas Armadas ESPE. (2026). Guía de Prácticas y Talleres - Arquitectura de Software. Sangolquí, Ecuador.</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Enrique Viche Castillo / Gabriel Omar Murillo Medina</dc:creator>
  <cp:keywords/>
  <dc:description/>
  <cp:lastModifiedBy>Julio Enrique Viche Castillo / Gabriel Omar Murillo Medina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