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.NET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SOAP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Visual Studio 2022 como IDE y sin uso de base de datos (SINBDD). La arquitectura es SOA (Service Oriented Architecture) usando Servicios Web SOAP con CoreWCF / .NET.</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protocolo SOAP en .NET,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Servidor Kestrel con middleware CoreWCF y la arquitectura es CoreWCF / .NET.</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Visual Studio 2022.</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el estándar SOAP sobre la plataforma .NET.</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XML, de acuerdo con el contrato definido en el archivo 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highlight w:val="yellow"/>
        </w:rPr>
      </w:pPr>
      <w:bookmarkStart w:id="65" w:name="_Toc83812961"/>
      <w:r w:rsidRPr="008B4168">
        <w:rPr>
          <w:highlight w:val="yellow"/>
        </w:rPr>
        <w:t xml:space="preserve">Tabla </w:t>
      </w:r>
      <w:r w:rsidRPr="008B4168">
        <w:rPr>
          <w:highlight w:val="yellow"/>
        </w:rPr>
        <w:fldChar w:fldCharType="begin"/>
      </w:r>
      <w:r w:rsidRPr="008B4168">
        <w:rPr>
          <w:highlight w:val="yellow"/>
        </w:rPr>
        <w:instrText xml:space="preserve"> SEQ Tabla \* ARABIC </w:instrText>
      </w:r>
      <w:r w:rsidRPr="008B4168">
        <w:rPr>
          <w:highlight w:val="yellow"/>
        </w:rPr>
        <w:fldChar w:fldCharType="separate"/>
      </w:r>
      <w:r w:rsidR="00B6784F" w:rsidRPr="008B4168">
        <w:rPr>
          <w:noProof/>
          <w:highlight w:val="yellow"/>
        </w:rPr>
        <w:t>18</w:t>
      </w:r>
      <w:r w:rsidRPr="008B4168">
        <w:rPr>
          <w:highlight w:val="yellow"/>
        </w:rPr>
        <w:fldChar w:fldCharType="end"/>
      </w:r>
      <w:r w:rsidRPr="008B4168">
        <w:rPr>
          <w:highlight w:val="yellow"/>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highlight w:val="yellow"/>
              </w:rPr>
            </w:pPr>
            <w:r w:rsidRPr="008B4168">
              <w:rPr>
                <w:highlight w:val="yellow"/>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highlight w:val="yellow"/>
              </w:rPr>
            </w:pPr>
            <w:r w:rsidRPr="008B4168">
              <w:rPr>
                <w:highlight w:val="yellow"/>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Autenticar</w:t>
            </w:r>
            <w:r w:rsidR="008E061F" w:rsidRPr="008B4168">
              <w:rPr>
                <w:highlight w:val="yellow"/>
              </w:rPr>
              <w:t xml:space="preserve"> Cliente</w:t>
            </w:r>
            <w:r w:rsidRPr="008B4168">
              <w:rPr>
                <w:highlight w:val="yellow"/>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highlight w:val="yellow"/>
              </w:rPr>
            </w:pPr>
            <w:r w:rsidRPr="008B4168">
              <w:rPr>
                <w:highlight w:val="yellow"/>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highlight w:val="yellow"/>
              </w:rPr>
            </w:pPr>
            <w:r w:rsidRPr="008B4168">
              <w:rPr>
                <w:highlight w:val="yellow"/>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highlight w:val="yellow"/>
              </w:rPr>
            </w:pPr>
            <w:r w:rsidRPr="008B4168">
              <w:rPr>
                <w:highlight w:val="yellow"/>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highlight w:val="yellow"/>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r w:rsidRPr="00906062">
              <w:rPr>
                <w:rFonts w:ascii="Verdana" w:hAnsi="Verdana" w:cstheme="minorHAnsi"/>
                <w:highlight w:val="yellow"/>
              </w:rPr>
              <w:t>metros, pies, centímetros, yardas y millas</w:t>
            </w:r>
          </w:p>
        </w:tc>
      </w:tr>
    </w:tbl>
    <w:p w14:paraId="3E876876" w14:textId="36E26D5B" w:rsidR="00420D9E" w:rsidRPr="00906062" w:rsidRDefault="00580C62" w:rsidP="00580C62">
      <w:pPr>
        <w:pStyle w:val="Descripcin"/>
        <w:rPr>
          <w:rFonts w:ascii="Verdana" w:hAnsi="Verdana" w:cstheme="minorHAnsi"/>
          <w:highlight w:val="yellow"/>
        </w:rPr>
      </w:pPr>
      <w:bookmarkStart w:id="69" w:name="_Toc83812964"/>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21</w:t>
      </w:r>
      <w:r w:rsidRPr="00906062">
        <w:rPr>
          <w:highlight w:val="yellow"/>
        </w:rPr>
        <w:fldChar w:fldCharType="end"/>
      </w:r>
      <w:r w:rsidRPr="00906062">
        <w:rPr>
          <w:highlight w:val="yellow"/>
        </w:rPr>
        <w:t>.</w:t>
      </w:r>
      <w:bookmarkEnd w:id="69"/>
      <w:r w:rsidR="008E061F" w:rsidRPr="00906062">
        <w:rPr>
          <w:highlight w:val="yellow"/>
        </w:rPr>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Verdana" w:hAnsi="Verdana" w:cstheme="minorHAnsi"/>
          <w:highlight w:val="yellow"/>
        </w:rPr>
      </w:pPr>
      <w:bookmarkStart w:id="70" w:name="_Toc83812965"/>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22</w:t>
      </w:r>
      <w:r w:rsidRPr="00906062">
        <w:rPr>
          <w:highlight w:val="yellow"/>
        </w:rPr>
        <w:fldChar w:fldCharType="end"/>
      </w:r>
      <w:r w:rsidRPr="00906062">
        <w:rPr>
          <w:highlight w:val="yellow"/>
        </w:rPr>
        <w:t xml:space="preserve">. </w:t>
      </w:r>
      <w:bookmarkEnd w:id="70"/>
      <w:r w:rsidR="008E061F" w:rsidRPr="00906062">
        <w:rPr>
          <w:highlight w:val="yellow"/>
        </w:rPr>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highlight w:val="yellow"/>
              </w:rPr>
            </w:pPr>
            <w:r w:rsidRPr="00906062">
              <w:rPr>
                <w:rFonts w:ascii="Verdana" w:hAnsi="Verdana" w:cstheme="minorHAnsi"/>
                <w:highlight w:val="yellow"/>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proofErr w:type="spellStart"/>
            <w:r w:rsidR="00567A69" w:rsidRPr="00906062">
              <w:rPr>
                <w:rFonts w:ascii="Verdana" w:hAnsi="Verdana" w:cstheme="minorHAnsi"/>
                <w:highlight w:val="yellow"/>
              </w:rPr>
              <w:t>farenheit</w:t>
            </w:r>
            <w:proofErr w:type="spellEnd"/>
            <w:r w:rsidR="00567A69" w:rsidRPr="00906062">
              <w:rPr>
                <w:rFonts w:ascii="Verdana" w:hAnsi="Verdana" w:cstheme="minorHAnsi"/>
                <w:highlight w:val="yellow"/>
              </w:rPr>
              <w:t xml:space="preserve">, kelvin, Celsius, newton y </w:t>
            </w:r>
            <w:proofErr w:type="spellStart"/>
            <w:r w:rsidR="00567A69" w:rsidRPr="00906062">
              <w:rPr>
                <w:rFonts w:ascii="Verdana" w:hAnsi="Verdana" w:cstheme="minorHAnsi"/>
                <w:highlight w:val="yellow"/>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highlight w:val="yellow"/>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mediante el protocolo SOAP 1.1/1.2 utilizando CoreWCF en .NET, exponiendo contratos formales WSDL y esquemas XSD.</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el lenguaje C# 12 sobre la plataforma .NET 8 o 9 LTS e implementando CoreWCF con interfaces de contrato ([ServiceContract], [OperationContract]).</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 conversiones debe ser construido y gestionado utilizando Microsoft Visual Studio 2022 o Visual Studio Code con el SDK oficial de .NET.</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en red del backend debe realizarse obligatoriamente sobre el servidor web Kestrel integrado en .NET.</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las operaciones SOAP. Solo procesará peticiones que incluyan un token de sesión válido en los encabezados SOAP o cuerpo del mensaje validado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SOAP en .NET, el sistema garantiza que cualquier cliente pueda consumir los servicios mediante el intercambio de mensajes XML,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de mensajería SOAP y respetando el contrato definido en el archivo 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el archivo WSDL. Cualquier modificación en los parámetros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(2007). SOAP Version 1.2 Part 1: Messaging Framework (Second Edition). W3C Recommendation.</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dc:description/>
  <cp:lastModifiedBy>Julio Enrique Viche Castillo / Gabriel Omar Murillo Medina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