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8.xml" ContentType="application/vnd.openxmlformats-officedocument.wordprocessingml.footer+xml"/>
  <Override PartName="/word/footer7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6.xml" ContentType="application/vnd.openxmlformats-officedocument.wordprocessingml.foot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both"/>
        <w:rPr>
          <w:rFonts w:ascii="Arial" w:hAnsi="Arial" w:eastAsia="" w:cs="Arial" w:eastAsiaTheme="majorEastAsia"/>
          <w:b/>
          <w:spacing w:val="-10"/>
          <w:kern w:val="2"/>
          <w:sz w:val="24"/>
          <w:szCs w:val="24"/>
          <w:lang w:val="es-ES_tradnl"/>
        </w:rPr>
      </w:pPr>
      <w:bookmarkStart w:id="0" w:name="_Toc74581875"/>
      <w:bookmarkStart w:id="1" w:name="_Hlk37848216"/>
      <w:bookmarkEnd w:id="1"/>
      <w:r>
        <mc:AlternateContent>
          <mc:Choice Requires="wpg">
            <w:drawing>
              <wp:anchor behindDoc="1" distT="0" distB="0" distL="635" distR="635" simplePos="0" locked="0" layoutInCell="0" allowOverlap="1" relativeHeight="2" wp14:anchorId="5D8D6F89">
                <wp:simplePos x="0" y="0"/>
                <wp:positionH relativeFrom="page">
                  <wp:posOffset>473075</wp:posOffset>
                </wp:positionH>
                <wp:positionV relativeFrom="page">
                  <wp:posOffset>544830</wp:posOffset>
                </wp:positionV>
                <wp:extent cx="2133600" cy="8869680"/>
                <wp:effectExtent l="635" t="0" r="635" b="0"/>
                <wp:wrapNone/>
                <wp:docPr id="1" name="Grupo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720" cy="8869680"/>
                          <a:chOff x="0" y="0"/>
                          <a:chExt cx="2133720" cy="8869680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0" y="0"/>
                            <a:ext cx="192240" cy="886968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Pentágono 2"/>
                        <wps:cNvSpPr/>
                        <wps:spPr>
                          <a:xfrm>
                            <a:off x="246240" y="1172880"/>
                            <a:ext cx="1483920" cy="534600"/>
                          </a:xfrm>
                          <a:prstGeom prst="homePlate">
                            <a:avLst>
                              <a:gd name="adj" fmla="val 50000"/>
                            </a:avLst>
                          </a:prstGeom>
                          <a:solidFill>
                            <a:srgbClr val="4f81b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Spacing"/>
                                <w:jc w:val="right"/>
                                <w:rPr>
                                  <w:color w:themeColor="background1" w:val="FFFFFF"/>
                                  <w:sz w:val="28"/>
                                  <w:szCs w:val="28"/>
                                </w:rPr>
                              </w:pPr>
                              <w:sdt>
                                <w:sdtP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alias w:val="Fecha"/>
                                  <w:id w:val="737676993"/>
                                  <w:showingPlcHdr/>
                                  <w:date>
                                    <w:dateFormat w:val="d-M-yyyy"/>
                                    <w:lid w:val="es-ES"/>
                                  </w:date>
                                </w:sdtPr>
                                <w:sdtContent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</w:r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sdtContent>
                              </w:sdt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76320" y="4092120"/>
                            <a:ext cx="2057400" cy="4772520"/>
                          </a:xfrm>
                        </wpg:grpSpPr>
                        <wpg:grpSp>
                          <wpg:cNvGrpSpPr/>
                          <wpg:grpSpPr>
                            <a:xfrm>
                              <a:off x="95040" y="0"/>
                              <a:ext cx="1650240" cy="4772520"/>
                            </a:xfrm>
                          </wpg:grpSpPr>
                          <wps:wsp>
                            <wps:cNvPr id="4" name="Forma libre 16"/>
                            <wps:cNvSpPr/>
                            <wps:spPr>
                              <a:xfrm>
                                <a:off x="360000" y="3067560"/>
                                <a:ext cx="303480" cy="1066320"/>
                              </a:xfrm>
                              <a:custGeom>
                                <a:avLst/>
                                <a:gdLst>
                                  <a:gd name="textAreaLeft" fmla="*/ 0 w 172080"/>
                                  <a:gd name="textAreaRight" fmla="*/ 173160 w 172080"/>
                                  <a:gd name="textAreaTop" fmla="*/ 0 h 604440"/>
                                  <a:gd name="textAreaBottom" fmla="*/ 605520 h 6044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" name="Forma libre 17"/>
                            <wps:cNvSpPr/>
                            <wps:spPr>
                              <a:xfrm>
                                <a:off x="680760" y="4121640"/>
                                <a:ext cx="289440" cy="650880"/>
                              </a:xfrm>
                              <a:custGeom>
                                <a:avLst/>
                                <a:gdLst>
                                  <a:gd name="textAreaLeft" fmla="*/ 0 w 164160"/>
                                  <a:gd name="textAreaRight" fmla="*/ 165240 w 164160"/>
                                  <a:gd name="textAreaTop" fmla="*/ 0 h 369000"/>
                                  <a:gd name="textAreaBottom" fmla="*/ 370080 h 369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" name="Forma libre 18"/>
                            <wps:cNvSpPr/>
                            <wps:spPr>
                              <a:xfrm>
                                <a:off x="0" y="0"/>
                                <a:ext cx="348120" cy="3088080"/>
                              </a:xfrm>
                              <a:custGeom>
                                <a:avLst/>
                                <a:gdLst>
                                  <a:gd name="textAreaLeft" fmla="*/ 0 w 197280"/>
                                  <a:gd name="textAreaRight" fmla="*/ 198360 w 197280"/>
                                  <a:gd name="textAreaTop" fmla="*/ 0 h 1750680"/>
                                  <a:gd name="textAreaBottom" fmla="*/ 1751760 h 1750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" name="Forma libre 19"/>
                            <wps:cNvSpPr/>
                            <wps:spPr>
                              <a:xfrm>
                                <a:off x="315000" y="995040"/>
                                <a:ext cx="111240" cy="2071440"/>
                              </a:xfrm>
                              <a:custGeom>
                                <a:avLst/>
                                <a:gdLst>
                                  <a:gd name="textAreaLeft" fmla="*/ 0 w 63000"/>
                                  <a:gd name="textAreaRight" fmla="*/ 64080 w 63000"/>
                                  <a:gd name="textAreaTop" fmla="*/ 0 h 1174320"/>
                                  <a:gd name="textAreaBottom" fmla="*/ 1175400 h 11743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" name="Forma libre 26"/>
                            <wps:cNvSpPr/>
                            <wps:spPr>
                              <a:xfrm>
                                <a:off x="349920" y="3089880"/>
                                <a:ext cx="383400" cy="1525320"/>
                              </a:xfrm>
                              <a:custGeom>
                                <a:avLst/>
                                <a:gdLst>
                                  <a:gd name="textAreaLeft" fmla="*/ 0 w 217440"/>
                                  <a:gd name="textAreaRight" fmla="*/ 218520 w 217440"/>
                                  <a:gd name="textAreaTop" fmla="*/ 0 h 864720"/>
                                  <a:gd name="textAreaBottom" fmla="*/ 865800 h 86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" name="Forma libre 27"/>
                            <wps:cNvSpPr/>
                            <wps:spPr>
                              <a:xfrm>
                                <a:off x="755640" y="4606920"/>
                                <a:ext cx="80640" cy="165600"/>
                              </a:xfrm>
                              <a:custGeom>
                                <a:avLst/>
                                <a:gdLst>
                                  <a:gd name="textAreaLeft" fmla="*/ 0 w 45720"/>
                                  <a:gd name="textAreaRight" fmla="*/ 46800 w 45720"/>
                                  <a:gd name="textAreaTop" fmla="*/ 0 h 93960"/>
                                  <a:gd name="textAreaBottom" fmla="*/ 95040 h 93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" name="Forma libre 28"/>
                            <wps:cNvSpPr/>
                            <wps:spPr>
                              <a:xfrm>
                                <a:off x="337320" y="2971080"/>
                                <a:ext cx="36360" cy="224280"/>
                              </a:xfrm>
                              <a:custGeom>
                                <a:avLst/>
                                <a:gdLst>
                                  <a:gd name="textAreaLeft" fmla="*/ 0 w 20520"/>
                                  <a:gd name="textAreaRight" fmla="*/ 21600 w 20520"/>
                                  <a:gd name="textAreaTop" fmla="*/ 0 h 127080"/>
                                  <a:gd name="textAreaBottom" fmla="*/ 128160 h 1270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" name="Forma libre 29"/>
                            <wps:cNvSpPr/>
                            <wps:spPr>
                              <a:xfrm>
                                <a:off x="665640" y="2261520"/>
                                <a:ext cx="984960" cy="1857240"/>
                              </a:xfrm>
                              <a:custGeom>
                                <a:avLst/>
                                <a:gdLst>
                                  <a:gd name="textAreaLeft" fmla="*/ 0 w 558360"/>
                                  <a:gd name="textAreaRight" fmla="*/ 559440 w 558360"/>
                                  <a:gd name="textAreaTop" fmla="*/ 0 h 1053000"/>
                                  <a:gd name="textAreaBottom" fmla="*/ 1054080 h 1053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" name="Forma libre 30"/>
                            <wps:cNvSpPr/>
                            <wps:spPr>
                              <a:xfrm>
                                <a:off x="665640" y="4136040"/>
                                <a:ext cx="88200" cy="469440"/>
                              </a:xfrm>
                              <a:custGeom>
                                <a:avLst/>
                                <a:gdLst>
                                  <a:gd name="textAreaLeft" fmla="*/ 0 w 50040"/>
                                  <a:gd name="textAreaRight" fmla="*/ 51120 w 50040"/>
                                  <a:gd name="textAreaTop" fmla="*/ 0 h 266040"/>
                                  <a:gd name="textAreaBottom" fmla="*/ 267120 h 266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3" name="Forma libre 31"/>
                            <wps:cNvSpPr/>
                            <wps:spPr>
                              <a:xfrm>
                                <a:off x="735480" y="4616280"/>
                                <a:ext cx="75600" cy="155520"/>
                              </a:xfrm>
                              <a:custGeom>
                                <a:avLst/>
                                <a:gdLst>
                                  <a:gd name="textAreaLeft" fmla="*/ 0 w 42840"/>
                                  <a:gd name="textAreaRight" fmla="*/ 43920 w 42840"/>
                                  <a:gd name="textAreaTop" fmla="*/ 0 h 88200"/>
                                  <a:gd name="textAreaBottom" fmla="*/ 89280 h 882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4" name="Forma libre 32"/>
                            <wps:cNvSpPr/>
                            <wps:spPr>
                              <a:xfrm>
                                <a:off x="665640" y="4079520"/>
                                <a:ext cx="15840" cy="100440"/>
                              </a:xfrm>
                              <a:custGeom>
                                <a:avLst/>
                                <a:gdLst>
                                  <a:gd name="textAreaLeft" fmla="*/ 0 w 9000"/>
                                  <a:gd name="textAreaRight" fmla="*/ 10080 w 9000"/>
                                  <a:gd name="textAreaTop" fmla="*/ 0 h 56880"/>
                                  <a:gd name="textAreaBottom" fmla="*/ 57960 h 568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5" name="Forma libre 33"/>
                            <wps:cNvSpPr/>
                            <wps:spPr>
                              <a:xfrm>
                                <a:off x="703080" y="4488120"/>
                                <a:ext cx="110520" cy="284400"/>
                              </a:xfrm>
                              <a:custGeom>
                                <a:avLst/>
                                <a:gdLst>
                                  <a:gd name="textAreaLeft" fmla="*/ 0 w 62640"/>
                                  <a:gd name="textAreaRight" fmla="*/ 63720 w 62640"/>
                                  <a:gd name="textAreaTop" fmla="*/ 0 h 161280"/>
                                  <a:gd name="textAreaBottom" fmla="*/ 162360 h 1612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  <wpg:grpSp>
                          <wpg:cNvGrpSpPr/>
                          <wpg:grpSpPr>
                            <a:xfrm>
                              <a:off x="0" y="942120"/>
                              <a:ext cx="2057400" cy="3830400"/>
                            </a:xfrm>
                          </wpg:grpSpPr>
                          <wps:wsp>
                            <wps:cNvPr id="16" name="Forma libre 35"/>
                            <wps:cNvSpPr/>
                            <wps:spPr>
                              <a:xfrm>
                                <a:off x="89280" y="1233360"/>
                                <a:ext cx="465480" cy="1629360"/>
                              </a:xfrm>
                              <a:custGeom>
                                <a:avLst/>
                                <a:gdLst>
                                  <a:gd name="textAreaLeft" fmla="*/ 0 w 263880"/>
                                  <a:gd name="textAreaRight" fmla="*/ 264960 w 263880"/>
                                  <a:gd name="textAreaTop" fmla="*/ 0 h 923760"/>
                                  <a:gd name="textAreaBottom" fmla="*/ 924840 h 923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7" name="Forma libre 36"/>
                            <wps:cNvSpPr/>
                            <wps:spPr>
                              <a:xfrm>
                                <a:off x="582840" y="2835360"/>
                                <a:ext cx="439920" cy="995040"/>
                              </a:xfrm>
                              <a:custGeom>
                                <a:avLst/>
                                <a:gdLst>
                                  <a:gd name="textAreaLeft" fmla="*/ 0 w 249480"/>
                                  <a:gd name="textAreaRight" fmla="*/ 250560 w 249480"/>
                                  <a:gd name="textAreaTop" fmla="*/ 0 h 564120"/>
                                  <a:gd name="textAreaBottom" fmla="*/ 565200 h 564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8" name="Forma libre 37"/>
                            <wps:cNvSpPr/>
                            <wps:spPr>
                              <a:xfrm>
                                <a:off x="0" y="822960"/>
                                <a:ext cx="73080" cy="437040"/>
                              </a:xfrm>
                              <a:custGeom>
                                <a:avLst/>
                                <a:gdLst>
                                  <a:gd name="textAreaLeft" fmla="*/ 0 w 41400"/>
                                  <a:gd name="textAreaRight" fmla="*/ 42480 w 4140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" name="Forma libre 38"/>
                            <wps:cNvSpPr/>
                            <wps:spPr>
                              <a:xfrm>
                                <a:off x="74880" y="1261800"/>
                                <a:ext cx="588600" cy="2329200"/>
                              </a:xfrm>
                              <a:custGeom>
                                <a:avLst/>
                                <a:gdLst>
                                  <a:gd name="textAreaLeft" fmla="*/ 0 w 333720"/>
                                  <a:gd name="textAreaRight" fmla="*/ 334800 w 333720"/>
                                  <a:gd name="textAreaTop" fmla="*/ 0 h 1320480"/>
                                  <a:gd name="textAreaBottom" fmla="*/ 1321560 h 13204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" name="Forma libre 39"/>
                            <wps:cNvSpPr/>
                            <wps:spPr>
                              <a:xfrm>
                                <a:off x="695160" y="3575160"/>
                                <a:ext cx="121320" cy="255240"/>
                              </a:xfrm>
                              <a:custGeom>
                                <a:avLst/>
                                <a:gdLst>
                                  <a:gd name="textAreaLeft" fmla="*/ 0 w 68760"/>
                                  <a:gd name="textAreaRight" fmla="*/ 69840 w 68760"/>
                                  <a:gd name="textAreaTop" fmla="*/ 0 h 144720"/>
                                  <a:gd name="textAreaBottom" fmla="*/ 145800 h 14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" name="Forma libre 40"/>
                            <wps:cNvSpPr/>
                            <wps:spPr>
                              <a:xfrm>
                                <a:off x="59400" y="1083960"/>
                                <a:ext cx="54000" cy="342360"/>
                              </a:xfrm>
                              <a:custGeom>
                                <a:avLst/>
                                <a:gdLst>
                                  <a:gd name="textAreaLeft" fmla="*/ 0 w 30600"/>
                                  <a:gd name="textAreaRight" fmla="*/ 31680 w 30600"/>
                                  <a:gd name="textAreaTop" fmla="*/ 0 h 194040"/>
                                  <a:gd name="textAreaBottom" fmla="*/ 195120 h 194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" name="Forma libre 41"/>
                            <wps:cNvSpPr/>
                            <wps:spPr>
                              <a:xfrm>
                                <a:off x="556920" y="0"/>
                                <a:ext cx="1500480" cy="2832840"/>
                              </a:xfrm>
                              <a:custGeom>
                                <a:avLst/>
                                <a:gdLst>
                                  <a:gd name="textAreaLeft" fmla="*/ 0 w 850680"/>
                                  <a:gd name="textAreaRight" fmla="*/ 851760 w 850680"/>
                                  <a:gd name="textAreaTop" fmla="*/ 0 h 1605960"/>
                                  <a:gd name="textAreaBottom" fmla="*/ 1607040 h 1605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" name="Forma libre 42"/>
                            <wps:cNvSpPr/>
                            <wps:spPr>
                              <a:xfrm>
                                <a:off x="556920" y="2863080"/>
                                <a:ext cx="136440" cy="708840"/>
                              </a:xfrm>
                              <a:custGeom>
                                <a:avLst/>
                                <a:gdLst>
                                  <a:gd name="textAreaLeft" fmla="*/ 0 w 77400"/>
                                  <a:gd name="textAreaRight" fmla="*/ 78480 w 77400"/>
                                  <a:gd name="textAreaTop" fmla="*/ 0 h 401760"/>
                                  <a:gd name="textAreaBottom" fmla="*/ 402840 h 401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" name="Forma libre 43"/>
                            <wps:cNvSpPr/>
                            <wps:spPr>
                              <a:xfrm>
                                <a:off x="665280" y="3592800"/>
                                <a:ext cx="113760" cy="237600"/>
                              </a:xfrm>
                              <a:custGeom>
                                <a:avLst/>
                                <a:gdLst>
                                  <a:gd name="textAreaLeft" fmla="*/ 0 w 64440"/>
                                  <a:gd name="textAreaRight" fmla="*/ 65520 w 64440"/>
                                  <a:gd name="textAreaTop" fmla="*/ 0 h 134640"/>
                                  <a:gd name="textAreaBottom" fmla="*/ 135720 h 1346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" name="Forma libre 44"/>
                            <wps:cNvSpPr/>
                            <wps:spPr>
                              <a:xfrm>
                                <a:off x="556920" y="2773800"/>
                                <a:ext cx="24120" cy="153720"/>
                              </a:xfrm>
                              <a:custGeom>
                                <a:avLst/>
                                <a:gdLst>
                                  <a:gd name="textAreaLeft" fmla="*/ 0 w 13680"/>
                                  <a:gd name="textAreaRight" fmla="*/ 14760 w 13680"/>
                                  <a:gd name="textAreaTop" fmla="*/ 0 h 87120"/>
                                  <a:gd name="textAreaBottom" fmla="*/ 88200 h 87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" name="Forma libre 45"/>
                            <wps:cNvSpPr/>
                            <wps:spPr>
                              <a:xfrm>
                                <a:off x="612720" y="3393360"/>
                                <a:ext cx="169560" cy="437040"/>
                              </a:xfrm>
                              <a:custGeom>
                                <a:avLst/>
                                <a:gdLst>
                                  <a:gd name="textAreaLeft" fmla="*/ 0 w 96120"/>
                                  <a:gd name="textAreaRight" fmla="*/ 97200 w 9612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upo 2" style="position:absolute;margin-left:37.25pt;margin-top:42.9pt;width:168pt;height:698.4pt" coordorigin="745,858" coordsize="3360,13968">
                <v:rect id="shape_0" ID="Rectángulo 2" path="m0,0l-2147483645,0l-2147483645,-2147483646l0,-2147483646xe" fillcolor="#44546a" stroked="f" o:allowincell="f" style="position:absolute;left:745;top:858;width:302;height:13967;mso-wrap-style:none;v-text-anchor:middle;mso-position-horizontal-relative:page;mso-position-vertical-relative:page">
                  <v:fill o:detectmouseclick="t" type="solid" color2="#bbab95"/>
                  <v:stroke color="#3465a4" weight="12600" joinstyle="miter" endcap="flat"/>
                  <w10:wrap type="none"/>
                </v:rect>
                <v:shapetype id="_x0000_t15" coordsize="21600,21600" o:spt="15" adj="10800" path="m,l@2,l21600,10800l@2,21600l,21600xe">
                  <v:stroke joinstyle="miter"/>
                  <v:formulas>
                    <v:f eqn="val 21600"/>
                    <v:f eqn="val #0"/>
                    <v:f eqn="sum width 0 @1"/>
                    <v:f eqn="sum @2 width 0"/>
                    <v:f eqn="prod 1 @3 2"/>
                    <v:f eqn="prod @2 1 2"/>
                  </v:formulas>
                  <v:path gradientshapeok="t" o:connecttype="rect" textboxrect="0,0,@4,21600"/>
                  <v:handles>
                    <v:h position="@2,0"/>
                  </v:handles>
                </v:shapetype>
                <v:shape id="shape_0" ID="Pentágono 2" path="m0,0l-2147483639,0l-2147483633,-2147483635l-2147483639,-2147483634l0,-2147483634xe" fillcolor="#4f81bd" stroked="f" o:allowincell="f" style="position:absolute;left:1133;top:2705;width:2336;height:841;mso-wrap-style:square;v-text-anchor:middle;mso-position-horizontal-relative:page;mso-position-vertical-relative:page" type="_x0000_t15">
                  <v:fill o:detectmouseclick="t" type="solid" color2="#b07e42"/>
                  <v:stroke color="#3465a4" weight="12600" joinstyle="miter" endcap="flat"/>
                  <v:textbox>
                    <w:txbxContent>
                      <w:p>
                        <w:pPr>
                          <w:pStyle w:val="NoSpacing"/>
                          <w:jc w:val="right"/>
                          <w:rPr>
                            <w:color w:themeColor="background1" w:val="FFFFFF"/>
                            <w:sz w:val="28"/>
                            <w:szCs w:val="28"/>
                          </w:rPr>
                        </w:pPr>
                        <w:sdt>
                          <w:sdtPr>
                            <w:dataBinding w:prefixMappings="xmlns:ns0='http://schemas.microsoft.com/office/2006/coverPageProps' " w:xpath="/ns0:CoverPageProperties[1]/ns0:PublishDate[1]" w:storeItemID="{55AF091B-3C7A-41E3-B477-F2FDAA23CFDA}"/>
                            <w:alias w:val="Fecha"/>
                            <w:id w:val="737676993"/>
                            <w:showingPlcHdr/>
                            <w:date>
                              <w:dateFormat w:val="d-M-yyyy"/>
                              <w:lid w:val="es-ES"/>
                            </w:date>
                          </w:sdtPr>
                          <w:sdtContent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sdtContent>
                        </w:sdt>
                      </w:p>
                    </w:txbxContent>
                  </v:textbox>
                  <w10:wrap type="none"/>
                </v:shape>
                <v:group id="shape_0" style="position:absolute;left:865;top:7302;width:3240;height:7516">
                  <v:group id="shape_0" style="position:absolute;left:1015;top:7302;width:2599;height:7516"/>
                  <v:group id="shape_0" style="position:absolute;left:865;top:8786;width:3240;height:6032"/>
                </v:group>
              </v:group>
            </w:pict>
          </mc:Fallback>
        </mc:AlternateContent>
      </w:r>
      <w:r>
        <w:rPr>
          <w:rFonts w:eastAsia="" w:cs="Arial" w:ascii="Arial" w:hAnsi="Arial" w:eastAsiaTheme="majorEastAsia"/>
          <w:b/>
          <w:spacing w:val="-10"/>
          <w:kern w:val="2"/>
          <w:sz w:val="24"/>
          <w:szCs w:val="24"/>
          <w:lang w:val="es-ES_tradnl"/>
        </w:rPr>
        <w:tab/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1701" w:right="1701" w:gutter="0" w:header="0" w:top="1418" w:footer="709" w:bottom="1418"/>
          <w:pgNumType w:start="0" w:fmt="decimal"/>
          <w:formProt w:val="false"/>
          <w:titlePg/>
          <w:textDirection w:val="lrTb"/>
          <w:docGrid w:type="default" w:linePitch="360" w:charSpace="4096"/>
        </w:sectPr>
        <w:pStyle w:val="NoSpacing"/>
        <w:jc w:val="both"/>
        <w:rPr>
          <w:rFonts w:ascii="Arial" w:hAnsi="Arial" w:cs="Arial"/>
          <w:sz w:val="24"/>
          <w:szCs w:val="24"/>
          <w:lang w:val="es-ES_tradnl"/>
        </w:rPr>
      </w:pPr>
      <w:r>
        <w:rPr>
          <w:rFonts w:cs="Arial" w:ascii="Arial" w:hAnsi="Arial"/>
          <w:sz w:val="24"/>
          <w:szCs w:val="24"/>
          <w:lang w:val="es-ES_tradnl"/>
        </w:rPr>
        <mc:AlternateContent>
          <mc:Choice Requires="wps">
            <w:drawing>
              <wp:anchor behindDoc="0" distT="0" distB="0" distL="0" distR="0" simplePos="0" locked="0" layoutInCell="0" allowOverlap="1" relativeHeight="4" wp14:anchorId="62ACB4DA">
                <wp:simplePos x="0" y="0"/>
                <wp:positionH relativeFrom="margin">
                  <wp:posOffset>167640</wp:posOffset>
                </wp:positionH>
                <wp:positionV relativeFrom="paragraph">
                  <wp:posOffset>2223770</wp:posOffset>
                </wp:positionV>
                <wp:extent cx="5286375" cy="6477635"/>
                <wp:effectExtent l="0" t="0" r="0" b="0"/>
                <wp:wrapNone/>
                <wp:docPr id="27" name="Rectángulo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240" cy="6477480"/>
                        </a:xfrm>
                        <a:prstGeom prst="rect">
                          <a:avLst/>
                        </a:prstGeom>
                        <a:noFill/>
                        <a:ln w="254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  <w:t>ESPECIFICACIÓN DE CASOS DE USO DETALLADO SISTEMA DE CONVERSIÓN DE UNIDADES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VICHE CASTILLO JULIO ENRIQUE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MURILLO MEDINA GABRIEL OMAR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NRC: 36884 | GRUPO: GR09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Ing. Eduardo Mauricio Campaña Ortega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MIS.MDU.CCNA.CCIA.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PhD. (c) Ingeniería de Software PhD. (c) Seguridad Información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ángulo 54" path="m0,0l-2147483645,0l-2147483645,-2147483646l0,-2147483646xe" stroked="f" o:allowincell="f" style="position:absolute;margin-left:13.2pt;margin-top:175.1pt;width:416.2pt;height:510pt;mso-wrap-style:square;v-text-anchor:middle;mso-position-horizontal-relative:margin" wp14:anchorId="62ACB4DA">
                <v:fill o:detectmouseclick="t" on="false"/>
                <v:stroke color="#3465a4" weight="25560" joinstyle="round" endcap="flat"/>
                <v:textbox>
                  <w:txbxContent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  <w:t>ESPECIFICACIÓN DE CASOS DE USO DETALLADO SISTEMA DE CONVERSIÓN DE UNIDADES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VICHE CASTILLO JULIO ENRIQUE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MURILLO MEDINA GABRIEL OMAR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NRC: 36884 | GRUPO: GR09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Ing. Eduardo Mauricio Campaña Ortega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MIS.MDU.CCNA.CCIA.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PhD. (c) Ingeniería de Software PhD. (c) Seguridad Información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28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itle"/>
        <w:rPr/>
      </w:pPr>
      <w:r>
        <w:rPr/>
        <w:t>ESPECIFICACIÓN DE CASOS DE USO DETALLADA SISTEMA DE CONVERSIÓN DE UNIDADES.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3736_2838085158">
            <w:r>
              <w:rPr>
                <w:rStyle w:val="IndexLink"/>
              </w:rPr>
              <w:t>ESPECIFICACIÓN DE CASOS DE USO DETALLADO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38_2838085158">
            <w:r>
              <w:rPr>
                <w:rStyle w:val="IndexLink"/>
              </w:rPr>
              <w:t>ESPECIFICACIÓN DE CASOS DE USO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0_2838085158">
            <w:r>
              <w:rPr>
                <w:rStyle w:val="IndexLink"/>
              </w:rPr>
              <w:t>ECUD_REALIZAR_LOGIN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2_2838085158">
            <w:r>
              <w:rPr>
                <w:rStyle w:val="IndexLink"/>
              </w:rPr>
              <w:t>ECUD_CONVERTIR_LONGITUD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4_2838085158">
            <w:r>
              <w:rPr>
                <w:rStyle w:val="IndexLink"/>
              </w:rPr>
              <w:t>ECUD_CONVERTIR_MASA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6_2838085158">
            <w:r>
              <w:rPr>
                <w:rStyle w:val="IndexLink"/>
              </w:rPr>
              <w:t>ECUD_CONVERTIR_TEMPERATURA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40" w:before="80" w:after="100"/>
        <w:jc w:val="left"/>
        <w:rPr>
          <w:rFonts w:ascii="Arial" w:hAnsi="Arial"/>
          <w:lang w:val="es-ES"/>
        </w:rPr>
      </w:pPr>
      <w:r>
        <w:rPr>
          <w:lang w:val="es-ES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itle"/>
        <w:rPr/>
      </w:pPr>
      <w:r>
        <w:rPr/>
        <w:t xml:space="preserve">ÍNDICE DE ILUSTRACIONES  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rPr/>
      </w:pPr>
      <w:r>
        <w:rPr/>
        <w:t>ÍNDICE DE TABLAS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9"/>
          <w:footerReference w:type="default" r:id="rId10"/>
          <w:footerReference w:type="first" r:id="rId11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Heading1"/>
        <w:rPr>
          <w:rFonts w:eastAsia="Carlito"/>
          <w:b w:val="false"/>
        </w:rPr>
      </w:pPr>
      <w:bookmarkStart w:id="2" w:name="__RefHeading___Toc3736_2838085158"/>
      <w:bookmarkStart w:id="3" w:name="_Toc214408327"/>
      <w:bookmarkStart w:id="4" w:name="_Toc22756732"/>
      <w:bookmarkStart w:id="5" w:name="_Toc23846435"/>
      <w:bookmarkEnd w:id="2"/>
      <w:r>
        <w:rPr/>
        <w:t>ESPECIFICACIÓN DE CASOS DE USO</w:t>
      </w:r>
      <w:bookmarkEnd w:id="4"/>
      <w:bookmarkEnd w:id="5"/>
      <w:r>
        <w:rPr/>
        <w:t xml:space="preserve"> DETALLADO</w:t>
      </w:r>
      <w:bookmarkEnd w:id="0"/>
      <w:bookmarkEnd w:id="3"/>
    </w:p>
    <w:p>
      <w:pPr>
        <w:pStyle w:val="Normal"/>
        <w:jc w:val="both"/>
        <w:rPr/>
      </w:pPr>
      <w:r>
        <w:rPr/>
        <w:t xml:space="preserve">A continuación, se muestra la Especificación de Casos de uso Detallado (ECUD) para el </w:t>
      </w:r>
      <w:bookmarkStart w:id="6" w:name="_Hlk82707468"/>
      <w:r>
        <w:rPr/>
        <w:t xml:space="preserve">Sistema de </w:t>
      </w:r>
      <w:bookmarkEnd w:id="6"/>
      <w:r>
        <w:rPr/>
        <w:t xml:space="preserve">Conversión de Unidades. </w:t>
        <w:tab/>
      </w:r>
    </w:p>
    <w:p>
      <w:pPr>
        <w:pStyle w:val="Heading2"/>
        <w:rPr>
          <w:rFonts w:eastAsia="Carlito"/>
          <w:i/>
          <w:i/>
          <w:lang w:eastAsia="en-US"/>
        </w:rPr>
      </w:pPr>
      <w:bookmarkStart w:id="7" w:name="__RefHeading___Toc3738_2838085158"/>
      <w:bookmarkStart w:id="8" w:name="_Toc214408328"/>
      <w:bookmarkEnd w:id="7"/>
      <w:r>
        <w:rPr>
          <w:rFonts w:eastAsia="Carlito"/>
        </w:rPr>
        <w:t>ESPECIFICACIÓN</w:t>
      </w:r>
      <w:r>
        <w:rPr>
          <w:rFonts w:eastAsia="Carlito"/>
          <w:lang w:eastAsia="en-US"/>
        </w:rPr>
        <w:t xml:space="preserve"> DE CASOS DE USO</w:t>
      </w:r>
      <w:bookmarkEnd w:id="8"/>
    </w:p>
    <w:p>
      <w:pPr>
        <w:pStyle w:val="Heading2"/>
        <w:rPr/>
      </w:pPr>
      <w:bookmarkStart w:id="9" w:name="__RefHeading___Toc3740_2838085158"/>
      <w:bookmarkStart w:id="10" w:name="_Toc214408329"/>
      <w:bookmarkStart w:id="11" w:name="_Toc74581876"/>
      <w:bookmarkEnd w:id="9"/>
      <w:r>
        <w:rPr>
          <w:rFonts w:eastAsia="Carlito"/>
          <w:lang w:eastAsia="en-US"/>
        </w:rPr>
        <w:t>ECUD_REALIZAR_LOGIN</w:t>
      </w:r>
      <w:bookmarkEnd w:id="11"/>
    </w:p>
    <w:p>
      <w:pPr>
        <w:pStyle w:val="BodyText"/>
        <w:rPr/>
      </w:pPr>
      <w:bookmarkStart w:id="12" w:name="_Toc214408329"/>
      <w:r>
        <w:rPr/>
        <w:br/>
        <w:t>A continuación, se muestra ECUD_REALIZAR_</w:t>
      </w:r>
      <w:bookmarkEnd w:id="12"/>
      <w:r>
        <w:rPr/>
        <w:t>LOGIN</w:t>
      </w:r>
    </w:p>
    <w:p>
      <w:pPr>
        <w:pStyle w:val="Caption"/>
        <w:keepNext w:val="true"/>
        <w:rPr/>
      </w:pPr>
      <w:bookmarkStart w:id="13" w:name="_Toc61543997"/>
      <w:bookmarkStart w:id="14" w:name="_Toc73914195"/>
      <w:bookmarkStart w:id="15" w:name="_Toc74775703"/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. ECUD </w:t>
      </w:r>
      <w:bookmarkEnd w:id="13"/>
      <w:bookmarkEnd w:id="14"/>
      <w:bookmarkEnd w:id="15"/>
      <w:r>
        <w:rPr/>
        <w:t>Realizar Login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547"/>
        <w:gridCol w:w="1635"/>
        <w:gridCol w:w="609"/>
        <w:gridCol w:w="2288"/>
        <w:gridCol w:w="1946"/>
      </w:tblGrid>
      <w:tr>
        <w:trPr>
          <w:trHeight w:val="25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19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sistema valida las credenciales estáticas para permitir el acceso </w:t>
            </w:r>
            <w:r>
              <w:rPr/>
              <w:t>seguro a los operaciones del servicio web SOAP.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b w:val="false"/>
                <w:bCs w:val="false"/>
                <w:i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 xml:space="preserve">Validar de forma segura la identidad del cliente en la red local para autorizar y proteger el consumo de los 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operaciones del servicio web SOAP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.</w:t>
            </w:r>
          </w:p>
        </w:tc>
      </w:tr>
      <w:tr>
        <w:trPr>
          <w:trHeight w:val="34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Versión: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4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29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</w:tr>
      <w:tr>
        <w:trPr>
          <w:trHeight w:val="39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servidor Payara 7 debe estar activo y el cliente debe tener conexión a la red local.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El usuario queda autorizado para realizar cálculos de magnitudes.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drawing>
                <wp:anchor behindDoc="0" distT="0" distB="0" distL="0" distR="0" simplePos="0" locked="0" layoutInCell="0" allowOverlap="1" relativeHeight="7">
                  <wp:simplePos x="0" y="0"/>
                  <wp:positionH relativeFrom="column">
                    <wp:posOffset>88265</wp:posOffset>
                  </wp:positionH>
                  <wp:positionV relativeFrom="paragraph">
                    <wp:posOffset>85725</wp:posOffset>
                  </wp:positionV>
                  <wp:extent cx="3305175" cy="2466340"/>
                  <wp:effectExtent l="0" t="0" r="0" b="0"/>
                  <wp:wrapSquare wrapText="largest"/>
                  <wp:docPr id="29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5175" cy="2466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Start w:id="16" w:name="_Toc82708267"/>
            <w:bookmarkStart w:id="17" w:name="_Toc82708267"/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bookmarkStart w:id="18" w:name="_Toc214408083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1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cstheme="minorHAnsi"/>
                <w:bCs/>
                <w:color w:themeColor="accent1" w:val="4472C4"/>
                <w:kern w:val="0"/>
                <w:sz w:val="20"/>
                <w:szCs w:val="20"/>
                <w:lang w:bidi="ar-SA"/>
              </w:rPr>
              <w:t xml:space="preserve">. </w:t>
            </w:r>
            <w:r>
              <w:rPr>
                <w:kern w:val="0"/>
                <w:lang w:bidi="ar-SA"/>
              </w:rPr>
              <w:t>Caso de Uso de</w:t>
            </w:r>
            <w:bookmarkEnd w:id="17"/>
            <w:bookmarkEnd w:id="18"/>
            <w:r>
              <w:rPr>
                <w:kern w:val="0"/>
                <w:lang w:bidi="ar-SA"/>
              </w:rPr>
              <w:t xml:space="preserve"> realizar login</w:t>
            </w:r>
          </w:p>
        </w:tc>
      </w:tr>
      <w:tr>
        <w:trPr>
          <w:trHeight w:val="8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24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3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715" w:hRule="atLeast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 El usuario ingresa el nombre de usuario "MONSTER" y la contraseña "MONSTER9".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sistema recibe la petición y valida los datos con los valores estáticos definidos en memoria.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usuario solicita el inicio de sesión.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suppressAutoHyphens w:val="true"/>
              <w:spacing w:before="80" w:after="10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sistema confirma la identidad y habilita el acceso a los métodos de conversión de magnitudes.</w:t>
            </w:r>
          </w:p>
        </w:tc>
      </w:tr>
      <w:tr>
        <w:trPr>
          <w:trHeight w:val="7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85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2"/>
              </w:numPr>
              <w:spacing w:lineRule="auto" w:line="240"/>
              <w:rPr/>
            </w:pPr>
            <w:r>
              <w:rPr/>
              <w:t xml:space="preserve">En el caso de que el </w:t>
            </w:r>
            <w:r>
              <w:rPr>
                <w:b w:val="false"/>
                <w:bCs w:val="false"/>
              </w:rPr>
              <w:t xml:space="preserve">servidor Payara </w:t>
            </w:r>
            <w:r>
              <w:rPr/>
              <w:t>no esté operativo, el sistema deberá notificar que el servicio no está disponible.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El sistema interrumpe la conexión y solicita verificar el estado del servidor en la red local.</w:t>
            </w:r>
          </w:p>
        </w:tc>
      </w:tr>
      <w:tr>
        <w:trPr>
          <w:trHeight w:val="5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</w:tr>
      <w:tr>
        <w:trPr>
          <w:trHeight w:val="102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Heading2"/>
        <w:rPr/>
      </w:pPr>
      <w:bookmarkStart w:id="19" w:name="__RefHeading___Toc3742_2838085158"/>
      <w:bookmarkStart w:id="20" w:name="_Toc214408330"/>
      <w:bookmarkStart w:id="21" w:name="_Toc74581877"/>
      <w:bookmarkEnd w:id="19"/>
      <w:r>
        <w:rPr>
          <w:rFonts w:eastAsia="Carlito"/>
          <w:lang w:eastAsia="en-US"/>
        </w:rPr>
        <w:t>ECUD_</w:t>
      </w:r>
      <w:bookmarkEnd w:id="21"/>
      <w:r>
        <w:rPr>
          <w:rFonts w:eastAsia="Carlito"/>
          <w:lang w:eastAsia="en-US"/>
        </w:rPr>
        <w:t>CONVERTIR_LONGITUD</w:t>
      </w:r>
      <w:bookmarkEnd w:id="20"/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ECUD_CONVERTIR_LONGITUD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. ECUD Convertir Longitud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857"/>
        <w:gridCol w:w="1849"/>
        <w:gridCol w:w="594"/>
        <w:gridCol w:w="2219"/>
        <w:gridCol w:w="1494"/>
        <w:gridCol w:w="13"/>
      </w:tblGrid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ECUD2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El sistema procesa la transformación de un valor numérico entre cinco unidades de longitud distintas.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Proporcionar un cálculo atómico y exacto entre diversas unidades de distancia, asegurando la estandarización de los datos.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53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48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Autenticación exitosa (CU-01)</w:t>
            </w:r>
          </w:p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Servidor Payara en estado operativo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spacing w:lineRule="auto" w:line="240"/>
              <w:rPr/>
            </w:pPr>
            <w:r>
              <w:rPr/>
              <w:t>Visualización del resultado convertido en la interfaz del cliente (Móvil, Web, Escritorio o Consola)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  <w:drawing>
                <wp:anchor behindDoc="0" distT="0" distB="0" distL="0" distR="0" simplePos="0" locked="0" layoutInCell="0" allowOverlap="1" relativeHeight="8">
                  <wp:simplePos x="0" y="0"/>
                  <wp:positionH relativeFrom="column">
                    <wp:posOffset>137160</wp:posOffset>
                  </wp:positionH>
                  <wp:positionV relativeFrom="paragraph">
                    <wp:posOffset>180975</wp:posOffset>
                  </wp:positionV>
                  <wp:extent cx="3505200" cy="2649220"/>
                  <wp:effectExtent l="0" t="0" r="0" b="0"/>
                  <wp:wrapSquare wrapText="largest"/>
                  <wp:docPr id="30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5200" cy="2649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/>
                <w:iCs/>
                <w:color w:val="B2B2B2"/>
                <w:kern w:val="0"/>
                <w:sz w:val="18"/>
                <w:szCs w:val="18"/>
                <w:lang w:bidi="ar-SA"/>
              </w:rPr>
            </w:pPr>
            <w:bookmarkStart w:id="22" w:name="_Toc214408083_Copy_2"/>
            <w:bookmarkStart w:id="23" w:name="_Toc214408083_Copy_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fldChar w:fldCharType="begin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2</w: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cs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. </w:t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Caso de Uso de</w:t>
            </w:r>
            <w:bookmarkEnd w:id="2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 </w:t>
            </w:r>
            <w:bookmarkEnd w:id="22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convertir longitud</w:t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</w:tc>
      </w:tr>
      <w:tr>
        <w:trPr>
          <w:trHeight w:val="37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3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659" w:hRule="atLeast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El usuario selecciona la magnitud "Longitud" y las unidades (Metros, Kilómetros, Pulgadas, Pies o Centímetros).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prepara el motor de cálculo matemático para la magnitud seleccionada.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54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servicio web SOAP</w:t>
            </w:r>
            <w:r>
              <w:rPr/>
              <w:t>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la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latencia de red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exceda los 2 segundos, el sistema deberá informar que la petición no pudo procesarse el sistema libera el hilo de ejecución y espera una nueva petición del cliente.</w:t>
            </w:r>
          </w:p>
        </w:tc>
      </w:tr>
      <w:tr>
        <w:trPr>
          <w:trHeight w:val="253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5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Heading2"/>
        <w:rPr/>
      </w:pPr>
      <w:bookmarkStart w:id="24" w:name="__RefHeading___Toc3744_2838085158"/>
      <w:bookmarkStart w:id="25" w:name="_Toc74581878"/>
      <w:bookmarkStart w:id="26" w:name="_Toc214408331"/>
      <w:bookmarkEnd w:id="24"/>
      <w:r>
        <w:rPr>
          <w:rFonts w:eastAsia="Carlito"/>
          <w:lang w:eastAsia="en-US"/>
        </w:rPr>
        <w:t>ECUD_</w:t>
      </w:r>
      <w:bookmarkEnd w:id="25"/>
      <w:bookmarkEnd w:id="26"/>
      <w:r>
        <w:rPr>
          <w:rFonts w:eastAsia="Carlito"/>
          <w:lang w:eastAsia="en-US"/>
        </w:rPr>
        <w:t>CONVERTIR_MASA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ECUD_CONVERTIR_MASA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. ECUD Convertir Masa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788"/>
        <w:gridCol w:w="1016"/>
        <w:gridCol w:w="22"/>
        <w:gridCol w:w="853"/>
        <w:gridCol w:w="2289"/>
        <w:gridCol w:w="2057"/>
      </w:tblGrid>
      <w:tr>
        <w:trPr>
          <w:trHeight w:val="22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MASA</w:t>
            </w:r>
          </w:p>
        </w:tc>
      </w:tr>
      <w:tr>
        <w:trPr>
          <w:trHeight w:val="215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ECUD3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Procesar y validar cálculos de equivalencias entre unidades de masa: Kilogramos, Gramos, Libras, Onzas y Toneladas.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Permitir la transformación precisa entre unidades de peso a través del consumo interoperable de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los operaciones del servicio web SOAP.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Autenticación exitosa (CU-01).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Servidor Payara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drawing>
                <wp:anchor behindDoc="0" distT="0" distB="0" distL="0" distR="0" simplePos="0" locked="0" layoutInCell="0" allowOverlap="1" relativeHeight="9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161925</wp:posOffset>
                  </wp:positionV>
                  <wp:extent cx="3053080" cy="2419985"/>
                  <wp:effectExtent l="0" t="0" r="0" b="0"/>
                  <wp:wrapSquare wrapText="largest"/>
                  <wp:docPr id="31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3080" cy="2419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bookmarkStart w:id="27" w:name="_Toc82708269"/>
            <w:bookmarkStart w:id="28" w:name="_Toc214408085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3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themeColor="accent1" w:val="4472C4"/>
                <w:kern w:val="0"/>
                <w:sz w:val="20"/>
                <w:szCs w:val="20"/>
                <w:lang w:val="es-ES" w:eastAsia="en-US" w:bidi="ar-SA"/>
              </w:rPr>
              <w:t xml:space="preserve">. </w:t>
            </w:r>
            <w:r>
              <w:rPr>
                <w:kern w:val="0"/>
                <w:lang w:bidi="ar-SA"/>
              </w:rPr>
              <w:t xml:space="preserve">Caso de Uso </w:t>
            </w:r>
            <w:bookmarkEnd w:id="27"/>
            <w:bookmarkEnd w:id="28"/>
            <w:r>
              <w:rPr>
                <w:kern w:val="0"/>
                <w:lang w:bidi="ar-SA"/>
              </w:rPr>
              <w:t>de Convertir Masa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BodyText"/>
              <w:keepNext w:val="false"/>
              <w:keepLines w:val="false"/>
              <w:widowControl w:val="false"/>
              <w:numPr>
                <w:ilvl w:val="0"/>
                <w:numId w:val="6"/>
              </w:numPr>
              <w:shd w:val="clear" w:fill="auto"/>
              <w:suppressAutoHyphens w:val="true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bookmarkStart w:id="29" w:name="p-rc_28086dd97b99f92a-228"/>
            <w:bookmarkEnd w:id="29"/>
            <w:r>
              <w:rPr>
                <w:b w:val="false"/>
                <w:bCs w:val="false"/>
              </w:rPr>
              <w:t>El usuario selecciona la magnitud "Masa" y define las unidades de entrada y salida.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carga las constantes de conversión para masa (Kg, g, lb, oz, t).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6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servicio web SOAP</w:t>
            </w:r>
            <w:r>
              <w:rPr/>
              <w:t>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b w:val="false"/>
                <w:bCs w:val="false"/>
              </w:rPr>
              <w:t xml:space="preserve">1. 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el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servidor Payara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no esté operativo, el sistema deberá notificar que el servicio no está disponible.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3. El sistema interrumpe la conexión y solicita verificar el estado del servidor en la red local.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Visualización del resultado convertido en la interfaz del cliente (Móvil, Web, Escritorio o Consola)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righ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rPr>
          <w:lang w:val="es-EC" w:eastAsia="es-EC"/>
        </w:rPr>
      </w:pPr>
      <w:r>
        <w:rPr>
          <w:lang w:val="es-EC" w:eastAsia="es-EC"/>
        </w:rPr>
      </w:r>
    </w:p>
    <w:p>
      <w:pPr>
        <w:pStyle w:val="Heading2"/>
        <w:rPr/>
      </w:pPr>
      <w:bookmarkStart w:id="30" w:name="__RefHeading___Toc3746_2838085158"/>
      <w:bookmarkStart w:id="31" w:name="_Toc74581879"/>
      <w:bookmarkStart w:id="32" w:name="_Toc214408332"/>
      <w:bookmarkEnd w:id="30"/>
      <w:r>
        <w:rPr>
          <w:rFonts w:eastAsia="Carlito"/>
          <w:lang w:eastAsia="en-US"/>
        </w:rPr>
        <w:t>ECUD_CONVERTIR_</w:t>
      </w:r>
      <w:bookmarkEnd w:id="31"/>
      <w:bookmarkEnd w:id="32"/>
      <w:r>
        <w:rPr>
          <w:rFonts w:eastAsia="Carlito"/>
          <w:lang w:eastAsia="en-US"/>
        </w:rPr>
        <w:t>TEMPERATURA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ECUD_CONVERTIR_TEMPERATURA</w:t>
      </w:r>
    </w:p>
    <w:p>
      <w:pPr>
        <w:pStyle w:val="Caption"/>
        <w:keepNext w:val="true"/>
        <w:rPr/>
      </w:pPr>
      <w:bookmarkStart w:id="33" w:name="_Toc61544001"/>
      <w:bookmarkStart w:id="34" w:name="_Toc73914197"/>
      <w:bookmarkStart w:id="35" w:name="_Toc74775705"/>
      <w:r>
        <w:rPr/>
        <w:t>Tabla 4. ECUD</w:t>
      </w:r>
      <w:bookmarkEnd w:id="33"/>
      <w:bookmarkEnd w:id="34"/>
      <w:bookmarkEnd w:id="35"/>
      <w:r>
        <w:rPr/>
        <w:t xml:space="preserve"> Convertir Temperatura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121"/>
        <w:gridCol w:w="883"/>
        <w:gridCol w:w="1675"/>
        <w:gridCol w:w="2270"/>
        <w:gridCol w:w="2076"/>
      </w:tblGrid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TEMPERATURA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ECUD4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Ejecutar fórmulas matemáticas para convertir temperaturas entre escalas Celsius, Fahrenheit, Kelvin, Rankine y Reaumur.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Garantizar el procesamiento centralizado y exacto de equivalencias térmicas aplicables a los diversos clientes.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Autenticación exitosa (CU-01).</w:t>
            </w:r>
          </w:p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Servidor Payara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  <w:drawing>
                <wp:anchor behindDoc="0" distT="0" distB="0" distL="0" distR="0" simplePos="0" locked="0" layoutInCell="0" allowOverlap="1" relativeHeight="10">
                  <wp:simplePos x="0" y="0"/>
                  <wp:positionH relativeFrom="column">
                    <wp:posOffset>71755</wp:posOffset>
                  </wp:positionH>
                  <wp:positionV relativeFrom="paragraph">
                    <wp:posOffset>47625</wp:posOffset>
                  </wp:positionV>
                  <wp:extent cx="3109595" cy="2299970"/>
                  <wp:effectExtent l="0" t="0" r="0" b="0"/>
                  <wp:wrapSquare wrapText="largest"/>
                  <wp:docPr id="32" name="Image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9595" cy="2299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B2B2B2"/>
                <w:kern w:val="0"/>
                <w:lang w:bidi="ar-SA"/>
              </w:rPr>
            </w:pPr>
            <w:bookmarkStart w:id="36" w:name="_Toc82708269_Copy_1"/>
            <w:bookmarkStart w:id="37" w:name="_Toc214408085_Copy_1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4</w: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. Caso de Uso </w:t>
            </w:r>
            <w:bookmarkEnd w:id="36"/>
            <w:bookmarkEnd w:id="37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>de Convertir Temperatura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USUARIO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1.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>El usuario elige la magnitud "Temperatura" y las escalas (Celsius, Fahrenheit, Kelvin, Rankine o Reaumur).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habilita el motor de cálculo de escalas térmicas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usuario ingresa el valor a convertir y envía la petición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HTTP a la servicio web SOAP.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En el caso de que el servidor Payara no esté operativo, el sistema deberá notificar que el servicio no está disponible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3. El sistema interrumpe la conexión y solicita verificar el estado del servidor en la red local</w:t>
            </w:r>
          </w:p>
        </w:tc>
      </w:tr>
      <w:tr>
        <w:trPr>
          <w:trHeight w:val="260" w:hRule="atLeast"/>
        </w:trPr>
        <w:tc>
          <w:tcPr>
            <w:tcW w:w="212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9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El sistema ha actualizado la base de usuarios centralizada, permitiendo o denegando accesos según los cambios realizados.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 </w:t>
            </w:r>
            <w:r>
              <w:rPr>
                <w:rFonts w:eastAsia="Calibri" w:cs=""/>
                <w:bCs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Normal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Normal"/>
        <w:widowControl/>
        <w:bidi w:val="0"/>
        <w:spacing w:lineRule="auto" w:line="240" w:before="80" w:after="100"/>
        <w:jc w:val="left"/>
        <w:rPr/>
      </w:pPr>
      <w:r>
        <w:rPr/>
      </w:r>
    </w:p>
    <w:sectPr>
      <w:footerReference w:type="even" r:id="rId16"/>
      <w:footerReference w:type="default" r:id="rId17"/>
      <w:footerReference w:type="first" r:id="rId18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C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C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c3677"/>
    <w:pPr>
      <w:widowControl/>
      <w:suppressAutoHyphens w:val="true"/>
      <w:bidi w:val="0"/>
      <w:spacing w:lineRule="auto" w:line="240" w:before="80" w:after="100"/>
      <w:jc w:val="left"/>
    </w:pPr>
    <w:rPr>
      <w:rFonts w:ascii="Arial" w:hAnsi="Arial" w:eastAsia="Calibri" w:cs="" w:cstheme="minorBidi" w:eastAsia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ec3677"/>
    <w:pPr>
      <w:keepNext w:val="true"/>
      <w:keepLines/>
      <w:spacing w:before="100" w:after="120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link w:val="Ttulo2Car"/>
    <w:uiPriority w:val="9"/>
    <w:qFormat/>
    <w:rsid w:val="00ec3677"/>
    <w:pPr>
      <w:spacing w:lineRule="auto" w:line="360" w:before="100" w:after="120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2Car" w:customStyle="1">
    <w:name w:val="Título 2 Car"/>
    <w:basedOn w:val="DefaultParagraphFont"/>
    <w:link w:val="Heading2"/>
    <w:uiPriority w:val="9"/>
    <w:qFormat/>
    <w:rsid w:val="00ec3677"/>
    <w:rPr>
      <w:rFonts w:ascii="Arial" w:hAnsi="Arial" w:eastAsia="Times New Roman" w:cs="Times New Roman"/>
      <w:b/>
      <w:bCs/>
      <w:sz w:val="24"/>
      <w:szCs w:val="36"/>
      <w:lang w:val="es-ES" w:eastAsia="es-ES"/>
    </w:rPr>
  </w:style>
  <w:style w:type="character" w:styleId="DescripcinCar" w:customStyle="1">
    <w:name w:val="Descripción Car"/>
    <w:basedOn w:val="DefaultParagraphFont"/>
    <w:link w:val="Caption"/>
    <w:uiPriority w:val="35"/>
    <w:qFormat/>
    <w:rsid w:val="00d94c06"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eastAsia="es-EC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ec3677"/>
    <w:rPr>
      <w:rFonts w:ascii="Arial" w:hAnsi="Arial" w:eastAsia="" w:cs="" w:cstheme="majorBidi" w:eastAsiaTheme="majorEastAsia"/>
      <w:b/>
      <w:sz w:val="32"/>
      <w:szCs w:val="32"/>
      <w:lang w:val="es-ES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795234"/>
    <w:rPr>
      <w:lang w:val="en-US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795234"/>
    <w:rPr>
      <w:lang w:val="es-ES_tradnl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35111a"/>
    <w:rPr>
      <w:rFonts w:ascii="Arial" w:hAnsi="Arial"/>
      <w:lang w:val="es-ES"/>
    </w:rPr>
  </w:style>
  <w:style w:type="character" w:styleId="TtuloCar" w:customStyle="1">
    <w:name w:val="Título Car"/>
    <w:basedOn w:val="DefaultParagraphFont"/>
    <w:link w:val="Title"/>
    <w:uiPriority w:val="10"/>
    <w:qFormat/>
    <w:rsid w:val="00245a67"/>
    <w:rPr>
      <w:rFonts w:ascii="Arial" w:hAnsi="Arial" w:eastAsia="" w:cs="" w:cstheme="majorBidi" w:eastAsiaTheme="majorEastAsia"/>
      <w:b/>
      <w:spacing w:val="-10"/>
      <w:kern w:val="2"/>
      <w:sz w:val="36"/>
      <w:szCs w:val="56"/>
      <w:lang w:val="es-ES"/>
    </w:rPr>
  </w:style>
  <w:style w:type="character" w:styleId="Hyperlink">
    <w:name w:val="Hyperlink"/>
    <w:basedOn w:val="DefaultParagraphFont"/>
    <w:uiPriority w:val="99"/>
    <w:unhideWhenUsed/>
    <w:rsid w:val="000726dc"/>
    <w:rPr>
      <w:color w:themeColor="hyperlink" w:val="0563C1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DescripcinCar"/>
    <w:uiPriority w:val="35"/>
    <w:unhideWhenUsed/>
    <w:qFormat/>
    <w:rsid w:val="00d94c06"/>
    <w:pPr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val="es-EC" w:eastAsia="es-EC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94c06"/>
    <w:pPr>
      <w:spacing w:before="80" w:after="100"/>
      <w:ind w:left="720"/>
      <w:contextualSpacing/>
    </w:pPr>
    <w:rPr/>
  </w:style>
  <w:style w:type="paragraph" w:styleId="NoSpacing">
    <w:name w:val="No Spacing"/>
    <w:link w:val="SinespaciadoCar"/>
    <w:uiPriority w:val="1"/>
    <w:qFormat/>
    <w:rsid w:val="00795234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epginaCar"/>
    <w:uiPriority w:val="99"/>
    <w:unhideWhenUsed/>
    <w:rsid w:val="00795234"/>
    <w:pPr>
      <w:tabs>
        <w:tab w:val="clear" w:pos="708"/>
        <w:tab w:val="center" w:pos="4252" w:leader="none"/>
        <w:tab w:val="right" w:pos="8504" w:leader="none"/>
      </w:tabs>
    </w:pPr>
    <w:rPr>
      <w:rFonts w:ascii="Calibri" w:hAnsi="Calibri" w:asciiTheme="minorHAnsi" w:hAnsiTheme="minorHAnsi"/>
      <w:lang w:val="es-ES_tradnl"/>
    </w:rPr>
  </w:style>
  <w:style w:type="paragraph" w:styleId="Header">
    <w:name w:val="Header"/>
    <w:basedOn w:val="Normal"/>
    <w:link w:val="EncabezadoCar"/>
    <w:uiPriority w:val="99"/>
    <w:unhideWhenUsed/>
    <w:rsid w:val="0035111a"/>
    <w:pPr>
      <w:tabs>
        <w:tab w:val="clear" w:pos="708"/>
        <w:tab w:val="center" w:pos="4680" w:leader="none"/>
        <w:tab w:val="right" w:pos="9360" w:leader="none"/>
      </w:tabs>
    </w:pPr>
    <w:rPr/>
  </w:style>
  <w:style w:type="paragraph" w:styleId="Title">
    <w:name w:val="Title"/>
    <w:basedOn w:val="Normal"/>
    <w:next w:val="Normal"/>
    <w:link w:val="TtuloCar"/>
    <w:uiPriority w:val="10"/>
    <w:qFormat/>
    <w:rsid w:val="00245a67"/>
    <w:pPr>
      <w:spacing w:before="0" w:after="0"/>
      <w:contextualSpacing/>
    </w:pPr>
    <w:rPr>
      <w:rFonts w:eastAsia="" w:cs="" w:cstheme="majorBidi" w:eastAsiaTheme="majorEastAsia"/>
      <w:b/>
      <w:spacing w:val="-10"/>
      <w:kern w:val="2"/>
      <w:sz w:val="3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0726dc"/>
    <w:pPr>
      <w:spacing w:before="120" w:after="120"/>
    </w:pPr>
    <w:rPr>
      <w:rFonts w:ascii="Calibri" w:hAnsi="Calibri" w:cs="Calibri" w:asciiTheme="minorHAnsi" w:cs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="Calibri" w:hAnsi="Calibri" w:cs="Calibri" w:asciiTheme="minorHAnsi" w:cs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e1003"/>
    <w:pPr>
      <w:spacing w:before="0" w:after="0"/>
      <w:ind w:hanging="440" w:left="44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3-nfasis5">
    <w:name w:val="Grid Table 3 Accent 5"/>
    <w:basedOn w:val="Tablanormal"/>
    <w:uiPriority w:val="48"/>
    <w:rsid w:val="00f959df"/>
    <w:pPr>
      <w:spacing w:after="0" w:line="240" w:lineRule="auto"/>
    </w:pPr>
    <w:rPr>
      <w:lang w:val="es-ES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sz="4" w:space="0"/>
        </w:tcBorders>
      </w:tcPr>
    </w:tblStylePr>
    <w:tblStylePr w:type="nwCell">
      <w:tblPr/>
      <w:tcPr>
        <w:tcBorders>
          <w:bottom w:val="single" w:color="9CC2E5" w:themeColor="accent5" w:sz="4" w:space="0"/>
        </w:tcBorders>
      </w:tcPr>
    </w:tblStylePr>
    <w:tblStylePr w:type="seCell">
      <w:tblPr/>
      <w:tcPr>
        <w:tcBorders>
          <w:top w:val="single" w:color="9CC2E5" w:themeColor="accent5" w:sz="4" w:space="0"/>
        </w:tcBorders>
      </w:tcPr>
    </w:tblStylePr>
    <w:tblStylePr w:type="swCell">
      <w:tblPr/>
      <w:tcPr>
        <w:tcBorders>
          <w:top w:val="single" w:color="9CC2E5" w:themeColor="accent5" w:sz="4" w:space="0"/>
        </w:tcBorders>
      </w:tcPr>
    </w:tblStylePr>
  </w:style>
  <w:style w:type="table" w:styleId="Tablacon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footer" Target="footer7.xml"/><Relationship Id="rId10" Type="http://schemas.openxmlformats.org/officeDocument/2006/relationships/footer" Target="footer8.xml"/><Relationship Id="rId11" Type="http://schemas.openxmlformats.org/officeDocument/2006/relationships/footer" Target="footer9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LibreOffice/24.2.7.2$Linux_X86_64 LibreOffice_project/420$Build-2</Application>
  <AppVersion>15.0000</AppVersion>
  <Pages>10</Pages>
  <Words>1150</Words>
  <Characters>6383</Characters>
  <CharactersWithSpaces>7404</CharactersWithSpaces>
  <Paragraphs>200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2025-11-19T06:42:00Z</dcterms:created>
  <dc:creator>Julio Enrique Viche Castillo / Gabriel Omar Murillo Medina</dc:creator>
  <dc:description/>
  <dc:language>en-US</dc:language>
  <cp:lastModifiedBy>Julio Enrique Viche Castillo / Gabriel Omar Murillo Medina</cp:lastModifiedBy>
  <dcterms:modified xsi:type="dcterms:W3CDTF">2026-05-10T16:09:19Z</dcterms:modified>
  <cp:revision>4</cp:revision>
  <dc:subject/>
  <dc:title>Especificación de Casos de Uso Detallados - Conversor de Unidades (SINBDD)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