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JAVA SIN BDD</w:t>
                            </w:r>
                            <w:r w:rsidR="0030127C">
                              <w:rPr>
                                <w:sz w:val="44"/>
                                <w:szCs w:val="44"/>
                              </w:rPr>
                              <w:t xml:space="preserve">ESPECIFICACIÓN DE REQUERIMIENTOS DE SOFTWARE PARA SOA CON SOAP EN JAVA SIN BDD</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JAVA SIN BDD</w:t>
                      </w:r>
                      <w:r w:rsidR="0030127C">
                        <w:rPr>
                          <w:sz w:val="44"/>
                          <w:szCs w:val="44"/>
                        </w:rPr>
                        <w:t xml:space="preserve">ESPECIFICACIÓN DE REQUERIMIENTOS DE SOFTWARE PARA SOA CON SOAP EN JAVA SIN BDD</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SOAP EN JAVA SIN BDD</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DEL PARA SOA CON SOAP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será desarrollado con NetBeans como IDE y sin uso de base de datos (SINBDD). La arquitectura es SOA (Service Oriented Architecture) usando Servicios Web SOAP con Jakarta EE / JAX-WS.</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protocolo SOAP en JAVA, incluyendo los mecanismos de consumo por parte cuatro clientes diferentes y las restricciones tecnológicas.</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proofErr w:type="spellStart"/>
      <w:r>
        <w:t>Login</w:t>
      </w:r>
      <w:proofErr w:type="spellEnd"/>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proofErr w:type="spellStart"/>
      <w:r>
        <w:t>endpoints</w:t>
      </w:r>
      <w:proofErr w:type="spellEnd"/>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proofErr w:type="spellStart"/>
            <w:r w:rsidRPr="00F50CD1">
              <w:rPr>
                <w:rFonts w:cs="Calibri"/>
              </w:rPr>
              <w:t>Endpoint</w:t>
            </w:r>
            <w:proofErr w:type="spellEnd"/>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proofErr w:type="spellStart"/>
            <w:r w:rsidRPr="00F50CD1">
              <w:rPr>
                <w:rFonts w:cs="Calibri"/>
              </w:rPr>
              <w:t>Netbeans</w:t>
            </w:r>
            <w:bookmarkEnd w:id="18"/>
            <w:proofErr w:type="spellEnd"/>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proofErr w:type="spellStart"/>
            <w:r w:rsidRPr="00F31807">
              <w:rPr>
                <w:rFonts w:cs="Calibri"/>
              </w:rPr>
              <w:t>Oriented</w:t>
            </w:r>
            <w:proofErr w:type="spellEnd"/>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w:t>
            </w:r>
            <w:proofErr w:type="spellStart"/>
            <w:r w:rsidRPr="00F31807">
              <w:rPr>
                <w:rFonts w:cs="Calibri"/>
              </w:rPr>
              <w:t>State</w:t>
            </w:r>
            <w:proofErr w:type="spellEnd"/>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proofErr w:type="spellStart"/>
      <w:r w:rsidRPr="00F31807">
        <w:rPr>
          <w:rFonts w:cs="Calibri"/>
        </w:rPr>
        <w:t>farenheit</w:t>
      </w:r>
      <w:proofErr w:type="spellEnd"/>
      <w:r w:rsidRPr="00F31807">
        <w:rPr>
          <w:rFonts w:cs="Calibri"/>
        </w:rPr>
        <w:t xml:space="preserve">, kelvin, Celsius, newton y </w:t>
      </w:r>
      <w:proofErr w:type="spellStart"/>
      <w:r w:rsidRPr="00F31807">
        <w:rPr>
          <w:rFonts w:cs="Calibri"/>
        </w:rPr>
        <w:t>reaumur</w:t>
      </w:r>
      <w:proofErr w:type="spellEnd"/>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proofErr w:type="spellStart"/>
      <w:r w:rsidRPr="00F31807">
        <w:t>Power</w:t>
      </w:r>
      <w:proofErr w:type="spellEnd"/>
      <w:r w:rsidRPr="00F31807">
        <w:t xml:space="preserve"> </w:t>
      </w:r>
      <w:proofErr w:type="spellStart"/>
      <w:r w:rsidRPr="00F31807">
        <w:t>Designer</w:t>
      </w:r>
      <w:proofErr w:type="spellEnd"/>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de aplicaciones es Payara Server / Tomcat embebido y la arquitectura es Jakarta EE / JAX-WS.</w:t>
      </w:r>
    </w:p>
    <w:p w14:paraId="5F7E3566" w14:textId="041A66FE" w:rsidR="00796919" w:rsidRPr="00F31807" w:rsidRDefault="00796919" w:rsidP="00F31807">
      <w:pPr>
        <w:pStyle w:val="Prrafodelista"/>
        <w:numPr>
          <w:ilvl w:val="0"/>
          <w:numId w:val="41"/>
        </w:numPr>
        <w:spacing w:before="0" w:after="0"/>
      </w:pPr>
      <w:r>
        <w:t>El entorno de desarrollo para la construcción del sistema es NetBeans.</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w:t>
            </w:r>
            <w:proofErr w:type="spellStart"/>
            <w:r w:rsidRPr="008B4168">
              <w:t>Jakarta</w:t>
            </w:r>
            <w:proofErr w:type="spellEnd"/>
            <w:r w:rsidRPr="008B4168">
              <w:t xml:space="preserve">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w:t>
            </w:r>
            <w:r w:rsidRPr="008B4168">
              <w:t>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Proveer el conjunto de </w:t>
            </w:r>
            <w:proofErr w:type="spellStart"/>
            <w:r w:rsidRPr="008B4168">
              <w:t>APIs</w:t>
            </w:r>
            <w:proofErr w:type="spellEnd"/>
            <w:r w:rsidRPr="008B4168">
              <w:t xml:space="preserve"> y anotaciones necesarias para construir la lógica </w:t>
            </w:r>
            <w:r w:rsidRPr="008B4168">
              <w:t>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ipervnculo"/>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de aplicaciones nativo para la nube y de código abierto, optimizado para desplegar aplicaciones </w:t>
            </w:r>
            <w:proofErr w:type="spellStart"/>
            <w:r w:rsidRPr="008B4168">
              <w:t>Jakarta</w:t>
            </w:r>
            <w:proofErr w:type="spellEnd"/>
            <w:r w:rsidRPr="008B4168">
              <w:t xml:space="preserve">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compilar y mantener en ejecución el proyecto del backend. Es el encargado de exponer los servicios en la red para que los cuatro clientes puedan conectarse.</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t>Intercambio de datos: La comunicación entre los cuatro clientes (web, móvil, escritorio, consola) y el servidor central se rige por el estándar SOAP sobre la plataforma JAVA.</w:t>
      </w:r>
    </w:p>
    <w:p w14:paraId="7EC554F1" w14:textId="5EB04971" w:rsidR="000E0F5E" w:rsidRPr="00850009" w:rsidRDefault="009E01C9" w:rsidP="00850009">
      <w:pPr>
        <w:pStyle w:val="Prrafodelista"/>
        <w:numPr>
          <w:ilvl w:val="0"/>
          <w:numId w:val="24"/>
        </w:numPr>
      </w:pPr>
      <w:r>
        <w:t>Formato de datos: Tanto las peticiones enviadas por los clientes como las respuestas generadas por el servidor se estructuran en formato XML, de acuerdo con el contrato definido en el archivo WSDL.</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proofErr w:type="spellStart"/>
            <w:r w:rsidRPr="008B4168">
              <w:rPr>
                <w:rFonts w:ascii="Calibri" w:hAnsi="Calibri" w:cstheme="minorHAnsi"/>
                <w:sz w:val="22"/>
                <w:szCs w:val="22"/>
              </w:rPr>
              <w:t>login</w:t>
            </w:r>
            <w:proofErr w:type="spellEnd"/>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highlight w:val="yellow"/>
        </w:rPr>
      </w:pPr>
      <w:bookmarkStart w:id="65" w:name="_Toc83812961"/>
      <w:r w:rsidRPr="008B4168">
        <w:rPr>
          <w:highlight w:val="yellow"/>
        </w:rPr>
        <w:t xml:space="preserve">Tabla </w:t>
      </w:r>
      <w:r w:rsidRPr="008B4168">
        <w:rPr>
          <w:highlight w:val="yellow"/>
        </w:rPr>
        <w:fldChar w:fldCharType="begin"/>
      </w:r>
      <w:r w:rsidRPr="008B4168">
        <w:rPr>
          <w:highlight w:val="yellow"/>
        </w:rPr>
        <w:instrText xml:space="preserve"> SEQ Tabla \* ARABIC </w:instrText>
      </w:r>
      <w:r w:rsidRPr="008B4168">
        <w:rPr>
          <w:highlight w:val="yellow"/>
        </w:rPr>
        <w:fldChar w:fldCharType="separate"/>
      </w:r>
      <w:r w:rsidR="00B6784F" w:rsidRPr="008B4168">
        <w:rPr>
          <w:noProof/>
          <w:highlight w:val="yellow"/>
        </w:rPr>
        <w:t>18</w:t>
      </w:r>
      <w:r w:rsidRPr="008B4168">
        <w:rPr>
          <w:highlight w:val="yellow"/>
        </w:rPr>
        <w:fldChar w:fldCharType="end"/>
      </w:r>
      <w:r w:rsidRPr="008B4168">
        <w:rPr>
          <w:highlight w:val="yellow"/>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highlight w:val="yellow"/>
              </w:rPr>
            </w:pPr>
            <w:r w:rsidRPr="008B4168">
              <w:rPr>
                <w:highlight w:val="yellow"/>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highlight w:val="yellow"/>
              </w:rPr>
            </w:pPr>
            <w:r w:rsidRPr="008B4168">
              <w:rPr>
                <w:highlight w:val="yellow"/>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Autenticar</w:t>
            </w:r>
            <w:r w:rsidR="008E061F" w:rsidRPr="008B4168">
              <w:rPr>
                <w:highlight w:val="yellow"/>
              </w:rPr>
              <w:t xml:space="preserve"> Cliente</w:t>
            </w:r>
            <w:r w:rsidRPr="008B4168">
              <w:rPr>
                <w:highlight w:val="yellow"/>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highlight w:val="yellow"/>
              </w:rPr>
            </w:pPr>
            <w:r w:rsidRPr="008B4168">
              <w:rPr>
                <w:highlight w:val="yellow"/>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highlight w:val="yellow"/>
              </w:rPr>
            </w:pPr>
            <w:r w:rsidRPr="008B4168">
              <w:rPr>
                <w:highlight w:val="yellow"/>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highlight w:val="yellow"/>
              </w:rPr>
            </w:pPr>
            <w:r w:rsidRPr="008B4168">
              <w:rPr>
                <w:highlight w:val="yellow"/>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highlight w:val="yellow"/>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Verdana" w:hAnsi="Verdana"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5oscura-nfasis4"/>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r w:rsidRPr="00906062">
              <w:rPr>
                <w:rFonts w:ascii="Verdana" w:hAnsi="Verdana" w:cstheme="minorHAnsi"/>
                <w:highlight w:val="yellow"/>
              </w:rPr>
              <w:t>metros, pies, centímetros, yardas y millas</w:t>
            </w:r>
          </w:p>
        </w:tc>
      </w:tr>
    </w:tbl>
    <w:p w14:paraId="3E876876" w14:textId="36E26D5B" w:rsidR="00420D9E" w:rsidRPr="00906062" w:rsidRDefault="00580C62" w:rsidP="00580C62">
      <w:pPr>
        <w:pStyle w:val="Descripcin"/>
        <w:rPr>
          <w:rFonts w:ascii="Verdana" w:hAnsi="Verdana" w:cstheme="minorHAnsi"/>
          <w:highlight w:val="yellow"/>
        </w:rPr>
      </w:pPr>
      <w:bookmarkStart w:id="69" w:name="_Toc83812964"/>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21</w:t>
      </w:r>
      <w:r w:rsidRPr="00906062">
        <w:rPr>
          <w:highlight w:val="yellow"/>
        </w:rPr>
        <w:fldChar w:fldCharType="end"/>
      </w:r>
      <w:r w:rsidRPr="00906062">
        <w:rPr>
          <w:highlight w:val="yellow"/>
        </w:rPr>
        <w:t>.</w:t>
      </w:r>
      <w:bookmarkEnd w:id="69"/>
      <w:r w:rsidR="008E061F" w:rsidRPr="00906062">
        <w:rPr>
          <w:highlight w:val="yellow"/>
        </w:rPr>
        <w:t xml:space="preserve"> Convertir Masa</w:t>
      </w:r>
    </w:p>
    <w:tbl>
      <w:tblPr>
        <w:tblStyle w:val="Tablaconcuadrcula5oscura-nfasis4"/>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Verdana" w:hAnsi="Verdana" w:cstheme="minorHAnsi"/>
          <w:highlight w:val="yellow"/>
        </w:rPr>
      </w:pPr>
      <w:bookmarkStart w:id="70" w:name="_Toc83812965"/>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22</w:t>
      </w:r>
      <w:r w:rsidRPr="00906062">
        <w:rPr>
          <w:highlight w:val="yellow"/>
        </w:rPr>
        <w:fldChar w:fldCharType="end"/>
      </w:r>
      <w:r w:rsidRPr="00906062">
        <w:rPr>
          <w:highlight w:val="yellow"/>
        </w:rPr>
        <w:t xml:space="preserve">. </w:t>
      </w:r>
      <w:bookmarkEnd w:id="70"/>
      <w:r w:rsidR="008E061F" w:rsidRPr="00906062">
        <w:rPr>
          <w:highlight w:val="yellow"/>
        </w:rPr>
        <w:t>Convertir Temperatura</w:t>
      </w:r>
    </w:p>
    <w:tbl>
      <w:tblPr>
        <w:tblStyle w:val="Tablaconcuadrcula5oscura-nfasis4"/>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highlight w:val="yellow"/>
              </w:rPr>
            </w:pPr>
            <w:r w:rsidRPr="00906062">
              <w:rPr>
                <w:rFonts w:ascii="Verdana" w:hAnsi="Verdana" w:cstheme="minorHAnsi"/>
                <w:highlight w:val="yellow"/>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proofErr w:type="spellStart"/>
            <w:r w:rsidR="00567A69" w:rsidRPr="00906062">
              <w:rPr>
                <w:rFonts w:ascii="Verdana" w:hAnsi="Verdana" w:cstheme="minorHAnsi"/>
                <w:highlight w:val="yellow"/>
              </w:rPr>
              <w:t>farenheit</w:t>
            </w:r>
            <w:proofErr w:type="spellEnd"/>
            <w:r w:rsidR="00567A69" w:rsidRPr="00906062">
              <w:rPr>
                <w:rFonts w:ascii="Verdana" w:hAnsi="Verdana" w:cstheme="minorHAnsi"/>
                <w:highlight w:val="yellow"/>
              </w:rPr>
              <w:t xml:space="preserve">, kelvin, Celsius, newton y </w:t>
            </w:r>
            <w:proofErr w:type="spellStart"/>
            <w:r w:rsidR="00567A69" w:rsidRPr="00906062">
              <w:rPr>
                <w:rFonts w:ascii="Verdana" w:hAnsi="Verdana" w:cstheme="minorHAnsi"/>
                <w:highlight w:val="yellow"/>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highlight w:val="yellow"/>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central debe exponer sus servicios de conversión y autenticación estrictamente mediante el protocolo SOAP 1.1/1.2, utilizando archivos WSDL y esquemas XSD para definir el contrato del servicio.</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del sistema debe ser desarrollado utilizando el lenguaje Java (JDK 17/21) e implementando la especificación Jakarta XML Web Services (JAX-WS) para la construcción de los servicios web.</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código fuente del servidor de conversiones debe ser construido, gestionado y estructurado utilizando el Entorno de Desarrollo Integrado (IDE) NetBeans con soporte Maven.</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29</w:t>
      </w:r>
      <w:r w:rsidRPr="00F74B5D">
        <w:rPr>
          <w:b/>
          <w:bCs/>
          <w:i w:val="0"/>
          <w:iCs w:val="0"/>
        </w:rPr>
        <w:fldChar w:fldCharType="end"/>
      </w:r>
      <w:r w:rsidRPr="00F74B5D">
        <w:rPr>
          <w:b/>
          <w:bCs/>
          <w:i w:val="0"/>
          <w:iCs w:val="0"/>
        </w:rPr>
        <w:t xml:space="preserve">. Requerimiento no funcional </w:t>
      </w:r>
      <w:bookmarkEnd w:id="77"/>
      <w:r w:rsidR="00567A69" w:rsidRPr="00F74B5D">
        <w:rPr>
          <w:b/>
          <w:bCs/>
          <w:i w:val="0"/>
          <w:iCs w:val="0"/>
        </w:rPr>
        <w:t>Servidor de Aplicaciones</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despliegue y la ejecución en red del proyecto backend debe realizarse sobre Payara Server / Tomcat o mediante servidor embebido JAX-WS.</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sistema debe restringir el acceso a los servicios de cálculo matemático. Solo procesará aquellas peticiones SOAP que incluyan un token de autenticación válido generado por el Login en memoria.</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 Al tratarse de una arquitectura SOA utilizando SOAP en JAVA, el sistema garantiza que cualquier cliente pueda consumir los servicios mediante el intercambio de mensajes XML, independiente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proofErr w:type="spellStart"/>
      <w:r w:rsidRPr="008A331E">
        <w:rPr>
          <w:lang w:val="es-EC"/>
        </w:rPr>
        <w:t>login</w:t>
      </w:r>
      <w:proofErr w:type="spellEnd"/>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y el servidor central de conversiones se comunicarán a través de la red utilizando el protocolo HTTP/HTTPS, intercambiando información estructurada mediante el estándar de mensajería SOAP y respetando el contrato definido en el archivo WSDL.</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el archivo WSDL. Cualquier modificación en los parámetros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World Wide Web Consortium (W3C). (2007). SOAP Version 1.2 Part 1: Messaging Framework (Second Edition). W3C Recommendation.</w:t>
      </w:r>
    </w:p>
    <w:p>
      <w:r>
        <w:t>3. Oracle Corporation. (2023). Java Platform, Standard Edition &amp; Java Web Services Documentation (JAX-WS).</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Eduardo Mauricio Campaña Ortega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