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r w:rsidR="0030127C">
                              <w:rPr>
                                <w:sz w:val="44"/>
                                <w:szCs w:val="44"/>
                              </w:rPr>
                              <w:t xml:space="preserve">ESPECIFICACIÓN DE REQUERIMIENTOS DE SOFTWARE PARA SOA CON REST EN JAVA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r w:rsidR="0030127C">
                        <w:rPr>
                          <w:sz w:val="44"/>
                          <w:szCs w:val="44"/>
                        </w:rPr>
                        <w:t xml:space="preserve">ESPECIFICACIÓN DE REQUERIMIENTOS DE SOFTWARE PARA SOA CON REST EN JAVA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JAVA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DEL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 JavaFX),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NetBeans / IntelliJ IDEA como IDE y sin uso de base de datos (SINBDD). La arquitectura es SOA (Service Oriented Architecture) usando Servicios Web REST con Jakarta RESTful Web Services (JAX-RS) / Spring Boot.</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arquitectura RESTful sobre HTTP en JAVA,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Apache Tomcat embebido / Spring Boot Web y la arquitectura es Jakarta RESTful Web Services (JAX-RS) / Spring Boot.</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NetBeans / IntelliJ IDEA.</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la arquitectura RESTful sobre HTTP/HTTPS.</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JSON, de acuerdo con la especificación de endpoints REST.</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highlight w:val="yellow"/>
        </w:rPr>
      </w:pPr>
      <w:bookmarkStart w:id="65" w:name="_Toc83812961"/>
      <w:r w:rsidRPr="008B4168">
        <w:rPr>
          <w:highlight w:val="yellow"/>
        </w:rPr>
        <w:t xml:space="preserve">Tabla </w:t>
      </w:r>
      <w:r w:rsidRPr="008B4168">
        <w:rPr>
          <w:highlight w:val="yellow"/>
        </w:rPr>
        <w:fldChar w:fldCharType="begin"/>
      </w:r>
      <w:r w:rsidRPr="008B4168">
        <w:rPr>
          <w:highlight w:val="yellow"/>
        </w:rPr>
        <w:instrText xml:space="preserve"> SEQ Tabla \* ARABIC </w:instrText>
      </w:r>
      <w:r w:rsidRPr="008B4168">
        <w:rPr>
          <w:highlight w:val="yellow"/>
        </w:rPr>
        <w:fldChar w:fldCharType="separate"/>
      </w:r>
      <w:r w:rsidR="00B6784F" w:rsidRPr="008B4168">
        <w:rPr>
          <w:noProof/>
          <w:highlight w:val="yellow"/>
        </w:rPr>
        <w:t>18</w:t>
      </w:r>
      <w:r w:rsidRPr="008B4168">
        <w:rPr>
          <w:highlight w:val="yellow"/>
        </w:rPr>
        <w:fldChar w:fldCharType="end"/>
      </w:r>
      <w:r w:rsidRPr="008B4168">
        <w:rPr>
          <w:highlight w:val="yellow"/>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highlight w:val="yellow"/>
              </w:rPr>
            </w:pPr>
            <w:r w:rsidRPr="008B4168">
              <w:rPr>
                <w:highlight w:val="yellow"/>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highlight w:val="yellow"/>
              </w:rPr>
            </w:pPr>
            <w:r w:rsidRPr="008B4168">
              <w:rPr>
                <w:highlight w:val="yellow"/>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Autenticar</w:t>
            </w:r>
            <w:r w:rsidR="008E061F" w:rsidRPr="008B4168">
              <w:rPr>
                <w:highlight w:val="yellow"/>
              </w:rPr>
              <w:t xml:space="preserve"> Cliente</w:t>
            </w:r>
            <w:r w:rsidRPr="008B4168">
              <w:rPr>
                <w:highlight w:val="yellow"/>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highlight w:val="yellow"/>
              </w:rPr>
            </w:pPr>
            <w:r w:rsidRPr="008B4168">
              <w:rPr>
                <w:highlight w:val="yellow"/>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highlight w:val="yellow"/>
              </w:rPr>
            </w:pPr>
            <w:r w:rsidRPr="008B4168">
              <w:rPr>
                <w:highlight w:val="yellow"/>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highlight w:val="yellow"/>
              </w:rPr>
            </w:pPr>
            <w:r w:rsidRPr="008B4168">
              <w:rPr>
                <w:highlight w:val="yellow"/>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highlight w:val="yellow"/>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r w:rsidRPr="00906062">
              <w:rPr>
                <w:rFonts w:ascii="Verdana" w:hAnsi="Verdana" w:cstheme="minorHAnsi"/>
                <w:highlight w:val="yellow"/>
              </w:rPr>
              <w:t>metros, pies, centímetros, yardas y millas</w:t>
            </w:r>
          </w:p>
        </w:tc>
      </w:tr>
    </w:tbl>
    <w:p w14:paraId="3E876876" w14:textId="36E26D5B" w:rsidR="00420D9E" w:rsidRPr="00906062" w:rsidRDefault="00580C62" w:rsidP="00580C62">
      <w:pPr>
        <w:pStyle w:val="Descripcin"/>
        <w:rPr>
          <w:rFonts w:ascii="Verdana" w:hAnsi="Verdana" w:cstheme="minorHAnsi"/>
          <w:highlight w:val="yellow"/>
        </w:rPr>
      </w:pPr>
      <w:bookmarkStart w:id="69" w:name="_Toc83812964"/>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21</w:t>
      </w:r>
      <w:r w:rsidRPr="00906062">
        <w:rPr>
          <w:highlight w:val="yellow"/>
        </w:rPr>
        <w:fldChar w:fldCharType="end"/>
      </w:r>
      <w:r w:rsidRPr="00906062">
        <w:rPr>
          <w:highlight w:val="yellow"/>
        </w:rPr>
        <w:t>.</w:t>
      </w:r>
      <w:bookmarkEnd w:id="69"/>
      <w:r w:rsidR="008E061F" w:rsidRPr="00906062">
        <w:rPr>
          <w:highlight w:val="yellow"/>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highlight w:val="yellow"/>
        </w:rPr>
      </w:pPr>
      <w:bookmarkStart w:id="70" w:name="_Toc83812965"/>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22</w:t>
      </w:r>
      <w:r w:rsidRPr="00906062">
        <w:rPr>
          <w:highlight w:val="yellow"/>
        </w:rPr>
        <w:fldChar w:fldCharType="end"/>
      </w:r>
      <w:r w:rsidRPr="00906062">
        <w:rPr>
          <w:highlight w:val="yellow"/>
        </w:rPr>
        <w:t xml:space="preserve">. </w:t>
      </w:r>
      <w:bookmarkEnd w:id="70"/>
      <w:r w:rsidR="008E061F" w:rsidRPr="00906062">
        <w:rPr>
          <w:highlight w:val="yellow"/>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highlight w:val="yellow"/>
              </w:rPr>
            </w:pPr>
            <w:r w:rsidRPr="00906062">
              <w:rPr>
                <w:rFonts w:ascii="Verdana" w:hAnsi="Verdana" w:cstheme="minorHAnsi"/>
                <w:highlight w:val="yellow"/>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proofErr w:type="spellStart"/>
            <w:r w:rsidR="00567A69" w:rsidRPr="00906062">
              <w:rPr>
                <w:rFonts w:ascii="Verdana" w:hAnsi="Verdana" w:cstheme="minorHAnsi"/>
                <w:highlight w:val="yellow"/>
              </w:rPr>
              <w:t>farenheit</w:t>
            </w:r>
            <w:proofErr w:type="spellEnd"/>
            <w:r w:rsidR="00567A69" w:rsidRPr="00906062">
              <w:rPr>
                <w:rFonts w:ascii="Verdana" w:hAnsi="Verdana" w:cstheme="minorHAnsi"/>
                <w:highlight w:val="yellow"/>
              </w:rPr>
              <w:t xml:space="preserve">, kelvin, Celsius, newton y </w:t>
            </w:r>
            <w:proofErr w:type="spellStart"/>
            <w:r w:rsidR="00567A69" w:rsidRPr="00906062">
              <w:rPr>
                <w:rFonts w:ascii="Verdana" w:hAnsi="Verdana" w:cstheme="minorHAnsi"/>
                <w:highlight w:val="yellow"/>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highlight w:val="yellow"/>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arquitectura RESTful sobre HTTP/HTTPS, utilizando formato JSON para el intercambio de datos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Java (JDK 17/21) implementando la especificación Jakarta RESTful Web Services (JAX-RS) o Spring Boot Web para la exposición de endpoints.</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gestionado mediante NetBeans o IntelliJ IDEA con gestión de dependencias vía Apache Maven.</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del backend debe realizarse sobre un servidor web Apache Tomcat embebido o contenedor de servlets Jakarta EE.</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endpoints de conversión. Solo procesará peticiones HTTP que incluyan un token válido en la cabecera estándar Authorization: Bearer &lt;token&gt;.</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RESTful APIs sobre HTTP, el sistema garantiza que cualquier cliente pueda consumir los servicios mediante el intercambio de cargas JSON,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REST / JSON y respetando los contratos y endpoints documentados.</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