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REST EN .NET SIN BDD</w:t>
                            </w:r>
                            <w:r w:rsidR="0030127C">
                              <w:rPr>
                                <w:sz w:val="44"/>
                                <w:szCs w:val="44"/>
                              </w:rPr>
                              <w:t xml:space="preserve">ESPECIFICACIÓN DE REQUERIMIENTOS DE SOFTWARE PARA SOA CON REST EN .NET SIN BDD</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Viche Castillo, Julio Enrique</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REST EN .NET SIN BDD</w:t>
                      </w:r>
                      <w:r w:rsidR="0030127C">
                        <w:rPr>
                          <w:sz w:val="44"/>
                          <w:szCs w:val="44"/>
                        </w:rPr>
                        <w:t xml:space="preserve">ESPECIFICACIÓN DE REQUERIMIENTOS DE SOFTWARE PARA SOA CON REST EN .NET SIN BDD</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Viche Castillo, Julio Enrique</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r>
        <w:t>ESPECIFICACIÓN DE REQUERIMIENTOS DE SOFTWARE PARA SOA CON REST EN .NET SIN BDD</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t>Tabla 1. Definiciones</w:t>
        <w:tab/>
        <w:t>7</w:t>
      </w:r>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 Acrónimos y abreviaturas</w:t>
        <w:tab/>
        <w:t>9</w:t>
      </w:r>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 Referencias</w:t>
        <w:tab/>
        <w:t>10</w:t>
      </w:r>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4. Tipo de usuario / Usuario final</w:t>
        <w:tab/>
        <w:t>12</w:t>
      </w:r>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8. Requisitos de interfaces de hardware</w:t>
        <w:tab/>
        <w:t>14</w:t>
      </w:r>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9. Interfaces de software</w:t>
        <w:tab/>
        <w:t>15</w:t>
      </w:r>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10. Objetivos: Autenticar el acceso de los clientes (OBJ-001)</w:t>
        <w:tab/>
        <w:t>16</w:t>
      </w:r>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11. Objetivos: Realizar conversiones (OBJ-002)</w:t>
        <w:tab/>
        <w:t>16</w:t>
      </w:r>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14. Actor: Usuario Final (ACT-001)</w:t>
        <w:tab/>
        <w:t>17</w:t>
      </w:r>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18. Matriz general de requisitos funcionales</w:t>
        <w:tab/>
        <w:t>18</w:t>
      </w:r>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19. RQF-001: Autenticar Cliente</w:t>
        <w:tab/>
        <w:t>19</w:t>
      </w:r>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20. RQF-002: Convertir Longitud</w:t>
        <w:tab/>
        <w:t>20</w:t>
      </w:r>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21. RQF-003: Convertir Masa</w:t>
        <w:tab/>
        <w:t>20</w:t>
      </w:r>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22. RQF-004: Convertir Temperatura</w:t>
        <w:tab/>
        <w:t>21</w:t>
      </w:r>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26. RNF-001: Protocolo de Arquitectura (SOAP)</w:t>
        <w:tab/>
        <w:t>22</w:t>
      </w:r>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27. RNF-002: Especificación de Software</w:t>
        <w:tab/>
        <w:t>22</w:t>
      </w:r>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28. RNF-003: Entorno de Desarrollo</w:t>
        <w:tab/>
        <w:t>22</w:t>
      </w:r>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29. RNF-004: Servidor de Aplicaciones</w:t>
        <w:tab/>
        <w:t>23</w:t>
      </w:r>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30. RNF-005: Seguridad y autorización mediante Token</w:t>
        <w:tab/>
        <w:t>23</w:t>
      </w:r>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31. RNF-006: Accesibilidad</w:t>
        <w:tab/>
        <w:t>23</w:t>
      </w:r>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32. RNF-007: Mantenimiento</w:t>
        <w:tab/>
        <w:t>23</w:t>
      </w:r>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ageBreakBefore/>
      </w:pPr>
      <w:bookmarkStart w:id="1" w:name="_bookmark0"/>
      <w:bookmarkStart w:id="2" w:name="_Hlk241086724"/>
      <w:bookmarkEnd w:id="1"/>
      <w:r w:rsidRPr="00850009">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r>
        <w:t>Multi-canal: La aplicación se despliega como cliente de consola, cliente de escritorio (C# Windows Presentation Foundation (WPF) / Windows Forms),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El sistema será desarrollado con Visual Studio 2022 como IDE y sin uso de base de datos (SINBDD). La arquitectura es SOA (Service Oriented Architecture) usando Servicios Web REST con ASP.NET Core Web API.</w:t>
      </w:r>
    </w:p>
    <w:bookmarkEnd w:id="2"/>
    <w:p w14:paraId="4D48D55E" w14:textId="77777777" w:rsidR="000722E8" w:rsidRPr="000722E8" w:rsidRDefault="000722E8" w:rsidP="000722E8"/>
    <w:p w14:paraId="66E39F3C" w14:textId="77777777" w:rsidR="003E41D8" w:rsidRDefault="003E41D8" w:rsidP="00850009"/>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t>Introducción</w:t>
      </w:r>
      <w:bookmarkEnd w:id="4"/>
    </w:p>
    <w:p w14:paraId="42BB9370" w14:textId="4BFB9A8A" w:rsidR="00D51532" w:rsidRDefault="003E41D8" w:rsidP="00E9721E">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arquitectura RESTful sobre HTTP en .NET,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Además, al programar todo de forma de forma 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proofErr w:type="spellStart"/>
            <w:r w:rsidRPr="00F31807">
              <w:rPr>
                <w:rFonts w:cs="Calibri"/>
              </w:rPr>
              <w:t>Oriented</w:t>
            </w:r>
            <w:proofErr w:type="spellEnd"/>
            <w:r w:rsidRPr="00F31807">
              <w:rPr>
                <w:rFonts w:cs="Calibri"/>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988050"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t>El servidor de aplicaciones es Servidor Kestrel integrado en ASP.NET Core y la arquitectura es ASP.NET Core Web API.</w:t>
      </w:r>
    </w:p>
    <w:p w14:paraId="5F7E3566" w14:textId="041A66FE" w:rsidR="00796919" w:rsidRPr="00F31807" w:rsidRDefault="00796919" w:rsidP="00F31807">
      <w:pPr>
        <w:pStyle w:val="Prrafodelista"/>
        <w:numPr>
          <w:ilvl w:val="0"/>
          <w:numId w:val="41"/>
        </w:numPr>
        <w:spacing w:before="0" w:after="0"/>
      </w:pPr>
      <w:r>
        <w:t>El entorno de desarrollo para la construcción del sistema es Visual Studio 2022.</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Jakarta</w:t>
            </w:r>
            <w:proofErr w:type="spellEnd"/>
            <w:r w:rsidRPr="008B4168">
              <w:t xml:space="preserve">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Plataforma de código abierto impulsada por la Eclipse </w:t>
            </w:r>
            <w:proofErr w:type="spellStart"/>
            <w:r w:rsidRPr="008B4168">
              <w:t>Foundation</w:t>
            </w:r>
            <w:proofErr w:type="spellEnd"/>
            <w:r w:rsidRPr="008B4168">
              <w:t xml:space="preserve"> para el desarrollo de aplicaciones empresariales e </w:t>
            </w:r>
            <w:r w:rsidRPr="008B4168">
              <w:t>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Proveer el conjunto de </w:t>
            </w:r>
            <w:proofErr w:type="spellStart"/>
            <w:r w:rsidRPr="008B4168">
              <w:t>APIs</w:t>
            </w:r>
            <w:proofErr w:type="spellEnd"/>
            <w:r w:rsidRPr="008B4168">
              <w:t xml:space="preserve"> y anotaciones necesarias para construir la lógica </w:t>
            </w:r>
            <w:r w:rsidRPr="008B4168">
              <w:t>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de aplicaciones nativo para la nube y de código abierto, optimizado para desplegar aplicaciones </w:t>
            </w:r>
            <w:proofErr w:type="spellStart"/>
            <w:r w:rsidRPr="008B4168">
              <w:t>Jakarta</w:t>
            </w:r>
            <w:proofErr w:type="spellEnd"/>
            <w:r w:rsidRPr="008B4168">
              <w:t xml:space="preserve">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compilar y mantener en ejecución el proyecto del backend. Es el encargado de exponer los servicios en la red para que los cuatro clientes puedan conectarse.</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t>Intercambio de datos: La comunicación entre los cuatro clientes (web, móvil, escritorio, consola) y el servidor central se rige por la arquitectura RESTful sobre HTTP/HTTPS.</w:t>
      </w:r>
    </w:p>
    <w:p w14:paraId="7EC554F1" w14:textId="5EB04971" w:rsidR="000E0F5E" w:rsidRPr="00850009" w:rsidRDefault="009E01C9" w:rsidP="00850009">
      <w:pPr>
        <w:pStyle w:val="Prrafodelista"/>
        <w:numPr>
          <w:ilvl w:val="0"/>
          <w:numId w:val="24"/>
        </w:numPr>
      </w:pPr>
      <w:r>
        <w:t>Formato de datos: Tanto las peticiones enviadas por los clientes como las respuestas generadas por el servidor se estructuran en formato JSON, de acuerdo con la especificación de endpoints REST.</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pPr>
        <w:pStyle w:val="Ttulo3"/>
      </w:pPr>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highlight w:val="yellow"/>
        </w:rPr>
      </w:pPr>
      <w:bookmarkStart w:id="65" w:name="_Toc83812961"/>
      <w:r w:rsidRPr="008B4168">
        <w:rPr>
          <w:highlight w:val="yellow"/>
        </w:rPr>
        <w:t xml:space="preserve">Tabla </w:t>
      </w:r>
      <w:r w:rsidRPr="008B4168">
        <w:rPr>
          <w:highlight w:val="yellow"/>
        </w:rPr>
        <w:fldChar w:fldCharType="begin"/>
      </w:r>
      <w:r w:rsidRPr="008B4168">
        <w:rPr>
          <w:highlight w:val="yellow"/>
        </w:rPr>
        <w:instrText xml:space="preserve"> SEQ Tabla \* ARABIC </w:instrText>
      </w:r>
      <w:r w:rsidRPr="008B4168">
        <w:rPr>
          <w:highlight w:val="yellow"/>
        </w:rPr>
        <w:fldChar w:fldCharType="separate"/>
      </w:r>
      <w:r w:rsidR="00B6784F" w:rsidRPr="008B4168">
        <w:rPr>
          <w:noProof/>
          <w:highlight w:val="yellow"/>
        </w:rPr>
        <w:t>18</w:t>
      </w:r>
      <w:r w:rsidRPr="008B4168">
        <w:rPr>
          <w:highlight w:val="yellow"/>
        </w:rPr>
        <w:fldChar w:fldCharType="end"/>
      </w:r>
      <w:r w:rsidRPr="008B4168">
        <w:rPr>
          <w:highlight w:val="yellow"/>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highlight w:val="yellow"/>
              </w:rPr>
            </w:pPr>
            <w:r w:rsidRPr="008B4168">
              <w:rPr>
                <w:highlight w:val="yellow"/>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highlight w:val="yellow"/>
              </w:rPr>
            </w:pPr>
            <w:r w:rsidRPr="008B4168">
              <w:rPr>
                <w:highlight w:val="yellow"/>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Autenticar</w:t>
            </w:r>
            <w:r w:rsidR="008E061F" w:rsidRPr="008B4168">
              <w:rPr>
                <w:highlight w:val="yellow"/>
              </w:rPr>
              <w:t xml:space="preserve"> Cliente</w:t>
            </w:r>
            <w:r w:rsidRPr="008B4168">
              <w:rPr>
                <w:highlight w:val="yellow"/>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highlight w:val="yellow"/>
              </w:rPr>
            </w:pPr>
            <w:r w:rsidRPr="008B4168">
              <w:rPr>
                <w:highlight w:val="yellow"/>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highlight w:val="yellow"/>
              </w:rPr>
            </w:pPr>
            <w:r w:rsidRPr="008B4168">
              <w:rPr>
                <w:highlight w:val="yellow"/>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highlight w:val="yellow"/>
              </w:rPr>
            </w:pPr>
            <w:r w:rsidRPr="008B4168">
              <w:rPr>
                <w:highlight w:val="yellow"/>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highlight w:val="yellow"/>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r w:rsidRPr="00906062">
              <w:rPr>
                <w:rFonts w:ascii="Verdana" w:hAnsi="Verdana" w:cstheme="minorHAnsi"/>
                <w:highlight w:val="yellow"/>
              </w:rPr>
              <w:t>metros, pies, centímetros, yardas y millas</w:t>
            </w:r>
          </w:p>
        </w:tc>
      </w:tr>
    </w:tbl>
    <w:p w14:paraId="3E876876" w14:textId="36E26D5B" w:rsidR="00420D9E" w:rsidRPr="00906062" w:rsidRDefault="00580C62" w:rsidP="00580C62">
      <w:pPr>
        <w:pStyle w:val="Descripcin"/>
        <w:rPr>
          <w:rFonts w:ascii="Verdana" w:hAnsi="Verdana" w:cstheme="minorHAnsi"/>
          <w:highlight w:val="yellow"/>
        </w:rPr>
      </w:pPr>
      <w:bookmarkStart w:id="69" w:name="_Toc83812964"/>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21</w:t>
      </w:r>
      <w:r w:rsidRPr="00906062">
        <w:rPr>
          <w:highlight w:val="yellow"/>
        </w:rPr>
        <w:fldChar w:fldCharType="end"/>
      </w:r>
      <w:r w:rsidRPr="00906062">
        <w:rPr>
          <w:highlight w:val="yellow"/>
        </w:rPr>
        <w:t>.</w:t>
      </w:r>
      <w:bookmarkEnd w:id="69"/>
      <w:r w:rsidR="008E061F" w:rsidRPr="00906062">
        <w:rPr>
          <w:highlight w:val="yellow"/>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highlight w:val="yellow"/>
        </w:rPr>
      </w:pPr>
      <w:bookmarkStart w:id="70" w:name="_Toc83812965"/>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22</w:t>
      </w:r>
      <w:r w:rsidRPr="00906062">
        <w:rPr>
          <w:highlight w:val="yellow"/>
        </w:rPr>
        <w:fldChar w:fldCharType="end"/>
      </w:r>
      <w:r w:rsidRPr="00906062">
        <w:rPr>
          <w:highlight w:val="yellow"/>
        </w:rPr>
        <w:t xml:space="preserve">. </w:t>
      </w:r>
      <w:bookmarkEnd w:id="70"/>
      <w:r w:rsidR="008E061F" w:rsidRPr="00906062">
        <w:rPr>
          <w:highlight w:val="yellow"/>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Verdana" w:hAnsi="Verdana" w:cstheme="minorHAnsi"/>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proofErr w:type="spellStart"/>
            <w:r w:rsidR="00567A69" w:rsidRPr="00906062">
              <w:rPr>
                <w:rFonts w:ascii="Verdana" w:hAnsi="Verdana" w:cstheme="minorHAnsi"/>
                <w:highlight w:val="yellow"/>
              </w:rPr>
              <w:t>farenheit</w:t>
            </w:r>
            <w:proofErr w:type="spellEnd"/>
            <w:r w:rsidR="00567A69" w:rsidRPr="00906062">
              <w:rPr>
                <w:rFonts w:ascii="Verdana" w:hAnsi="Verdana" w:cstheme="minorHAnsi"/>
                <w:highlight w:val="yellow"/>
              </w:rPr>
              <w:t xml:space="preserve">, kelvin, Celsius, newton y </w:t>
            </w:r>
            <w:proofErr w:type="spellStart"/>
            <w:r w:rsidR="00567A69" w:rsidRPr="00906062">
              <w:rPr>
                <w:rFonts w:ascii="Verdana" w:hAnsi="Verdana" w:cstheme="minorHAnsi"/>
                <w:highlight w:val="yellow"/>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highlight w:val="yellow"/>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r>
              <w:t>Protocolo de Arquitectura (RESTful)</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servidor central debe exponer sus servicios de conversión y autenticación mediante arquitectura RESTful sobre HTTP/HTTPS utilizando ASP.NET Core Web API, retornando cargas estructuradas en formato JSON.</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backend del sistema debe ser desarrollado utilizando C# 12 sobre la plataforma .NET 8 o 9 LTS mediante controladores ASP.NET Core ([ApiController], [Route]) o Minimal APIs.</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código fuente del servidor debe ser construido y estructurado utilizando Microsoft Visual Studio 2022 o Visual Studio Code con el SDK oficial de .NET.</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despliegue y la ejecución en red debe realizarse obligatoriamente sobre el servidor web Kestrel multiplataforma de alto rendimiento.</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sistema debe restringir el acceso a los endpoints REST. Solo procesará peticiones que incluyan un token de autenticación válido en la cabecera HTTP Authorization: Bearer validado por middleware en memoria.</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t>Portabilidad. - Al tratarse de una arquitectura SOA utilizando RESTful APIs sobre HTTP, el sistema garantiza que cualquier cliente pueda consumir los servicios mediante el intercambio de cargas JSON, independiente del lenguaje de programación del cliente.</w:t>
      </w:r>
    </w:p>
    <w:p w14:paraId="211937A5" w14:textId="6D351445" w:rsidR="00BD2194" w:rsidRPr="00A46F65" w:rsidRDefault="00BD2194" w:rsidP="00A46F65">
      <w:r w:rsidRPr="002C3FB8">
        <w:rPr>
          <w:b/>
          <w:bCs/>
        </w:rPr>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r>
        <w:t>Los cuatro clientes y el servidor central de conversiones se comunicarán a través de la red utilizando el protocolo HTTP/HTTPS, intercambiando información estructurada mediante el estándar REST / JSON y respetando los contratos y endpoints documentados.</w:t>
      </w:r>
    </w:p>
    <w:p w14:paraId="220CFAF8" w14:textId="4A6EDACE" w:rsidR="006018F0" w:rsidRPr="00850009" w:rsidRDefault="006018F0" w:rsidP="00F106AD">
      <w:pPr>
        <w:pStyle w:val="Ttulo3"/>
      </w:pPr>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2"/>
      </w:pPr>
      <w:r>
        <w:t>11. Recomendaciones</w:t>
      </w:r>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Es importante mantener un control de versionamiento en los endpoints de la API REST. Cualquier modificación en los parámetros o rutas del servidor requiere actualización en el código de los cuatro clientes para evitar fallos en la comunicación.</w:t>
      </w:r>
    </w:p>
    <w:p w14:paraId="36D42516" w14:textId="30CCED78" w:rsidR="00BE4BCE" w:rsidRPr="00850009" w:rsidRDefault="00BE4BCE" w:rsidP="006141C5">
      <w:pPr>
        <w:pStyle w:val="Ttulo2"/>
      </w:pPr>
      <w:r>
        <w:t>10. Conclusiones</w:t>
      </w:r>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2"/>
        <w:rPr>
          <w:rFonts w:cstheme="minorHAnsi"/>
        </w:rPr>
      </w:pPr>
      <w:r>
        <w:t>12. Bibliografía</w:t>
      </w:r>
    </w:p>
    <w:p>
      <w:r>
        <w:t>1. IEEE Computer Society. (1998). IEEE Recommended Practice for Software Requirements Specifications (IEEE Std 830-1998).</w:t>
      </w:r>
    </w:p>
    <w:p>
      <w:r>
        <w:t>2. Fielding, R. (2000). Architectural Styles and the Design of Network-based Software Architectures (REST). University of California, Irvine.</w:t>
      </w:r>
    </w:p>
    <w:p>
      <w:r>
        <w:t>3. Oracle Corporation. (2023). Java Platform, Standard Edition &amp; Java Web Services Documentation (JAX-WS).</w:t>
      </w:r>
    </w:p>
    <w:p>
      <w:r>
        <w:t>4. Universidad de las Fuerzas Armadas ESPE. (2026). Guía de Prácticas y Talleres - Arquitectura de Software. Sangolquí, Ecuador.</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