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operaciones del servicio web SOAP.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operaciones del servicio web SOAP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7 debe estar activo y el cliente debe tener conexión a la red local.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88265</wp:posOffset>
                  </wp:positionH>
                  <wp:positionV relativeFrom="paragraph">
                    <wp:posOffset>85725</wp:posOffset>
                  </wp:positionV>
                  <wp:extent cx="3305175" cy="2466340"/>
                  <wp:effectExtent l="0" t="0" r="0" b="0"/>
                  <wp:wrapSquare wrapText="largest"/>
                  <wp:docPr id="29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y valida los datos con los valores estáticos definidos en memoria.</w:t>
            </w:r>
          </w:p>
        </w:tc>
      </w:tr>
      <w:tr>
        <w:trPr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180975</wp:posOffset>
                  </wp:positionV>
                  <wp:extent cx="3505200" cy="2649220"/>
                  <wp:effectExtent l="0" t="0" r="0" b="0"/>
                  <wp:wrapSquare wrapText="largest"/>
                  <wp:docPr id="30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widowControl/>
              <w:suppressAutoHyphens w:val="true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</w:tc>
      </w:tr>
      <w:tr>
        <w:trPr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Kilómetros, Pulgadas, Pies o Centímetros).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Kilogramos, Gramos, Libras, Onzas y Toneladas.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operaciones del servicio web SOAP.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161925</wp:posOffset>
                  </wp:positionV>
                  <wp:extent cx="3053080" cy="2419985"/>
                  <wp:effectExtent l="0" t="0" r="0" b="0"/>
                  <wp:wrapSquare wrapText="largest"/>
                  <wp:docPr id="31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aption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Normal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(Kg, g, lb, oz, t).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servicio web SOAP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Rankine y Reaumur.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Viche Castillo, Julio Enrique; Murillo Medina, Gabriel Omar.</w:t>
            </w:r>
          </w:p>
        </w:tc>
      </w:tr>
      <w:tr>
        <w:trPr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47625</wp:posOffset>
                  </wp:positionV>
                  <wp:extent cx="3109595" cy="2299970"/>
                  <wp:effectExtent l="0" t="0" r="0" b="0"/>
                  <wp:wrapSquare wrapText="largest"/>
                  <wp:docPr id="32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keepNext w:val="true"/>
              <w:widowControl/>
              <w:suppressAutoHyphens w:val="tru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sz w:val="20"/>
                <w:szCs w:val="20"/>
                <w:lang w:val="es-ES" w:eastAsia="en-US"/>
              </w:rPr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Rankine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a la servicio web SOAP.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El sistema ha actualizado la base de usuarios centralizada, permitiendo o denegando accesos según los cambios realizados.</w:t>
            </w:r>
          </w:p>
        </w:tc>
      </w:tr>
      <w:tr>
        <w:trPr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