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CASTILLO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ENRIQUE</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CASTILLO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ENRIQUE</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SOAP EN JAVA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w:t>
      </w:r>
    </w:p>
    <w:p>
      <w:pPr>
        <w:spacing w:after="80" w:line="276" w:lineRule="auto"/>
      </w:pPr>
      <w:r/>
      <w:r>
        <w:rPr>
          <w:b/>
        </w:rPr>
        <w:t>Fecha:</w:t>
      </w:r>
      <w:r>
        <w:t xml:space="preserve"> 28 de Octubre de 2026</w:t>
      </w:r>
    </w:p>
    <w:p>
      <w:pPr>
        <w:pStyle w:val="Ttulo1"/>
        <w:spacing w:before="240" w:after="80"/>
      </w:pPr>
      <w:r>
        <w:t>PARTE PRÁCTICA</w:t>
      </w:r>
    </w:p>
    <w:p>
      <w:pPr>
        <w:pStyle w:val="Ttulo2"/>
        <w:spacing w:before="200" w:after="60"/>
      </w:pPr>
      <w:r>
        <w:t>INTRODUCCIÓN</w:t>
      </w:r>
    </w:p>
    <w:p>
      <w:pPr>
        <w:spacing w:after="80" w:line="276" w:lineRule="auto"/>
      </w:pPr>
      <w:r>
        <w:t>Un Web Service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Services Description Language), que define las operaciones, parámetros y tipos de datos disponibles. Esta arquitectura es esencial en entornos empresariales donde la seguridad, la transaccionalidad y el cumplimiento estricto de protocolos son prioritarios.</w:t>
      </w:r>
    </w:p>
    <w:p>
      <w:pPr>
        <w:spacing w:after="80" w:line="276" w:lineRule="auto"/>
      </w:pPr>
      <w:r>
        <w:t>En el desarrollo de servicios SOAP con Java, la lógica suele organizarse mediante la exposición de Endpoints (puntos de acceso). A diferencia del patrón MVC tradicional de aplicaciones web, SOAP se centra en la Orientación a Servicios (SOA), donde el servidor actúa como un proveedor de funciones específicas que el cliente consume tras conocer la definición del servicio. El intercambio de datos en la red se realiza a través del protocolo HTTP.</w:t>
      </w:r>
    </w:p>
    <w:p>
      <w:pPr>
        <w:spacing w:after="80" w:line="276" w:lineRule="auto"/>
      </w:pPr>
      <w:r>
        <w:t>Para el despliegue de estos servicios, se utiliza Payara Server, un servidor de aplicaciones de alto rendimiento derivado de GlassFish. Payara es un contenedor compatible con Jakarta EE que incluye soporte nativo para la especificación JAX-WS (Java API for XML Web Services). Esto permite gestionar servicios web complejos con herramientas avanzadas de administración, monitoreo y escalabilidad, asegurando una integración fluida en ecosistemas empresariales heterogéneos.</w:t>
      </w:r>
    </w:p>
    <w:p>
      <w:pPr>
        <w:pStyle w:val="Ttulo2"/>
        <w:spacing w:before="200" w:after="60"/>
      </w:pPr>
      <w:r>
        <w:t>OBJETIVOS</w:t>
      </w:r>
    </w:p>
    <w:p>
      <w:pPr>
        <w:pStyle w:val="Ttulo3"/>
        <w:spacing w:before="160" w:after="40"/>
      </w:pPr>
      <w:r>
        <w:t>OBJETIVO GENERAL</w:t>
      </w:r>
    </w:p>
    <w:p>
      <w:pPr>
        <w:spacing w:after="80" w:line="276" w:lineRule="auto"/>
      </w:pPr>
      <w:r>
        <w:t>Desarrollar un manual de documentación que explique la construcción de un conversor de unidades de múltiples magnitudes (longitud, masa y temperatura) basado en una arquitectura cliente-servidor, con patrón arquitectónico MVC, con clientes en escritorio, consola, web y móvil, y un servidor SOAP implementado en Java y alojado en Payara Server.</w:t>
      </w:r>
    </w:p>
    <w:p>
      <w:pPr>
        <w:pStyle w:val="Ttulo3"/>
        <w:spacing w:before="160" w:after="40"/>
      </w:pPr>
      <w:r>
        <w:t>OBJETIVOS ESPECÍFICOS</w:t>
      </w:r>
    </w:p>
    <w:p>
      <w:pPr>
        <w:spacing w:after="80" w:line="276" w:lineRule="auto"/>
      </w:pPr>
      <w:r>
        <w:t>Describir detalladamente el diseño e implementación del servicio SOAP utilizando la especificación JAX-WS integrada en un servidor Payara, incluyendo la generación automática del contrato WSDL.</w:t>
      </w:r>
    </w:p>
    <w:p>
      <w:pPr>
        <w:spacing w:after="80" w:line="276" w:lineRule="auto"/>
      </w:pPr>
      <w:r>
        <w:t>Proporcionar guías para el desarrollo de aplicaciones cliente en múltiples plataformas (escritorio, consola, web y móvil), detallando el proceso de consumo del servicio y comunicación con el servidor.</w:t>
      </w:r>
    </w:p>
    <w:p>
      <w:pPr>
        <w:spacing w:after="80" w:line="276" w:lineRule="auto"/>
      </w:pPr>
      <w:r>
        <w:t>Explicar los fundamentos de la arquitectura SOA y las ventajas de utilizar un servidor Payara, destacando su capacidad para gestionar la interoperabilidad, la seguridad y el intercambio de datos estructurados entre sistemas heterogéneos.</w:t>
      </w:r>
    </w:p>
    <w:p>
      <w:pPr>
        <w:pStyle w:val="Ttulo2"/>
        <w:spacing w:before="200" w:after="60"/>
      </w:pPr>
      <w:r>
        <w:t>INSTALACIÓN Y CONFIGURACIÓN DE HERRAMIENTAS</w:t>
      </w:r>
    </w:p>
    <w:p>
      <w:pPr>
        <w:spacing w:after="80" w:line="276" w:lineRule="auto"/>
      </w:pPr>
      <w:r>
        <w:t>Para dar inicio al desarrollo de la práctica, primero se deben instalar y configurar las herramientas esenciales. Para este proyectó se utilizó Windows 11.</w:t>
      </w:r>
    </w:p>
    <w:p>
      <w:pPr>
        <w:pStyle w:val="Ttulo3"/>
        <w:spacing w:before="160" w:after="40"/>
      </w:pPr>
      <w:r>
        <w:t>INSTALACIÓN Y CONFIGURACIÓN DE APACHE NETBEANS 24</w:t>
      </w:r>
    </w:p>
    <w:p>
      <w:pPr>
        <w:spacing w:after="80" w:line="276" w:lineRule="auto"/>
      </w:pPr>
      <w:r>
        <w:t>Previo a este proceso se supone la instalación y configuración de Java, en este proyecto se utilizó JDK 21 descargado desde la página oficial de Oracle https://www.oracle.com/java/technologies/javase/jdk21-archive-downloads.html y agregada a las variables de entorno. Se verifica la instalación ejecutando el siguiente comando en el símbolo del sistema o Powershell: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Java --version</w:t>
            </w:r>
          </w:p>
        </w:tc>
      </w:tr>
    </w:tbl>
    <w:p/>
    <w:p>
      <w:pPr>
        <w:spacing w:before="120" w:after="40"/>
        <w:jc w:val="center"/>
      </w:pPr>
      <w:r>
        <w:drawing>
          <wp:inline xmlns:a="http://schemas.openxmlformats.org/drawingml/2006/main" xmlns:pic="http://schemas.openxmlformats.org/drawingml/2006/picture">
            <wp:extent cx="5120640" cy="967494"/>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20640" cy="967494"/>
                    </a:xfrm>
                    <a:prstGeom prst="rect"/>
                  </pic:spPr>
                </pic:pic>
              </a:graphicData>
            </a:graphic>
          </wp:inline>
        </w:drawing>
      </w:r>
    </w:p>
    <w:p>
      <w:pPr>
        <w:spacing w:before="40" w:after="160"/>
        <w:jc w:val="center"/>
      </w:pPr>
      <w:r>
        <w:rPr>
          <w:rFonts w:ascii="Arial" w:hAnsi="Arial"/>
          <w:i/>
          <w:color w:val="5A5A5A"/>
          <w:sz w:val="18"/>
        </w:rPr>
        <w:t>Figura 3. Versión de Java JDK 17 en el símbolo del sistema</w:t>
      </w:r>
    </w:p>
    <w:p>
      <w:pPr>
        <w:spacing w:after="80" w:line="276" w:lineRule="auto"/>
      </w:pPr>
      <w:r>
        <w:t>Para la instalación de la herramienta se accede a la página oficial de descarga de Apache https://netbeans.apache.org/front/main/download/ se selecciona la opción ‘Older Releases’, ‘Apache NetBeans 24’ y la opción para el sistema operativo.</w:t>
      </w:r>
    </w:p>
    <w:p>
      <w:pPr>
        <w:spacing w:before="120" w:after="40"/>
        <w:jc w:val="center"/>
      </w:pPr>
      <w:r>
        <w:drawing>
          <wp:inline xmlns:a="http://schemas.openxmlformats.org/drawingml/2006/main" xmlns:pic="http://schemas.openxmlformats.org/drawingml/2006/picture">
            <wp:extent cx="5120640" cy="2228105"/>
            <wp:docPr id="57" name="Picture 5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20640" cy="2228105"/>
                    </a:xfrm>
                    <a:prstGeom prst="rect"/>
                  </pic:spPr>
                </pic:pic>
              </a:graphicData>
            </a:graphic>
          </wp:inline>
        </w:drawing>
      </w:r>
    </w:p>
    <w:p>
      <w:pPr>
        <w:spacing w:before="40" w:after="160"/>
        <w:jc w:val="center"/>
      </w:pPr>
      <w:r>
        <w:rPr>
          <w:rFonts w:ascii="Arial" w:hAnsi="Arial"/>
          <w:i/>
          <w:color w:val="5A5A5A"/>
          <w:sz w:val="18"/>
        </w:rPr>
        <w:t>Figura 4. Página oficial de descarga de Apache NetBeans</w:t>
      </w:r>
    </w:p>
    <w:p>
      <w:pPr>
        <w:spacing w:after="80" w:line="276" w:lineRule="auto"/>
      </w:pPr>
      <w:r>
        <w:t>Una vez seleccionada la opción para el sistema operativo, se inicia la descarga y se obtendrá el siguiente ejecutable.</w:t>
      </w:r>
    </w:p>
    <w:p>
      <w:pPr>
        <w:spacing w:before="120" w:after="40"/>
        <w:jc w:val="center"/>
      </w:pPr>
      <w:r>
        <w:drawing>
          <wp:inline xmlns:a="http://schemas.openxmlformats.org/drawingml/2006/main" xmlns:pic="http://schemas.openxmlformats.org/drawingml/2006/picture">
            <wp:extent cx="5120640" cy="5900253"/>
            <wp:docPr id="58" name="Picture 5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900253"/>
                    </a:xfrm>
                    <a:prstGeom prst="rect"/>
                  </pic:spPr>
                </pic:pic>
              </a:graphicData>
            </a:graphic>
          </wp:inline>
        </w:drawing>
      </w:r>
    </w:p>
    <w:p>
      <w:pPr>
        <w:spacing w:before="40" w:after="160"/>
        <w:jc w:val="center"/>
      </w:pPr>
      <w:r>
        <w:rPr>
          <w:rFonts w:ascii="Arial" w:hAnsi="Arial"/>
          <w:i/>
          <w:color w:val="5A5A5A"/>
          <w:sz w:val="18"/>
        </w:rPr>
        <w:t>Figura 5. Instalador Apache NetBeans 24</w:t>
      </w:r>
    </w:p>
    <w:p>
      <w:pPr>
        <w:spacing w:after="80" w:line="276" w:lineRule="auto"/>
      </w:pPr>
      <w:r>
        <w:t>Al ejecutar el instalador se muestra la siguiente pantalla, en el proceso de instalación se aceptan los términos y condiciones, se selecciona la ubicación de la descarga y se finaliza la instalación.</w:t>
      </w:r>
    </w:p>
    <w:p>
      <w:pPr>
        <w:spacing w:before="120" w:after="40"/>
        <w:jc w:val="center"/>
      </w:pPr>
      <w:r>
        <w:drawing>
          <wp:inline xmlns:a="http://schemas.openxmlformats.org/drawingml/2006/main" xmlns:pic="http://schemas.openxmlformats.org/drawingml/2006/picture">
            <wp:extent cx="5120640" cy="4295413"/>
            <wp:docPr id="59" name="Picture 5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120640" cy="4295413"/>
                    </a:xfrm>
                    <a:prstGeom prst="rect"/>
                  </pic:spPr>
                </pic:pic>
              </a:graphicData>
            </a:graphic>
          </wp:inline>
        </w:drawing>
      </w:r>
    </w:p>
    <w:p>
      <w:pPr>
        <w:spacing w:before="40" w:after="160"/>
        <w:jc w:val="center"/>
      </w:pPr>
      <w:r>
        <w:rPr>
          <w:rFonts w:ascii="Arial" w:hAnsi="Arial"/>
          <w:i/>
          <w:color w:val="5A5A5A"/>
          <w:sz w:val="18"/>
        </w:rPr>
        <w:t>Figura 6. Pantalla inicial de instalación NetBeans 24</w:t>
      </w:r>
    </w:p>
    <w:p>
      <w:pPr>
        <w:spacing w:after="80" w:line="276" w:lineRule="auto"/>
      </w:pPr>
      <w:r>
        <w:t>Una vez finalizada la descarga se ejecuta la aplicación y se iniciará Apache NetBeans 24.</w:t>
      </w:r>
    </w:p>
    <w:p>
      <w:pPr>
        <w:spacing w:before="120" w:after="40"/>
        <w:jc w:val="center"/>
      </w:pPr>
      <w:r>
        <w:drawing>
          <wp:inline xmlns:a="http://schemas.openxmlformats.org/drawingml/2006/main" xmlns:pic="http://schemas.openxmlformats.org/drawingml/2006/picture">
            <wp:extent cx="5120640" cy="2679792"/>
            <wp:docPr id="60" name="Picture 6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2679792"/>
                    </a:xfrm>
                    <a:prstGeom prst="rect"/>
                  </pic:spPr>
                </pic:pic>
              </a:graphicData>
            </a:graphic>
          </wp:inline>
        </w:drawing>
      </w:r>
    </w:p>
    <w:p>
      <w:pPr>
        <w:spacing w:before="40" w:after="160"/>
        <w:jc w:val="center"/>
      </w:pPr>
      <w:r>
        <w:rPr>
          <w:rFonts w:ascii="Arial" w:hAnsi="Arial"/>
          <w:i/>
          <w:color w:val="5A5A5A"/>
          <w:sz w:val="18"/>
        </w:rPr>
        <w:t>Figura 7. Aplicación Apache NetBeans 24</w:t>
      </w:r>
    </w:p>
    <w:p>
      <w:pPr>
        <w:pStyle w:val="Ttulo3"/>
        <w:spacing w:before="160" w:after="40"/>
      </w:pPr>
      <w:r>
        <w:t>INSTALACIÓN Y CONFIGURACIÓN DE ANDROID STUDIO</w:t>
      </w:r>
    </w:p>
    <w:p>
      <w:pPr>
        <w:spacing w:after="80" w:line="276" w:lineRule="auto"/>
      </w:pPr>
      <w:r>
        <w:t>Para la instalación de la herramienta se accede a la página oficial de descarga de Android Studio https://developer.android.com/studio se selecciona la opción de descarga, se aceptan términos y condiciones e iniciará la descarga.</w:t>
      </w:r>
    </w:p>
    <w:p>
      <w:pPr>
        <w:spacing w:before="120" w:after="40"/>
        <w:jc w:val="center"/>
      </w:pPr>
      <w:r>
        <w:drawing>
          <wp:inline xmlns:a="http://schemas.openxmlformats.org/drawingml/2006/main" xmlns:pic="http://schemas.openxmlformats.org/drawingml/2006/picture">
            <wp:extent cx="5120640" cy="2326836"/>
            <wp:docPr id="61" name="Picture 6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2326836"/>
                    </a:xfrm>
                    <a:prstGeom prst="rect"/>
                  </pic:spPr>
                </pic:pic>
              </a:graphicData>
            </a:graphic>
          </wp:inline>
        </w:drawing>
      </w:r>
    </w:p>
    <w:p>
      <w:pPr>
        <w:spacing w:before="40" w:after="160"/>
        <w:jc w:val="center"/>
      </w:pPr>
      <w:r>
        <w:rPr>
          <w:rFonts w:ascii="Arial" w:hAnsi="Arial"/>
          <w:i/>
          <w:color w:val="5A5A5A"/>
          <w:sz w:val="18"/>
        </w:rPr>
        <w:t>Figura 8. Página oficial de descarga de Android Studio</w:t>
      </w:r>
    </w:p>
    <w:p>
      <w:pPr>
        <w:spacing w:after="80" w:line="276" w:lineRule="auto"/>
      </w:pPr>
      <w:r>
        <w:t>Al finalizar la descarga se obtendrá el instalador ejecutable.</w:t>
      </w:r>
    </w:p>
    <w:p>
      <w:pPr>
        <w:spacing w:before="120" w:after="40"/>
        <w:jc w:val="center"/>
      </w:pPr>
      <w:r>
        <w:drawing>
          <wp:inline xmlns:a="http://schemas.openxmlformats.org/drawingml/2006/main" xmlns:pic="http://schemas.openxmlformats.org/drawingml/2006/picture">
            <wp:extent cx="5120640" cy="5712135"/>
            <wp:docPr id="62" name="Picture 6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5712135"/>
                    </a:xfrm>
                    <a:prstGeom prst="rect"/>
                  </pic:spPr>
                </pic:pic>
              </a:graphicData>
            </a:graphic>
          </wp:inline>
        </w:drawing>
      </w:r>
    </w:p>
    <w:p>
      <w:pPr>
        <w:spacing w:before="40" w:after="160"/>
        <w:jc w:val="center"/>
      </w:pPr>
      <w:r>
        <w:rPr>
          <w:rFonts w:ascii="Arial" w:hAnsi="Arial"/>
          <w:i/>
          <w:color w:val="5A5A5A"/>
          <w:sz w:val="18"/>
        </w:rPr>
        <w:t>Figura 9. Ejecutable Android Studio</w:t>
      </w:r>
    </w:p>
    <w:p>
      <w:pPr>
        <w:spacing w:after="80" w:line="276" w:lineRule="auto"/>
      </w:pPr>
      <w:r>
        <w:t>Al ejecutar el instalador se mostrará la siguiente pantalla:</w:t>
      </w:r>
    </w:p>
    <w:p>
      <w:pPr>
        <w:spacing w:before="120" w:after="40"/>
        <w:jc w:val="center"/>
      </w:pPr>
      <w:r>
        <w:drawing>
          <wp:inline xmlns:a="http://schemas.openxmlformats.org/drawingml/2006/main" xmlns:pic="http://schemas.openxmlformats.org/drawingml/2006/picture">
            <wp:extent cx="5120640" cy="4207355"/>
            <wp:docPr id="63" name="Picture 6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120640" cy="4207355"/>
                    </a:xfrm>
                    <a:prstGeom prst="rect"/>
                  </pic:spPr>
                </pic:pic>
              </a:graphicData>
            </a:graphic>
          </wp:inline>
        </w:drawing>
      </w:r>
    </w:p>
    <w:p>
      <w:pPr>
        <w:spacing w:before="40" w:after="160"/>
        <w:jc w:val="center"/>
      </w:pPr>
      <w:r>
        <w:rPr>
          <w:rFonts w:ascii="Arial" w:hAnsi="Arial"/>
          <w:i/>
          <w:color w:val="5A5A5A"/>
          <w:sz w:val="18"/>
        </w:rPr>
        <w:t>Figura 10. Pantalla inicial de instalación de Android Studio</w:t>
      </w:r>
    </w:p>
    <w:p>
      <w:pPr>
        <w:spacing w:after="80" w:line="276" w:lineRule="auto"/>
      </w:pPr>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pPr>
        <w:spacing w:before="120" w:after="40"/>
        <w:jc w:val="center"/>
      </w:pPr>
      <w:r>
        <w:drawing>
          <wp:inline xmlns:a="http://schemas.openxmlformats.org/drawingml/2006/main" xmlns:pic="http://schemas.openxmlformats.org/drawingml/2006/picture">
            <wp:extent cx="5120640" cy="4181944"/>
            <wp:docPr id="64" name="Picture 6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20640" cy="4181944"/>
                    </a:xfrm>
                    <a:prstGeom prst="rect"/>
                  </pic:spPr>
                </pic:pic>
              </a:graphicData>
            </a:graphic>
          </wp:inline>
        </w:drawing>
      </w:r>
    </w:p>
    <w:p>
      <w:pPr>
        <w:spacing w:before="40" w:after="160"/>
        <w:jc w:val="center"/>
      </w:pPr>
      <w:r>
        <w:rPr>
          <w:rFonts w:ascii="Arial" w:hAnsi="Arial"/>
          <w:i/>
          <w:color w:val="5A5A5A"/>
          <w:sz w:val="18"/>
        </w:rPr>
        <w:t>Figura 11. Aplicación Android Studio</w:t>
      </w:r>
    </w:p>
    <w:p>
      <w:pPr>
        <w:pStyle w:val="Ttulo2"/>
        <w:spacing w:before="200" w:after="60"/>
      </w:pPr>
      <w:r>
        <w:t>ESTRUCTURA DE PROYECTO</w:t>
      </w:r>
    </w:p>
    <w:p>
      <w:pPr>
        <w:spacing w:after="80" w:line="276" w:lineRule="auto"/>
      </w:pPr>
      <w:r>
        <w:t>Para la elaboración del proyecto, en primer lugar, es necesario crear una carpeta en la cual se alojarán los archivos necesarios para su funcionamiento.</w:t>
      </w:r>
    </w:p>
    <w:p>
      <w:pPr>
        <w:spacing w:before="120" w:after="40"/>
        <w:jc w:val="center"/>
      </w:pPr>
      <w:r>
        <w:drawing>
          <wp:inline xmlns:a="http://schemas.openxmlformats.org/drawingml/2006/main" xmlns:pic="http://schemas.openxmlformats.org/drawingml/2006/picture">
            <wp:extent cx="5120640" cy="536699"/>
            <wp:docPr id="65" name="Picture 6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536699"/>
                    </a:xfrm>
                    <a:prstGeom prst="rect"/>
                  </pic:spPr>
                </pic:pic>
              </a:graphicData>
            </a:graphic>
          </wp:inline>
        </w:drawing>
      </w:r>
    </w:p>
    <w:p>
      <w:pPr>
        <w:spacing w:before="40" w:after="160"/>
        <w:jc w:val="center"/>
      </w:pPr>
      <w:r>
        <w:rPr>
          <w:rFonts w:ascii="Arial" w:hAnsi="Arial"/>
          <w:i/>
          <w:color w:val="5A5A5A"/>
          <w:sz w:val="18"/>
        </w:rPr>
        <w:t>Figura 1. Creación de la carpeta raíz</w:t>
      </w:r>
    </w:p>
    <w:p>
      <w:pPr>
        <w:spacing w:after="80" w:line="276" w:lineRule="auto"/>
      </w:pPr>
      <w:r>
        <w:t>Dentro de la carpeta principal del proyecto, se debe ubicar la siguiente subestructura.</w:t>
      </w:r>
    </w:p>
    <w:p>
      <w:pPr>
        <w:spacing w:before="120" w:after="40"/>
        <w:jc w:val="center"/>
      </w:pPr>
      <w:r>
        <w:drawing>
          <wp:inline xmlns:a="http://schemas.openxmlformats.org/drawingml/2006/main" xmlns:pic="http://schemas.openxmlformats.org/drawingml/2006/picture">
            <wp:extent cx="5120640" cy="2604672"/>
            <wp:docPr id="66" name="Picture 6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2604672"/>
                    </a:xfrm>
                    <a:prstGeom prst="rect"/>
                  </pic:spPr>
                </pic:pic>
              </a:graphicData>
            </a:graphic>
          </wp:inline>
        </w:drawing>
      </w:r>
    </w:p>
    <w:p>
      <w:pPr>
        <w:spacing w:before="40" w:after="160"/>
        <w:jc w:val="center"/>
      </w:pPr>
      <w:r>
        <w:rPr>
          <w:rFonts w:ascii="Arial" w:hAnsi="Arial"/>
          <w:i/>
          <w:color w:val="5A5A5A"/>
          <w:sz w:val="18"/>
        </w:rPr>
        <w:t>Figura 2. Estructura inicial del proyecto</w:t>
      </w:r>
    </w:p>
    <w:p>
      <w:pPr>
        <w:spacing w:after="80" w:line="276" w:lineRule="auto"/>
      </w:pPr>
      <w:r>
        <w:t>Todo esto con la finalidad de llevar buenas prácticas y mantener organizado el proyecto.</w:t>
      </w:r>
    </w:p>
    <w:p>
      <w:pPr>
        <w:pStyle w:val="Ttulo1"/>
        <w:spacing w:before="240" w:after="80"/>
      </w:pPr>
      <w:r>
        <w:t>APLICACIONES SERVIDOR</w:t>
      </w:r>
    </w:p>
    <w:p>
      <w:pPr>
        <w:spacing w:before="60" w:after="60"/>
        <w:ind w:left="576"/>
      </w:pPr>
      <w:r>
        <w:rPr>
          <w:i/>
          <w:color w:val="505050"/>
        </w:rPr>
        <w:t>ℹ️  Despliegue Standalone y en Contenedor (Payara Server)</w:t>
      </w:r>
    </w:p>
    <w:p>
      <w:pPr>
        <w:spacing w:before="60" w:after="60"/>
        <w:ind w:left="576"/>
      </w:pPr>
      <w:r>
        <w:rPr>
          <w:i/>
          <w:color w:val="505050"/>
        </w:rPr>
        <w:t>ℹ️  El servidor SOAP se puede desplegar tanto en el servidor de aplicaciones **Payara Server 6 / GlassFish** como de manera independiente (Standalone) mediante la clase `ec.edu.monster.publisher.Publisher`, que expone los endpoints en `http://localhost:8080/ServidorSOAP/ServicioAutenticacion?wsdl` y `http://localhost:8080/ServidorSOAP/ServicioConversion?wsdl`.</w:t>
      </w:r>
    </w:p>
    <w:p>
      <w:pPr>
        <w:spacing w:after="80" w:line="276" w:lineRule="auto"/>
      </w:pPr>
      <w:r>
        <w:t>&gt;</w:t>
      </w:r>
    </w:p>
    <w:p>
      <w:pPr>
        <w:spacing w:before="60" w:after="60"/>
        <w:ind w:left="576"/>
      </w:pPr>
      <w:r>
        <w:rPr>
          <w:i/>
          <w:color w:val="505050"/>
        </w:rPr>
        <w:t>ℹ️  **Requerimientos Académicos Estrictos (TI.1.1):**</w:t>
      </w:r>
    </w:p>
    <w:p>
      <w:pPr>
        <w:spacing w:before="60" w:after="60"/>
        <w:ind w:left="576"/>
      </w:pPr>
      <w:r>
        <w:rPr>
          <w:i/>
          <w:color w:val="505050"/>
        </w:rPr>
        <w:t>ℹ️  - **SINBDD:** Autenticación obligatoria con credenciales quemadas en código: Usuario `MONSTER`, Contraseña `MONSTER9`.</w:t>
      </w:r>
    </w:p>
    <w:p>
      <w:pPr>
        <w:spacing w:before="60" w:after="60"/>
        <w:ind w:left="576"/>
      </w:pPr>
      <w:r>
        <w:rPr>
          <w:i/>
          <w:color w:val="505050"/>
        </w:rPr>
        <w:t>ℹ️  - **Catálogo de 5 unidades por magnitud:**</w:t>
      </w:r>
    </w:p>
    <w:p>
      <w:pPr>
        <w:spacing w:before="60" w:after="60"/>
        <w:ind w:left="576"/>
      </w:pPr>
      <w:r>
        <w:rPr>
          <w:i/>
          <w:color w:val="505050"/>
        </w:rPr>
        <w:t>ℹ️  - **Longitud (5):** Metro, Centímetro, Pie, Yarda, Milla.</w:t>
      </w:r>
    </w:p>
    <w:p>
      <w:pPr>
        <w:spacing w:before="60" w:after="60"/>
        <w:ind w:left="576"/>
      </w:pPr>
      <w:r>
        <w:rPr>
          <w:i/>
          <w:color w:val="505050"/>
        </w:rPr>
        <w:t>ℹ️  - **Masa (5):** Kilogramo, Gramo, Libra, Onza, Quintal.</w:t>
      </w:r>
    </w:p>
    <w:p>
      <w:pPr>
        <w:spacing w:before="60" w:after="60"/>
        <w:ind w:left="576"/>
      </w:pPr>
      <w:r>
        <w:rPr>
          <w:i/>
          <w:color w:val="505050"/>
        </w:rPr>
        <w:t>ℹ️  - **Temperatura (5):** Celsius, Fahrenheit, Kelvin, Newton, Réaumur.</w:t>
      </w:r>
    </w:p>
    <w:p>
      <w:pPr>
        <w:spacing w:before="60" w:after="60"/>
        <w:ind w:left="576"/>
      </w:pPr>
      <w:r>
        <w:rPr>
          <w:i/>
          <w:color w:val="505050"/>
        </w:rPr>
        <w:t>ℹ️  - **Formateo numérico:** Salidas a exactamente **2 decimales** (`%.2f`) con punto decimal (`.`) y validación de entrada restringida a un máximo de **16 caracteres** numéricos.</w:t>
      </w:r>
    </w:p>
    <w:p>
      <w:pPr>
        <w:pStyle w:val="Ttulo2"/>
        <w:spacing w:before="200" w:after="60"/>
      </w:pPr>
      <w:r>
        <w:t>CREACIÓN DEL PROYECTO SERVIDOR</w:t>
      </w:r>
    </w:p>
    <w:p>
      <w:pPr>
        <w:spacing w:after="80" w:line="276" w:lineRule="auto"/>
      </w:pPr>
      <w:r>
        <w:t>Se crea el proyecto en NetBeans seleccionando ‘New Project’, ‘Java with Maven’ y ‘Web Application’. Se coloca el nombre del proyecto, ubicación y grupo. Se selecciona el servidor Payara y la versión de Jakarta. Finalmente se hace clic en ‘Finish’.</w:t>
      </w:r>
    </w:p>
    <w:p>
      <w:pPr>
        <w:spacing w:before="120" w:after="40"/>
        <w:jc w:val="center"/>
      </w:pPr>
      <w:r>
        <w:drawing>
          <wp:inline xmlns:a="http://schemas.openxmlformats.org/drawingml/2006/main" xmlns:pic="http://schemas.openxmlformats.org/drawingml/2006/picture">
            <wp:extent cx="5120640" cy="3514165"/>
            <wp:docPr id="67" name="Picture 6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3514165"/>
                    </a:xfrm>
                    <a:prstGeom prst="rect"/>
                  </pic:spPr>
                </pic:pic>
              </a:graphicData>
            </a:graphic>
          </wp:inline>
        </w:drawing>
      </w:r>
    </w:p>
    <w:p>
      <w:pPr>
        <w:spacing w:before="40" w:after="160"/>
        <w:jc w:val="center"/>
      </w:pPr>
      <w:r>
        <w:rPr>
          <w:rFonts w:ascii="Arial" w:hAnsi="Arial"/>
          <w:i/>
          <w:color w:val="5A5A5A"/>
          <w:sz w:val="18"/>
        </w:rPr>
        <w:t>Figura 12. Creación del proyecto – Servidor SOAP</w:t>
      </w:r>
    </w:p>
    <w:p>
      <w:pPr>
        <w:spacing w:before="120" w:after="40"/>
        <w:jc w:val="center"/>
      </w:pPr>
      <w:r>
        <w:drawing>
          <wp:inline xmlns:a="http://schemas.openxmlformats.org/drawingml/2006/main" xmlns:pic="http://schemas.openxmlformats.org/drawingml/2006/picture">
            <wp:extent cx="5120640" cy="3502088"/>
            <wp:docPr id="68" name="Picture 6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120640" cy="3502088"/>
                    </a:xfrm>
                    <a:prstGeom prst="rect"/>
                  </pic:spPr>
                </pic:pic>
              </a:graphicData>
            </a:graphic>
          </wp:inline>
        </w:drawing>
      </w:r>
    </w:p>
    <w:p>
      <w:pPr>
        <w:spacing w:before="40" w:after="160"/>
        <w:jc w:val="center"/>
      </w:pPr>
      <w:r>
        <w:rPr>
          <w:rFonts w:ascii="Arial" w:hAnsi="Arial"/>
          <w:i/>
          <w:color w:val="5A5A5A"/>
          <w:sz w:val="18"/>
        </w:rPr>
        <w:t>Figura 13. Configuración del proyecto 1 - Servidor SOAP</w:t>
      </w:r>
    </w:p>
    <w:p>
      <w:pPr>
        <w:spacing w:before="120" w:after="40"/>
        <w:jc w:val="center"/>
      </w:pPr>
      <w:r>
        <w:drawing>
          <wp:inline xmlns:a="http://schemas.openxmlformats.org/drawingml/2006/main" xmlns:pic="http://schemas.openxmlformats.org/drawingml/2006/picture">
            <wp:extent cx="5120640" cy="3815477"/>
            <wp:docPr id="69" name="Picture 69"/>
            <wp:cNvGraphicFramePr>
              <a:graphicFrameLocks noChangeAspect="1"/>
            </wp:cNvGraphicFramePr>
            <a:graphic>
              <a:graphicData uri="http://schemas.openxmlformats.org/drawingml/2006/picture">
                <pic:pic>
                  <pic:nvPicPr>
                    <pic:cNvPr id="0" name="soap_server_pom.png"/>
                    <pic:cNvPicPr/>
                  </pic:nvPicPr>
                  <pic:blipFill>
                    <a:blip r:embed="rId68"/>
                    <a:stretch>
                      <a:fillRect/>
                    </a:stretch>
                  </pic:blipFill>
                  <pic:spPr>
                    <a:xfrm>
                      <a:off x="0" y="0"/>
                      <a:ext cx="5120640" cy="3815477"/>
                    </a:xfrm>
                    <a:prstGeom prst="rect"/>
                  </pic:spPr>
                </pic:pic>
              </a:graphicData>
            </a:graphic>
          </wp:inline>
        </w:drawing>
      </w:r>
    </w:p>
    <w:p>
      <w:pPr>
        <w:spacing w:before="40" w:after="160"/>
        <w:jc w:val="center"/>
      </w:pPr>
      <w:r>
        <w:rPr>
          <w:rFonts w:ascii="Arial" w:hAnsi="Arial"/>
          <w:i/>
          <w:color w:val="5A5A5A"/>
          <w:sz w:val="18"/>
        </w:rPr>
        <w:t>Figura 14. Configuración Maven pom.xml y dependencias del Servidor SOAP</w:t>
      </w:r>
    </w:p>
    <w:p>
      <w:pPr>
        <w:pStyle w:val="Ttulo2"/>
        <w:spacing w:before="200" w:after="60"/>
      </w:pPr>
      <w:r>
        <w:t>CODIFICACIÓN DEL PROYECTO SERVIDOR</w:t>
      </w:r>
    </w:p>
    <w:p>
      <w:pPr>
        <w:pStyle w:val="Ttulo3"/>
        <w:spacing w:before="160" w:after="40"/>
      </w:pPr>
      <w:r>
        <w:t>CREACIÓN DE PAQUETES</w:t>
      </w:r>
    </w:p>
    <w:p>
      <w:pPr>
        <w:spacing w:after="80" w:line="276" w:lineRule="auto"/>
      </w:pPr>
      <w:r>
        <w:t xml:space="preserve">Al tratarse de una arquitectura orientada a servicios (SOA) sin conexión a base de datos (SINBDD), se organiza la estructura modular dentro del paquete base </w:t>
      </w:r>
      <w:r>
        <w:rPr>
          <w:rFonts w:ascii="Consolas" w:hAnsi="Consolas"/>
          <w:color w:val="B42828"/>
          <w:sz w:val="19"/>
        </w:rPr>
        <w:t>ec.edu.monster</w:t>
      </w:r>
      <w:r>
        <w:t xml:space="preserve">. Se estructuran los paquetes: </w:t>
      </w:r>
      <w:r>
        <w:rPr>
          <w:rFonts w:ascii="Consolas" w:hAnsi="Consolas"/>
          <w:color w:val="B42828"/>
          <w:sz w:val="19"/>
        </w:rPr>
        <w:t>ec.edu.monster.model</w:t>
      </w:r>
      <w:r>
        <w:t xml:space="preserve"> (entidades de intercambio y sesión), </w:t>
      </w:r>
      <w:r>
        <w:rPr>
          <w:rFonts w:ascii="Consolas" w:hAnsi="Consolas"/>
          <w:color w:val="B42828"/>
          <w:sz w:val="19"/>
        </w:rPr>
        <w:t>ec.edu.monster.publisher</w:t>
      </w:r>
      <w:r>
        <w:t xml:space="preserve"> (publicador standalone), </w:t>
      </w:r>
      <w:r>
        <w:rPr>
          <w:rFonts w:ascii="Consolas" w:hAnsi="Consolas"/>
          <w:color w:val="B42828"/>
          <w:sz w:val="19"/>
        </w:rPr>
        <w:t>ec.edu.monster.seguridad</w:t>
      </w:r>
      <w:r>
        <w:t xml:space="preserve"> (control de tokens en memoria), </w:t>
      </w:r>
      <w:r>
        <w:rPr>
          <w:rFonts w:ascii="Consolas" w:hAnsi="Consolas"/>
          <w:color w:val="B42828"/>
          <w:sz w:val="19"/>
        </w:rPr>
        <w:t>ec.edu.monster.strategy</w:t>
      </w:r>
      <w:r>
        <w:t xml:space="preserve"> (patrón Strategy para conversiones), </w:t>
      </w:r>
      <w:r>
        <w:rPr>
          <w:rFonts w:ascii="Consolas" w:hAnsi="Consolas"/>
          <w:color w:val="B42828"/>
          <w:sz w:val="19"/>
        </w:rPr>
        <w:t>ec.edu.monster.util</w:t>
      </w:r>
      <w:r>
        <w:t xml:space="preserve"> y </w:t>
      </w:r>
      <w:r>
        <w:rPr>
          <w:rFonts w:ascii="Consolas" w:hAnsi="Consolas"/>
          <w:color w:val="B42828"/>
          <w:sz w:val="19"/>
        </w:rPr>
        <w:t>ec.edu.monster.ws</w:t>
      </w:r>
      <w:r>
        <w:t xml:space="preserve"> (endpoints JAX-WS).</w:t>
      </w:r>
    </w:p>
    <w:p>
      <w:pPr>
        <w:spacing w:before="120" w:after="40"/>
        <w:jc w:val="center"/>
      </w:pPr>
      <w:r>
        <w:drawing>
          <wp:inline xmlns:a="http://schemas.openxmlformats.org/drawingml/2006/main" xmlns:pic="http://schemas.openxmlformats.org/drawingml/2006/picture">
            <wp:extent cx="5120640" cy="2960226"/>
            <wp:docPr id="70" name="Picture 70"/>
            <wp:cNvGraphicFramePr>
              <a:graphicFrameLocks noChangeAspect="1"/>
            </wp:cNvGraphicFramePr>
            <a:graphic>
              <a:graphicData uri="http://schemas.openxmlformats.org/drawingml/2006/picture">
                <pic:pic>
                  <pic:nvPicPr>
                    <pic:cNvPr id="0" name="soap_server_paquetes.png"/>
                    <pic:cNvPicPr/>
                  </pic:nvPicPr>
                  <pic:blipFill>
                    <a:blip r:embed="rId69"/>
                    <a:stretch>
                      <a:fillRect/>
                    </a:stretch>
                  </pic:blipFill>
                  <pic:spPr>
                    <a:xfrm>
                      <a:off x="0" y="0"/>
                      <a:ext cx="5120640" cy="2960226"/>
                    </a:xfrm>
                    <a:prstGeom prst="rect"/>
                  </pic:spPr>
                </pic:pic>
              </a:graphicData>
            </a:graphic>
          </wp:inline>
        </w:drawing>
      </w:r>
    </w:p>
    <w:p>
      <w:pPr>
        <w:spacing w:before="40" w:after="160"/>
        <w:jc w:val="center"/>
      </w:pPr>
      <w:r>
        <w:rPr>
          <w:rFonts w:ascii="Arial" w:hAnsi="Arial"/>
          <w:i/>
          <w:color w:val="5A5A5A"/>
          <w:sz w:val="18"/>
        </w:rPr>
        <w:t>Figura 15. Estructura de paquetes ec.edu.monster del Servidor SOAP</w:t>
      </w:r>
    </w:p>
    <w:p>
      <w:pPr>
        <w:pStyle w:val="Ttulo3"/>
        <w:spacing w:before="160" w:after="40"/>
      </w:pPr>
      <w:r>
        <w:t>CREACIÓN DE WEBSERVICES</w:t>
      </w:r>
    </w:p>
    <w:p>
      <w:pPr>
        <w:spacing w:after="80" w:line="276" w:lineRule="auto"/>
      </w:pPr>
      <w:r>
        <w:t>Para la exposición de las funcionalidades hacia los clientes (Consola, Escritorio, Web y Móvil), se utiliza la especificación Jakarta XML Web Services (JAX-WS). En esta capa se definen los Endpoints que transforman las peticiones XML en llamadas a los servicios de lógica de negocio desacoplados bajo el patrón GoF Strategy.</w:t>
      </w:r>
    </w:p>
    <w:p>
      <w:pPr>
        <w:spacing w:after="80" w:line="276" w:lineRule="auto"/>
      </w:pPr>
      <w:r>
        <w:t xml:space="preserve">Se utilizan anotaciones de Jakarta EE como </w:t>
      </w:r>
      <w:r>
        <w:rPr>
          <w:rFonts w:ascii="Consolas" w:hAnsi="Consolas"/>
          <w:color w:val="B42828"/>
          <w:sz w:val="19"/>
        </w:rPr>
        <w:t>@WebService</w:t>
      </w:r>
      <w:r>
        <w:t xml:space="preserve"> para publicar el contrato y </w:t>
      </w:r>
      <w:r>
        <w:rPr>
          <w:rFonts w:ascii="Consolas" w:hAnsi="Consolas"/>
          <w:color w:val="B42828"/>
          <w:sz w:val="19"/>
        </w:rPr>
        <w:t>@WebMethod</w:t>
      </w:r>
      <w:r>
        <w:t xml:space="preserve"> para exponer cada función específica (</w:t>
      </w:r>
      <w:r>
        <w:rPr>
          <w:rFonts w:ascii="Consolas" w:hAnsi="Consolas"/>
          <w:color w:val="B42828"/>
          <w:sz w:val="19"/>
        </w:rPr>
        <w:t>iniciarSesion</w:t>
      </w:r>
      <w:r>
        <w:t xml:space="preserve">, </w:t>
      </w:r>
      <w:r>
        <w:rPr>
          <w:rFonts w:ascii="Consolas" w:hAnsi="Consolas"/>
          <w:color w:val="B42828"/>
          <w:sz w:val="19"/>
        </w:rPr>
        <w:t>validarToken</w:t>
      </w:r>
      <w:r>
        <w:t xml:space="preserve">, </w:t>
      </w:r>
      <w:r>
        <w:rPr>
          <w:rFonts w:ascii="Consolas" w:hAnsi="Consolas"/>
          <w:color w:val="B42828"/>
          <w:sz w:val="19"/>
        </w:rPr>
        <w:t>convertirLongitud</w:t>
      </w:r>
      <w:r>
        <w:t xml:space="preserve">, </w:t>
      </w:r>
      <w:r>
        <w:rPr>
          <w:rFonts w:ascii="Consolas" w:hAnsi="Consolas"/>
          <w:color w:val="B42828"/>
          <w:sz w:val="19"/>
        </w:rPr>
        <w:t>convertirMasa</w:t>
      </w:r>
      <w:r>
        <w:t xml:space="preserve">, </w:t>
      </w:r>
      <w:r>
        <w:rPr>
          <w:rFonts w:ascii="Consolas" w:hAnsi="Consolas"/>
          <w:color w:val="B42828"/>
          <w:sz w:val="19"/>
        </w:rPr>
        <w:t>convertirTemperatura</w:t>
      </w:r>
      <w:r>
        <w:t>). Esta estructura permite generar el archivo WSDL oficial para el consumo de los clientes heterogéneos.</w:t>
      </w:r>
    </w:p>
    <w:p>
      <w:pPr>
        <w:spacing w:before="120" w:after="40"/>
        <w:jc w:val="center"/>
      </w:pPr>
      <w:r>
        <w:drawing>
          <wp:inline xmlns:a="http://schemas.openxmlformats.org/drawingml/2006/main" xmlns:pic="http://schemas.openxmlformats.org/drawingml/2006/picture">
            <wp:extent cx="5120640" cy="4695587"/>
            <wp:docPr id="71" name="Picture 71"/>
            <wp:cNvGraphicFramePr>
              <a:graphicFrameLocks noChangeAspect="1"/>
            </wp:cNvGraphicFramePr>
            <a:graphic>
              <a:graphicData uri="http://schemas.openxmlformats.org/drawingml/2006/picture">
                <pic:pic>
                  <pic:nvPicPr>
                    <pic:cNvPr id="0" name="soap_server_endpoint.png"/>
                    <pic:cNvPicPr/>
                  </pic:nvPicPr>
                  <pic:blipFill>
                    <a:blip r:embed="rId70"/>
                    <a:stretch>
                      <a:fillRect/>
                    </a:stretch>
                  </pic:blipFill>
                  <pic:spPr>
                    <a:xfrm>
                      <a:off x="0" y="0"/>
                      <a:ext cx="5120640" cy="4695587"/>
                    </a:xfrm>
                    <a:prstGeom prst="rect"/>
                  </pic:spPr>
                </pic:pic>
              </a:graphicData>
            </a:graphic>
          </wp:inline>
        </w:drawing>
      </w:r>
    </w:p>
    <w:p>
      <w:pPr>
        <w:spacing w:before="40" w:after="160"/>
        <w:jc w:val="center"/>
      </w:pPr>
      <w:r>
        <w:rPr>
          <w:rFonts w:ascii="Arial" w:hAnsi="Arial"/>
          <w:i/>
          <w:color w:val="5A5A5A"/>
          <w:sz w:val="18"/>
        </w:rPr>
        <w:t>Figura 16. Implementación del Endpoint ConversionWebService con JAX-WS</w:t>
      </w:r>
    </w:p>
    <w:p>
      <w:pPr>
        <w:spacing w:after="80" w:line="276" w:lineRule="auto"/>
      </w:pPr>
      <w:r>
        <w:t>Tabla 1. Clase WSLogin</w:t>
      </w:r>
    </w:p>
    <w:p>
      <w:pPr>
        <w:spacing w:after="80" w:line="276" w:lineRule="auto"/>
      </w:pPr>
      <w:r>
        <w:t>package ec.edu.monster.WebServices;</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import java.util.UUID;</w:t>
      </w:r>
    </w:p>
    <w:p>
      <w:pPr>
        <w:spacing w:after="80" w:line="276" w:lineRule="auto"/>
      </w:pPr>
      <w:r>
        <w:t>import java.util.HashMap;</w:t>
      </w:r>
    </w:p>
    <w:p>
      <w:pPr>
        <w:spacing w:after="80" w:line="276" w:lineRule="auto"/>
      </w:pPr>
      <w:r>
        <w:t>import java.util.Map;</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"WSLogin")</w:t>
      </w:r>
    </w:p>
    <w:p>
      <w:pPr>
        <w:spacing w:after="80" w:line="276" w:lineRule="auto"/>
      </w:pPr>
      <w:r>
        <w:t>public class WSLogin {</w:t>
      </w:r>
    </w:p>
    <w:p>
      <w:pPr>
        <w:spacing w:after="80" w:line="276" w:lineRule="auto"/>
      </w:pPr>
      <w:r>
        <w:t>// Guarda los tokens validos</w:t>
      </w:r>
    </w:p>
    <w:p>
      <w:pPr>
        <w:spacing w:after="80" w:line="276" w:lineRule="auto"/>
      </w:pPr>
      <w:r>
        <w:t>public static Map&lt;String, Boolean&gt; tokensValidos = new HashMap&lt;&gt;();</w:t>
      </w:r>
    </w:p>
    <w:p>
      <w:pPr>
        <w:spacing w:after="80" w:line="276" w:lineRule="auto"/>
      </w:pPr>
      <w:r>
        <w:t>@WebMethod(operationName = "login")</w:t>
      </w:r>
    </w:p>
    <w:p>
      <w:pPr>
        <w:spacing w:after="80" w:line="276" w:lineRule="auto"/>
      </w:pPr>
      <w:r>
        <w:t>public String login(@WebParam(name = "usuario") String usuario, @WebParam(name = "clave") String clave) {</w:t>
      </w:r>
    </w:p>
    <w:p>
      <w:pPr>
        <w:spacing w:after="80" w:line="276" w:lineRule="auto"/>
      </w:pPr>
      <w:r>
        <w:t>if ("MONSTER".equals(usuario) &amp;&amp; "MONSTER9".equals(clave)) {</w:t>
      </w:r>
    </w:p>
    <w:p>
      <w:pPr>
        <w:spacing w:after="80" w:line="276" w:lineRule="auto"/>
      </w:pPr>
      <w:r>
        <w:t>String token = UUID.randomUUID().toString(); //generar token</w:t>
      </w:r>
    </w:p>
    <w:p>
      <w:pPr>
        <w:spacing w:after="80" w:line="276" w:lineRule="auto"/>
      </w:pPr>
      <w:r>
        <w:t>tokensValidos.put(token, true); //guardar token valido</w:t>
      </w:r>
    </w:p>
    <w:p>
      <w:pPr>
        <w:spacing w:after="80" w:line="276" w:lineRule="auto"/>
      </w:pPr>
      <w:r>
        <w:t>return token;</w:t>
      </w:r>
    </w:p>
    <w:p>
      <w:pPr>
        <w:spacing w:after="80" w:line="276" w:lineRule="auto"/>
      </w:pPr>
      <w:r>
        <w:t>}</w:t>
      </w:r>
    </w:p>
    <w:p>
      <w:pPr>
        <w:spacing w:after="80" w:line="276" w:lineRule="auto"/>
      </w:pPr>
      <w:r>
        <w:t>return "ERROR: Credenciales inválidas";</w:t>
      </w:r>
    </w:p>
    <w:p>
      <w:pPr>
        <w:spacing w:after="80" w:line="276" w:lineRule="auto"/>
      </w:pPr>
      <w:r>
        <w:t>}</w:t>
      </w:r>
    </w:p>
    <w:p>
      <w:pPr>
        <w:spacing w:after="80" w:line="276" w:lineRule="auto"/>
      </w:pPr>
      <w:r>
        <w:t>}</w:t>
      </w:r>
    </w:p>
    <w:p>
      <w:pPr>
        <w:spacing w:after="80" w:line="276" w:lineRule="auto"/>
      </w:pPr>
      <w:r>
        <w:t>Tabla 2. Clase WSLongitud</w:t>
      </w:r>
    </w:p>
    <w:p>
      <w:pPr>
        <w:spacing w:after="80" w:line="276" w:lineRule="auto"/>
      </w:pPr>
      <w:r>
        <w:t>package ec.edu.monster.WebServices;</w:t>
      </w:r>
    </w:p>
    <w:p>
      <w:pPr>
        <w:spacing w:after="80" w:line="276" w:lineRule="auto"/>
      </w:pPr>
      <w:r>
        <w:t>import ec.edu.monster.servicios.ConversorLongitud; // Importas tu lógica movida</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"WSLongitud")</w:t>
      </w:r>
    </w:p>
    <w:p>
      <w:pPr>
        <w:spacing w:after="80" w:line="276" w:lineRule="auto"/>
      </w:pPr>
      <w:r>
        <w:t>public class WSLongitud {</w:t>
      </w:r>
    </w:p>
    <w:p>
      <w:pPr>
        <w:spacing w:after="80" w:line="276" w:lineRule="auto"/>
      </w:pPr>
      <w:r>
        <w:t>ConversorLongitud servicio = new ConversorLongitud();</w:t>
      </w:r>
    </w:p>
    <w:p>
      <w:pPr>
        <w:spacing w:after="80" w:line="276" w:lineRule="auto"/>
      </w:pPr>
      <w:r>
        <w:t>@WebMethod(operationName = "convertirLongitud")</w:t>
      </w:r>
    </w:p>
    <w:p>
      <w:pPr>
        <w:spacing w:after="80" w:line="276" w:lineRule="auto"/>
      </w:pPr>
      <w:r>
        <w:t>public double convertirLongitud(</w:t>
      </w:r>
    </w:p>
    <w:p>
      <w:pPr>
        <w:spacing w:after="80" w:line="276" w:lineRule="auto"/>
      </w:pPr>
      <w:r>
        <w:t>@WebParam(name = "valor") double valor,</w:t>
      </w:r>
    </w:p>
    <w:p>
      <w:pPr>
        <w:spacing w:after="80" w:line="276" w:lineRule="auto"/>
      </w:pPr>
      <w:r>
        <w:t>@WebParam(name = "unidadOrigen") String unidadOrigen,</w:t>
      </w:r>
    </w:p>
    <w:p>
      <w:pPr>
        <w:spacing w:after="80" w:line="276" w:lineRule="auto"/>
      </w:pPr>
      <w:r>
        <w:t>@WebParam(name = "unidadDestino") String unidadDestino,</w:t>
      </w:r>
    </w:p>
    <w:p>
      <w:pPr>
        <w:spacing w:after="80" w:line="276" w:lineRule="auto"/>
      </w:pPr>
      <w:r>
        <w:t>@WebParam(name = "token") String token) {</w:t>
      </w:r>
    </w:p>
    <w:p>
      <w:pPr>
        <w:spacing w:after="80" w:line="276" w:lineRule="auto"/>
      </w:pPr>
      <w:r>
        <w:t>// Validación de seguridad obligatoria</w:t>
      </w:r>
    </w:p>
    <w:p>
      <w:pPr>
        <w:spacing w:after="80" w:line="276" w:lineRule="auto"/>
      </w:pPr>
      <w:r>
        <w:t>if (WSLogin.tokensValidos.containsKey(token)) {</w:t>
      </w:r>
    </w:p>
    <w:p>
      <w:pPr>
        <w:spacing w:after="80" w:line="276" w:lineRule="auto"/>
      </w:pPr>
      <w:r>
        <w:t>return servicio.convertirLongitud(valor, unidadOrigen, unidadDestino);</w:t>
      </w:r>
    </w:p>
    <w:p>
      <w:pPr>
        <w:spacing w:after="80" w:line="276" w:lineRule="auto"/>
      </w:pPr>
      <w:r>
        <w:t>} else {</w:t>
      </w:r>
    </w:p>
    <w:p>
      <w:pPr>
        <w:spacing w:after="80" w:line="276" w:lineRule="auto"/>
      </w:pPr>
      <w:r>
        <w:t>return -999999.401;</w:t>
      </w:r>
    </w:p>
    <w:p>
      <w:pPr>
        <w:spacing w:after="80" w:line="276" w:lineRule="auto"/>
      </w:pPr>
      <w:r>
        <w:t>}</w:t>
      </w:r>
    </w:p>
    <w:p>
      <w:pPr>
        <w:spacing w:after="80" w:line="276" w:lineRule="auto"/>
      </w:pPr>
      <w:r>
        <w:t>}</w:t>
      </w:r>
    </w:p>
    <w:p>
      <w:pPr>
        <w:spacing w:after="80" w:line="276" w:lineRule="auto"/>
      </w:pPr>
      <w:r>
        <w:t>}</w:t>
      </w:r>
    </w:p>
    <w:p>
      <w:pPr>
        <w:spacing w:after="80" w:line="276" w:lineRule="auto"/>
      </w:pPr>
      <w:r>
        <w:t>Tabla 3. Clase WSMasa</w:t>
      </w:r>
    </w:p>
    <w:p>
      <w:pPr>
        <w:spacing w:after="80" w:line="276" w:lineRule="auto"/>
      </w:pPr>
      <w:r>
        <w:t>package ec.edu.monster.WebServices;</w:t>
      </w:r>
    </w:p>
    <w:p>
      <w:pPr>
        <w:spacing w:after="80" w:line="276" w:lineRule="auto"/>
      </w:pPr>
      <w:r>
        <w:t>import ec.edu.monster.servicios.ConversorMasa;</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"WSMasa")</w:t>
      </w:r>
    </w:p>
    <w:p>
      <w:pPr>
        <w:spacing w:after="80" w:line="276" w:lineRule="auto"/>
      </w:pPr>
      <w:r>
        <w:t>public class WSMasa {</w:t>
      </w:r>
    </w:p>
    <w:p>
      <w:pPr>
        <w:spacing w:after="80" w:line="276" w:lineRule="auto"/>
      </w:pPr>
      <w:r>
        <w:t>ConversorMasa servicio = new ConversorMasa();</w:t>
      </w:r>
    </w:p>
    <w:p>
      <w:pPr>
        <w:spacing w:after="80" w:line="276" w:lineRule="auto"/>
      </w:pPr>
      <w:r>
        <w:t>@WebMethod(operationName = "convertirMasa")</w:t>
      </w:r>
    </w:p>
    <w:p>
      <w:pPr>
        <w:spacing w:after="80" w:line="276" w:lineRule="auto"/>
      </w:pPr>
      <w:r>
        <w:t>public double convertirMasa(</w:t>
      </w:r>
    </w:p>
    <w:p>
      <w:pPr>
        <w:spacing w:after="80" w:line="276" w:lineRule="auto"/>
      </w:pPr>
      <w:r>
        <w:t>@WebParam(name = "valor") double valor,</w:t>
      </w:r>
    </w:p>
    <w:p>
      <w:pPr>
        <w:spacing w:after="80" w:line="276" w:lineRule="auto"/>
      </w:pPr>
      <w:r>
        <w:t>@WebParam(name = "unidadOrigen") String unidadOrigen,</w:t>
      </w:r>
    </w:p>
    <w:p>
      <w:pPr>
        <w:spacing w:after="80" w:line="276" w:lineRule="auto"/>
      </w:pPr>
      <w:r>
        <w:t>@WebParam(name = "unidadDestino") String unidadDestino,</w:t>
      </w:r>
    </w:p>
    <w:p>
      <w:pPr>
        <w:spacing w:after="80" w:line="276" w:lineRule="auto"/>
      </w:pPr>
      <w:r>
        <w:t>@WebParam(name = "token") String token) {</w:t>
      </w:r>
    </w:p>
    <w:p>
      <w:pPr>
        <w:spacing w:after="80" w:line="276" w:lineRule="auto"/>
      </w:pPr>
      <w:r>
        <w:t>if (WSLogin.tokensValidos.containsKey(token)) {</w:t>
      </w:r>
    </w:p>
    <w:p>
      <w:pPr>
        <w:spacing w:after="80" w:line="276" w:lineRule="auto"/>
      </w:pPr>
      <w:r>
        <w:t>return servicio.convertirMasa(valor, unidadOrigen, unidadDestino);</w:t>
      </w:r>
    </w:p>
    <w:p>
      <w:pPr>
        <w:spacing w:after="80" w:line="276" w:lineRule="auto"/>
      </w:pPr>
      <w:r>
        <w:t>} else {</w:t>
      </w:r>
    </w:p>
    <w:p>
      <w:pPr>
        <w:spacing w:after="80" w:line="276" w:lineRule="auto"/>
      </w:pPr>
      <w:r>
        <w:t>return -9999999.401;</w:t>
      </w:r>
    </w:p>
    <w:p>
      <w:pPr>
        <w:spacing w:after="80" w:line="276" w:lineRule="auto"/>
      </w:pPr>
      <w:r>
        <w:t>}</w:t>
      </w:r>
    </w:p>
    <w:p>
      <w:pPr>
        <w:spacing w:after="80" w:line="276" w:lineRule="auto"/>
      </w:pPr>
      <w:r>
        <w:t>}</w:t>
      </w:r>
    </w:p>
    <w:p>
      <w:pPr>
        <w:spacing w:after="80" w:line="276" w:lineRule="auto"/>
      </w:pPr>
      <w:r>
        <w:t>}</w:t>
      </w:r>
    </w:p>
    <w:p>
      <w:pPr>
        <w:spacing w:after="80" w:line="276" w:lineRule="auto"/>
      </w:pPr>
      <w:r>
        <w:t>Tabla 4. Clase WSTemperatura</w:t>
      </w:r>
    </w:p>
    <w:p>
      <w:pPr>
        <w:spacing w:after="80" w:line="276" w:lineRule="auto"/>
      </w:pPr>
      <w:r>
        <w:t>package ec.edu.monster.WebServices;</w:t>
      </w:r>
    </w:p>
    <w:p>
      <w:pPr>
        <w:spacing w:after="80" w:line="276" w:lineRule="auto"/>
      </w:pPr>
      <w:r>
        <w:t>import ec.edu.monster.servicios.ConversorTemperatura;</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"WSTemperatura")</w:t>
      </w:r>
    </w:p>
    <w:p>
      <w:pPr>
        <w:spacing w:after="80" w:line="276" w:lineRule="auto"/>
      </w:pPr>
      <w:r>
        <w:t>public class WSTemperatura {</w:t>
      </w:r>
    </w:p>
    <w:p>
      <w:pPr>
        <w:spacing w:after="80" w:line="276" w:lineRule="auto"/>
      </w:pPr>
      <w:r>
        <w:t>ConversorTemperatura servicio = new ConversorTemperatura();</w:t>
      </w:r>
    </w:p>
    <w:p>
      <w:pPr>
        <w:spacing w:after="80" w:line="276" w:lineRule="auto"/>
      </w:pPr>
      <w:r>
        <w:t>@WebMethod(operationName = "convertirTemperatura")</w:t>
      </w:r>
    </w:p>
    <w:p>
      <w:pPr>
        <w:spacing w:after="80" w:line="276" w:lineRule="auto"/>
      </w:pPr>
      <w:r>
        <w:t>public double convertirTemperatura(</w:t>
      </w:r>
    </w:p>
    <w:p>
      <w:pPr>
        <w:spacing w:after="80" w:line="276" w:lineRule="auto"/>
      </w:pPr>
      <w:r>
        <w:t>@WebParam(name = "valor") double valor,</w:t>
      </w:r>
    </w:p>
    <w:p>
      <w:pPr>
        <w:spacing w:after="80" w:line="276" w:lineRule="auto"/>
      </w:pPr>
      <w:r>
        <w:t>@WebParam(name = "opcionOrigen") String opcionOrigen,</w:t>
      </w:r>
    </w:p>
    <w:p>
      <w:pPr>
        <w:spacing w:after="80" w:line="276" w:lineRule="auto"/>
      </w:pPr>
      <w:r>
        <w:t>@WebParam(name = "opcionDestino") String opcionDestino,</w:t>
      </w:r>
    </w:p>
    <w:p>
      <w:pPr>
        <w:spacing w:after="80" w:line="276" w:lineRule="auto"/>
      </w:pPr>
      <w:r>
        <w:t>@WebParam(name = "token") String token) {</w:t>
      </w:r>
    </w:p>
    <w:p>
      <w:pPr>
        <w:spacing w:after="80" w:line="276" w:lineRule="auto"/>
      </w:pPr>
      <w:r>
        <w:t>if (WSLogin.tokensValidos.containsKey(token)) {</w:t>
      </w:r>
    </w:p>
    <w:p>
      <w:pPr>
        <w:spacing w:after="80" w:line="276" w:lineRule="auto"/>
      </w:pPr>
      <w:r>
        <w:t>return servicio.convertirTemperatura(valor, opcionOrigen, opcionDestino);</w:t>
      </w:r>
    </w:p>
    <w:p>
      <w:pPr>
        <w:spacing w:after="80" w:line="276" w:lineRule="auto"/>
      </w:pPr>
      <w:r>
        <w:t>} else {</w:t>
      </w:r>
    </w:p>
    <w:p>
      <w:pPr>
        <w:spacing w:after="80" w:line="276" w:lineRule="auto"/>
      </w:pPr>
      <w:r>
        <w:t>return -9999999.401;</w:t>
      </w:r>
    </w:p>
    <w:p>
      <w:pPr>
        <w:spacing w:after="80" w:line="276" w:lineRule="auto"/>
      </w:pPr>
      <w:r>
        <w:t>}</w:t>
      </w:r>
    </w:p>
    <w:p>
      <w:pPr>
        <w:spacing w:after="80" w:line="276" w:lineRule="auto"/>
      </w:pPr>
      <w:r>
        <w:t>}</w:t>
      </w:r>
    </w:p>
    <w:p>
      <w:pPr>
        <w:spacing w:after="80" w:line="276" w:lineRule="auto"/>
      </w:pPr>
      <w:r>
        <w:t>}</w:t>
      </w:r>
    </w:p>
    <w:p>
      <w:pPr>
        <w:pStyle w:val="Ttulo3"/>
        <w:spacing w:before="160" w:after="40"/>
      </w:pPr>
      <w:r>
        <w:t>CREACIÓN DE SERVICIO</w:t>
      </w:r>
    </w:p>
    <w:p>
      <w:pPr>
        <w:spacing w:after="80" w:line="276" w:lineRule="auto"/>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pPr>
        <w:spacing w:after="80" w:line="276" w:lineRule="auto"/>
      </w:pPr>
      <w:r>
        <w:t>Servicio de Seguridad: Encargado de la validación de credenciales "hardcoded" y la generación/verificación de tokens de sesión para proteger los puntos de entrada del servidor.</w:t>
      </w:r>
    </w:p>
    <w:p>
      <w:pPr>
        <w:spacing w:after="80" w:line="276" w:lineRule="auto"/>
      </w:pPr>
      <w:r>
        <w:t>Servicio de Conversiones: Contiene los algoritmos y factores de conversión para las magnitudes de longitud, masa y temperatura. Está diseñado para ser escalable, permitiendo añadir nuevas unidades sin afectar la estructura principal.</w:t>
      </w:r>
    </w:p>
    <w:p>
      <w:pPr>
        <w:spacing w:before="120" w:after="40"/>
        <w:jc w:val="center"/>
      </w:pPr>
      <w:r>
        <w:drawing>
          <wp:inline xmlns:a="http://schemas.openxmlformats.org/drawingml/2006/main" xmlns:pic="http://schemas.openxmlformats.org/drawingml/2006/picture">
            <wp:extent cx="5120640" cy="1611236"/>
            <wp:docPr id="72" name="Picture 7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120640" cy="1611236"/>
                    </a:xfrm>
                    <a:prstGeom prst="rect"/>
                  </pic:spPr>
                </pic:pic>
              </a:graphicData>
            </a:graphic>
          </wp:inline>
        </w:drawing>
      </w:r>
    </w:p>
    <w:p>
      <w:pPr>
        <w:spacing w:before="40" w:after="160"/>
        <w:jc w:val="center"/>
      </w:pPr>
      <w:r>
        <w:rPr>
          <w:rFonts w:ascii="Arial" w:hAnsi="Arial"/>
          <w:i/>
          <w:color w:val="5A5A5A"/>
          <w:sz w:val="18"/>
        </w:rPr>
        <w:t>Figura 17. Estructura de paquetes - servicios</w:t>
      </w:r>
    </w:p>
    <w:p>
      <w:pPr>
        <w:spacing w:after="80" w:line="276" w:lineRule="auto"/>
      </w:pPr>
      <w:r>
        <w:t>Tabla 5. Clase ConversorLongitud</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ec.edu.monster.servicios;/** * * @author Julio Enrique Viche Castillo - GR09 - NRC 36884 */public class ConversorLongitud { public double convertirLongitud(double valor, String unidadOrigen, String unidadDestino) { double valorEnMetros = 0.0; String origen = unidadOrigen.toLowerCase().trim(); String destino = unidadDestino.toLowerCase().trim(); try { //Lleva cualquier unidad a metros switch (origen) { case "centimetros": valorEnMetros = valor / 100.0; break; case "metros": valorEnMetros = valor; break; case "pies": valorEnMetros = valor * 0.3048; break; case "yardas": valorEnMetros = valor * 0.9144; break; case "millas": valorEnMetros = valor * 1609.34; break; default: return -999999.404; } //Lleva de metros a la unidad de destino switch (destino) { case "centimetros": return valorEnMetros * 100.0; case "metros": return valorEnMetros; case "pies": return valorEnMetros / 0.3048; case "yardas": return valorEnMetros / 0.9144; case "millas": return valorEnMetros / 1609.34; default: return -999999.404; } } catch (Exception e) { return -999999.500; //error de calculo } }}</w:t>
            </w:r>
          </w:p>
        </w:tc>
      </w:tr>
    </w:tbl>
    <w:p/>
    <w:p>
      <w:pPr>
        <w:spacing w:after="80" w:line="276" w:lineRule="auto"/>
      </w:pPr>
      <w:r>
        <w:t>Tabla 6. Clase ConversorMasa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ec.edu.monster.servicios;/** * * @author Julio Enrique Viche Castillo - GR09 - NRC 36884 */public class ConversorMasa { public double convertirMasa(double valor, String unidadOrigen, String unidadDestino) { double valorEnKilos = 0.0; String origen = unidadOrigen.toLowerCase(); String destino = unidadDestino.toLowerCase(); try { //Lleva cualquier unidad a kg switch (origen) { case "gramos": valorEnKilos = valor / 1000.0; break; case "kilogramos": valorEnKilos = valor; break; case "onzas": valorEnKilos = valor * 0.0283495; break; case "libras": valorEnKilos = valor * 0.453592; break; case "quintales": valorEnKilos = (valor * 100.0) * 0.453592; break; default: return -999999.404; //codigo de error para unidad no existente } //De kg a la unidad destino switch (destino) { case "gramos": return valorEnKilos * 1000.0; case "kilogramos": return valorEnKilos; case "onzas": return valorEnKilos / 0.0283495; case "libras": return valorEnKilos / 0.453592; case "quintales": return (valorEnKilos / 0.453592) / 100.0; default: return -999999.404; //codigo de error de unidad no existente } } catch (Exception e) { return -999999.500; //error de calculo } }}</w:t>
            </w:r>
          </w:p>
        </w:tc>
      </w:tr>
    </w:tbl>
    <w:p/>
    <w:p>
      <w:pPr>
        <w:spacing w:after="80" w:line="276" w:lineRule="auto"/>
      </w:pPr>
      <w:r>
        <w:t>Tabla 7. Clase ConversorTemperatura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ec.edu.monster.servicios;/** * * @author Julio Enrique Viche Castillo - GR09 - NRC 36884 */public class ConversorTemperatura { public double convertirTemperatura(double valor, String opcionOrigen, String opcionDestino) { double valorEnCelsius = 0.0; String origen = opcionOrigen.toLowerCase(); String destino = opcionDestino.toLowerCase(); try { //Lleva cualquier temperatura a celsius switch (origen) { case "fahrenheit": valorEnCelsius = (valor - 32) * 5.0 / 9.0; break; case "kelvin": valorEnCelsius = valor - 273.15; break; case "celsius": valorEnCelsius = valor; break; case "newton": valorEnCelsius = valor * 100.0 / 33.0; break; case "reaumur": valorEnCelsius = valor * 5.0 / 4.0; break; default: return -999999.404; } //Lleva de celsius a la unidad de destino switch (destino) { case "fahrenheit": return (valorEnCelsius * 9.0 / 5.0) + 32; case "kelvin": return valorEnCelsius + 273.15; case "celsius": return valorEnCelsius; case "newton": return valorEnCelsius * 33.0 / 100.0; case "reaumur": return valorEnCelsius * 4.0 / 5.0; default: return -999999.404; } }catch (Exception e) { return -999999.500; //error de calculo } }}</w:t>
            </w:r>
          </w:p>
        </w:tc>
      </w:tr>
    </w:tbl>
    <w:p/>
    <w:p>
      <w:pPr>
        <w:pStyle w:val="Ttulo2"/>
        <w:spacing w:before="200" w:after="60"/>
      </w:pPr>
      <w:r>
        <w:t>PUBLICACIÓN Y DESPLIEGUE EN PAYARA SERVER</w:t>
      </w:r>
    </w:p>
    <w:p>
      <w:pPr>
        <w:spacing w:after="80" w:line="276" w:lineRule="auto"/>
      </w:pPr>
      <w:r>
        <w:t>El servidor web SOAP se empaqueta como un archivo WAR (</w:t>
      </w:r>
      <w:r>
        <w:rPr>
          <w:rFonts w:ascii="Consolas" w:hAnsi="Consolas"/>
          <w:color w:val="B42828"/>
          <w:sz w:val="19"/>
        </w:rPr>
        <w:t>ServidorSOAP.war</w:t>
      </w:r>
      <w:r>
        <w:t xml:space="preserve">) y se despliega directamente sobre el servidor de aplicaciones empresarial </w:t>
      </w:r>
      <w:r>
        <w:rPr>
          <w:b/>
        </w:rPr>
        <w:t>Payara Server</w:t>
      </w:r>
      <w:r>
        <w:t xml:space="preserve">. Al iniciarse el dominio de Payara, el motor de Web Services de GlassFish/Metro analiza automáticamente las anotaciones </w:t>
      </w:r>
      <w:r>
        <w:rPr>
          <w:rFonts w:ascii="Consolas" w:hAnsi="Consolas"/>
          <w:color w:val="B42828"/>
          <w:sz w:val="19"/>
        </w:rPr>
        <w:t>@WebService</w:t>
      </w:r>
      <w:r>
        <w:t xml:space="preserve"> en </w:t>
      </w:r>
      <w:r>
        <w:rPr>
          <w:rFonts w:ascii="Consolas" w:hAnsi="Consolas"/>
          <w:color w:val="B42828"/>
          <w:sz w:val="19"/>
        </w:rPr>
        <w:t>AuthWebService</w:t>
      </w:r>
      <w:r>
        <w:t xml:space="preserve"> y </w:t>
      </w:r>
      <w:r>
        <w:rPr>
          <w:rFonts w:ascii="Consolas" w:hAnsi="Consolas"/>
          <w:color w:val="B42828"/>
          <w:sz w:val="19"/>
        </w:rPr>
        <w:t>ConversionWebService</w:t>
      </w:r>
      <w:r>
        <w:t xml:space="preserve">, publicando los endpoints en el puerto estándar </w:t>
      </w:r>
      <w:r>
        <w:rPr>
          <w:rFonts w:ascii="Consolas" w:hAnsi="Consolas"/>
          <w:color w:val="B42828"/>
          <w:sz w:val="19"/>
        </w:rPr>
        <w:t>8080</w:t>
      </w:r>
      <w:r>
        <w:t xml:space="preserve"> bajo la raíz de contexto </w:t>
      </w:r>
      <w:r>
        <w:rPr>
          <w:rFonts w:ascii="Consolas" w:hAnsi="Consolas"/>
          <w:color w:val="B42828"/>
          <w:sz w:val="19"/>
        </w:rPr>
        <w:t>/ServidorSOAP</w:t>
      </w:r>
      <w:r>
        <w:t>.</w:t>
      </w:r>
    </w:p>
    <w:p>
      <w:pPr>
        <w:spacing w:before="120" w:after="40"/>
        <w:jc w:val="center"/>
      </w:pPr>
      <w:r>
        <w:drawing>
          <wp:inline xmlns:a="http://schemas.openxmlformats.org/drawingml/2006/main" xmlns:pic="http://schemas.openxmlformats.org/drawingml/2006/picture">
            <wp:extent cx="5120640" cy="2356299"/>
            <wp:docPr id="73" name="Picture 73"/>
            <wp:cNvGraphicFramePr>
              <a:graphicFrameLocks noChangeAspect="1"/>
            </wp:cNvGraphicFramePr>
            <a:graphic>
              <a:graphicData uri="http://schemas.openxmlformats.org/drawingml/2006/picture">
                <pic:pic>
                  <pic:nvPicPr>
                    <pic:cNvPr id="0" name="soap_server_publisher_exec.png"/>
                    <pic:cNvPicPr/>
                  </pic:nvPicPr>
                  <pic:blipFill>
                    <a:blip r:embed="rId71"/>
                    <a:stretch>
                      <a:fillRect/>
                    </a:stretch>
                  </pic:blipFill>
                  <pic:spPr>
                    <a:xfrm>
                      <a:off x="0" y="0"/>
                      <a:ext cx="5120640" cy="2356299"/>
                    </a:xfrm>
                    <a:prstGeom prst="rect"/>
                  </pic:spPr>
                </pic:pic>
              </a:graphicData>
            </a:graphic>
          </wp:inline>
        </w:drawing>
      </w:r>
    </w:p>
    <w:p>
      <w:pPr>
        <w:spacing w:before="40" w:after="160"/>
        <w:jc w:val="center"/>
      </w:pPr>
      <w:r>
        <w:rPr>
          <w:rFonts w:ascii="Arial" w:hAnsi="Arial"/>
          <w:i/>
          <w:color w:val="5A5A5A"/>
          <w:sz w:val="18"/>
        </w:rPr>
        <w:t>Figura 17. Salida en consola de despliegue con los endpoints activos en el puerto 8080 de Payara Server</w:t>
      </w:r>
    </w:p>
    <w:p>
      <w:pPr>
        <w:pStyle w:val="Ttulo2"/>
        <w:spacing w:before="200" w:after="60"/>
      </w:pPr>
      <w:r>
        <w:t>PRUEBAS DE LOS SERVICIOS</w:t>
      </w:r>
    </w:p>
    <w:p>
      <w:pPr>
        <w:spacing w:after="80" w:line="276" w:lineRule="auto"/>
      </w:pPr>
      <w:r>
        <w:t>Al trabajar con una arquitectura basada en SOAP, la validación de que el servidor está en línea y operando correctamente se realiza verificando la generación del archivo WSDL (Web Services Description Language). Este documento en formato XML actúa como el contrato formal de comunicación que los clientes deberán consumir.</w:t>
      </w:r>
    </w:p>
    <w:p>
      <w:pPr>
        <w:spacing w:after="80" w:line="276" w:lineRule="auto"/>
      </w:pPr>
      <w:r>
        <w:t>El sistema expone dos servicios web principales fuertemente tipados utilizando la especificación JAX-WS:</w:t>
      </w:r>
    </w:p>
    <w:p>
      <w:pPr>
        <w:spacing w:after="80" w:line="276" w:lineRule="auto"/>
      </w:pPr>
      <w:r>
        <w:t xml:space="preserve">1. </w:t>
      </w:r>
      <w:r>
        <w:rPr>
          <w:b/>
        </w:rPr>
        <w:t>ServicioAutenticacion:</w:t>
      </w:r>
      <w:r>
        <w:t xml:space="preserve"> Punto de entrada para el módulo de seguridad SINBDD. Valida las credenciales maestras fijas (</w:t>
      </w:r>
      <w:r>
        <w:rPr>
          <w:rFonts w:ascii="Consolas" w:hAnsi="Consolas"/>
          <w:color w:val="B42828"/>
          <w:sz w:val="19"/>
        </w:rPr>
        <w:t>MONSTER</w:t>
      </w:r>
      <w:r>
        <w:t xml:space="preserve"> / </w:t>
      </w:r>
      <w:r>
        <w:rPr>
          <w:rFonts w:ascii="Consolas" w:hAnsi="Consolas"/>
          <w:color w:val="B42828"/>
          <w:sz w:val="19"/>
        </w:rPr>
        <w:t>MONSTER9</w:t>
      </w:r>
      <w:r>
        <w:t>) y emite tokens UUID en memoria RAM.</w:t>
      </w:r>
    </w:p>
    <w:p>
      <w:pPr>
        <w:spacing w:after="80" w:line="276" w:lineRule="auto"/>
      </w:pPr>
      <w:r>
        <w:t xml:space="preserve">2. </w:t>
      </w:r>
      <w:r>
        <w:rPr>
          <w:b/>
        </w:rPr>
        <w:t>ServicioConversion:</w:t>
      </w:r>
      <w:r>
        <w:t xml:space="preserve"> Expone las operaciones matemáticas de cálculo (</w:t>
      </w:r>
      <w:r>
        <w:rPr>
          <w:rFonts w:ascii="Consolas" w:hAnsi="Consolas"/>
          <w:color w:val="B42828"/>
          <w:sz w:val="19"/>
        </w:rPr>
        <w:t>convertirLongitud</w:t>
      </w:r>
      <w:r>
        <w:t xml:space="preserve">, </w:t>
      </w:r>
      <w:r>
        <w:rPr>
          <w:rFonts w:ascii="Consolas" w:hAnsi="Consolas"/>
          <w:color w:val="B42828"/>
          <w:sz w:val="19"/>
        </w:rPr>
        <w:t>convertirMasa</w:t>
      </w:r>
      <w:r>
        <w:t xml:space="preserve">, </w:t>
      </w:r>
      <w:r>
        <w:rPr>
          <w:rFonts w:ascii="Consolas" w:hAnsi="Consolas"/>
          <w:color w:val="B42828"/>
          <w:sz w:val="19"/>
        </w:rPr>
        <w:t>convertirTemperatura</w:t>
      </w:r>
      <w:r>
        <w:t>), requiriendo obligatoriamente un token de sesión activo.</w:t>
      </w:r>
    </w:p>
    <w:p>
      <w:pPr>
        <w:spacing w:after="80" w:line="276" w:lineRule="auto"/>
      </w:pPr>
      <w:r>
        <w:t>Para comprobar la correcta publicación y disponibilidad de las operaciones, se accede desde el navegador web a la URL del contrato WSDL generado automáticamente.</w:t>
      </w:r>
    </w:p>
    <w:p>
      <w:pPr>
        <w:spacing w:before="120" w:after="40"/>
        <w:jc w:val="center"/>
      </w:pPr>
      <w:r>
        <w:drawing>
          <wp:inline xmlns:a="http://schemas.openxmlformats.org/drawingml/2006/main" xmlns:pic="http://schemas.openxmlformats.org/drawingml/2006/picture">
            <wp:extent cx="5120640" cy="3280410"/>
            <wp:docPr id="74" name="Picture 74"/>
            <wp:cNvGraphicFramePr>
              <a:graphicFrameLocks noChangeAspect="1"/>
            </wp:cNvGraphicFramePr>
            <a:graphic>
              <a:graphicData uri="http://schemas.openxmlformats.org/drawingml/2006/picture">
                <pic:pic>
                  <pic:nvPicPr>
                    <pic:cNvPr id="0" name="soap_server_wsdl_browser.png"/>
                    <pic:cNvPicPr/>
                  </pic:nvPicPr>
                  <pic:blipFill>
                    <a:blip r:embed="rId72"/>
                    <a:stretch>
                      <a:fillRect/>
                    </a:stretch>
                  </pic:blipFill>
                  <pic:spPr>
                    <a:xfrm>
                      <a:off x="0" y="0"/>
                      <a:ext cx="5120640" cy="3280410"/>
                    </a:xfrm>
                    <a:prstGeom prst="rect"/>
                  </pic:spPr>
                </pic:pic>
              </a:graphicData>
            </a:graphic>
          </wp:inline>
        </w:drawing>
      </w:r>
    </w:p>
    <w:p>
      <w:pPr>
        <w:spacing w:before="40" w:after="160"/>
        <w:jc w:val="center"/>
      </w:pPr>
      <w:r>
        <w:rPr>
          <w:rFonts w:ascii="Arial" w:hAnsi="Arial"/>
          <w:i/>
          <w:color w:val="5A5A5A"/>
          <w:sz w:val="18"/>
        </w:rPr>
        <w:t>Figura 18. Contrato WSDL del Servicio de Conversión desplegado en http://localhost:8080/ServidorSOAP/ServicioConversion?wsdl</w:t>
      </w:r>
    </w:p>
    <w:p>
      <w:pPr>
        <w:spacing w:before="120" w:after="40"/>
        <w:jc w:val="center"/>
      </w:pPr>
      <w:r>
        <w:drawing>
          <wp:inline xmlns:a="http://schemas.openxmlformats.org/drawingml/2006/main" xmlns:pic="http://schemas.openxmlformats.org/drawingml/2006/picture">
            <wp:extent cx="5120640" cy="3730583"/>
            <wp:docPr id="75" name="Picture 7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120640" cy="3730583"/>
                    </a:xfrm>
                    <a:prstGeom prst="rect"/>
                  </pic:spPr>
                </pic:pic>
              </a:graphicData>
            </a:graphic>
          </wp:inline>
        </w:drawing>
      </w:r>
    </w:p>
    <w:p>
      <w:pPr>
        <w:spacing w:before="40" w:after="160"/>
        <w:jc w:val="center"/>
      </w:pPr>
      <w:r>
        <w:rPr>
          <w:rFonts w:ascii="Arial" w:hAnsi="Arial"/>
          <w:i/>
          <w:color w:val="5A5A5A"/>
          <w:sz w:val="18"/>
        </w:rPr>
        <w:t>Figura 19. Prueba 1: Login.</w:t>
      </w:r>
    </w:p>
    <w:p>
      <w:pPr>
        <w:spacing w:before="120" w:after="40"/>
        <w:jc w:val="center"/>
      </w:pPr>
      <w:r>
        <w:drawing>
          <wp:inline xmlns:a="http://schemas.openxmlformats.org/drawingml/2006/main" xmlns:pic="http://schemas.openxmlformats.org/drawingml/2006/picture">
            <wp:extent cx="5120640" cy="4237359"/>
            <wp:docPr id="76" name="Picture 7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20640" cy="4237359"/>
                    </a:xfrm>
                    <a:prstGeom prst="rect"/>
                  </pic:spPr>
                </pic:pic>
              </a:graphicData>
            </a:graphic>
          </wp:inline>
        </w:drawing>
      </w:r>
    </w:p>
    <w:p>
      <w:pPr>
        <w:spacing w:before="40" w:after="160"/>
        <w:jc w:val="center"/>
      </w:pPr>
      <w:r>
        <w:rPr>
          <w:rFonts w:ascii="Arial" w:hAnsi="Arial"/>
          <w:i/>
          <w:color w:val="5A5A5A"/>
          <w:sz w:val="18"/>
        </w:rPr>
        <w:t>Figura 20. Prueba 2: Conversor de Longitud.</w:t>
      </w:r>
    </w:p>
    <w:p>
      <w:pPr>
        <w:spacing w:before="120" w:after="40"/>
        <w:jc w:val="center"/>
      </w:pPr>
      <w:r>
        <w:drawing>
          <wp:inline xmlns:a="http://schemas.openxmlformats.org/drawingml/2006/main" xmlns:pic="http://schemas.openxmlformats.org/drawingml/2006/picture">
            <wp:extent cx="5120640" cy="4373101"/>
            <wp:docPr id="77" name="Picture 7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120640" cy="4373101"/>
                    </a:xfrm>
                    <a:prstGeom prst="rect"/>
                  </pic:spPr>
                </pic:pic>
              </a:graphicData>
            </a:graphic>
          </wp:inline>
        </w:drawing>
      </w:r>
    </w:p>
    <w:p>
      <w:pPr>
        <w:spacing w:before="40" w:after="160"/>
        <w:jc w:val="center"/>
      </w:pPr>
      <w:r>
        <w:rPr>
          <w:rFonts w:ascii="Arial" w:hAnsi="Arial"/>
          <w:i/>
          <w:color w:val="5A5A5A"/>
          <w:sz w:val="18"/>
        </w:rPr>
        <w:t>Figura 21. Prueba 3: Conversor de masa.</w:t>
      </w:r>
    </w:p>
    <w:p>
      <w:pPr>
        <w:spacing w:before="120" w:after="40"/>
        <w:jc w:val="center"/>
      </w:pPr>
      <w:r>
        <w:drawing>
          <wp:inline xmlns:a="http://schemas.openxmlformats.org/drawingml/2006/main" xmlns:pic="http://schemas.openxmlformats.org/drawingml/2006/picture">
            <wp:extent cx="5120640" cy="4098834"/>
            <wp:docPr id="78" name="Picture 7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120640" cy="4098834"/>
                    </a:xfrm>
                    <a:prstGeom prst="rect"/>
                  </pic:spPr>
                </pic:pic>
              </a:graphicData>
            </a:graphic>
          </wp:inline>
        </w:drawing>
      </w:r>
    </w:p>
    <w:p>
      <w:pPr>
        <w:spacing w:before="40" w:after="160"/>
        <w:jc w:val="center"/>
      </w:pPr>
      <w:r>
        <w:rPr>
          <w:rFonts w:ascii="Arial" w:hAnsi="Arial"/>
          <w:i/>
          <w:color w:val="5A5A5A"/>
          <w:sz w:val="18"/>
        </w:rPr>
        <w:t>Figura 22. Prueba 4: Conversor de temperatura.</w:t>
      </w:r>
    </w:p>
    <w:p>
      <w:pPr>
        <w:pStyle w:val="Ttulo1"/>
        <w:spacing w:before="240" w:after="80"/>
      </w:pPr>
      <w:r>
        <w:t>CODIFICACIÓN DE LOS CLIENTES</w:t>
      </w:r>
    </w:p>
    <w:p>
      <w:pPr>
        <w:pStyle w:val="Ttulo2"/>
        <w:spacing w:before="200" w:after="60"/>
      </w:pPr>
      <w:r>
        <w:t>CLIENTE CONSOLA</w:t>
      </w:r>
    </w:p>
    <w:p>
      <w:pPr>
        <w:pStyle w:val="Ttulo3"/>
        <w:spacing w:before="160" w:after="40"/>
      </w:pPr>
      <w:r>
        <w:t>CREACIÓN DEL PROYECTO</w:t>
      </w:r>
    </w:p>
    <w:p>
      <w:pPr>
        <w:spacing w:after="80" w:line="276" w:lineRule="auto"/>
      </w:pPr>
      <w:r>
        <w:t>El proyecto se crea usando NetBeans seleccionando ‘Nuevo Proyecto’, ‘Java with Maven’ y ‘Java Application’.</w:t>
      </w:r>
    </w:p>
    <w:p>
      <w:pPr>
        <w:spacing w:before="120" w:after="40"/>
        <w:jc w:val="center"/>
      </w:pPr>
      <w:r>
        <w:drawing>
          <wp:inline xmlns:a="http://schemas.openxmlformats.org/drawingml/2006/main" xmlns:pic="http://schemas.openxmlformats.org/drawingml/2006/picture">
            <wp:extent cx="5120640" cy="3490366"/>
            <wp:docPr id="79" name="Picture 7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120640" cy="3490366"/>
                    </a:xfrm>
                    <a:prstGeom prst="rect"/>
                  </pic:spPr>
                </pic:pic>
              </a:graphicData>
            </a:graphic>
          </wp:inline>
        </w:drawing>
      </w:r>
    </w:p>
    <w:p>
      <w:pPr>
        <w:spacing w:before="40" w:after="160"/>
        <w:jc w:val="center"/>
      </w:pPr>
      <w:r>
        <w:rPr>
          <w:rFonts w:ascii="Arial" w:hAnsi="Arial"/>
          <w:i/>
          <w:color w:val="5A5A5A"/>
          <w:sz w:val="18"/>
        </w:rPr>
        <w:t>Figura 23. Creación del proyecto - Cliente consola</w:t>
      </w:r>
    </w:p>
    <w:p>
      <w:pPr>
        <w:spacing w:after="80" w:line="276" w:lineRule="auto"/>
      </w:pPr>
      <w:r>
        <w:t>En este paso se define el nombre del proyecto y la ubicación.</w:t>
      </w:r>
    </w:p>
    <w:p>
      <w:pPr>
        <w:spacing w:before="120" w:after="40"/>
        <w:jc w:val="center"/>
      </w:pPr>
      <w:r>
        <w:drawing>
          <wp:inline xmlns:a="http://schemas.openxmlformats.org/drawingml/2006/main" xmlns:pic="http://schemas.openxmlformats.org/drawingml/2006/picture">
            <wp:extent cx="5120640" cy="3469053"/>
            <wp:docPr id="80" name="Picture 8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120640" cy="3469053"/>
                    </a:xfrm>
                    <a:prstGeom prst="rect"/>
                  </pic:spPr>
                </pic:pic>
              </a:graphicData>
            </a:graphic>
          </wp:inline>
        </w:drawing>
      </w:r>
    </w:p>
    <w:p>
      <w:pPr>
        <w:spacing w:before="40" w:after="160"/>
        <w:jc w:val="center"/>
      </w:pPr>
      <w:r>
        <w:rPr>
          <w:rFonts w:ascii="Arial" w:hAnsi="Arial"/>
          <w:i/>
          <w:color w:val="5A5A5A"/>
          <w:sz w:val="18"/>
        </w:rPr>
        <w:t>Figura 24. Configuración del proyecto - Cliente consola</w:t>
      </w:r>
    </w:p>
    <w:p>
      <w:pPr>
        <w:pStyle w:val="Ttulo3"/>
        <w:spacing w:before="160" w:after="40"/>
      </w:pPr>
      <w:r>
        <w:t>ESTRUCTURA DEL PROYECTO</w:t>
      </w:r>
    </w:p>
    <w:p>
      <w:pPr>
        <w:spacing w:after="80" w:line="276" w:lineRule="auto"/>
      </w:pPr>
      <w:r>
        <w:t>Una vez creado el proyecto se crea la estructura de paquetes basada en el patrón MVC</w:t>
      </w:r>
    </w:p>
    <w:p>
      <w:pPr>
        <w:spacing w:before="120" w:after="40"/>
        <w:jc w:val="center"/>
      </w:pPr>
      <w:r>
        <w:drawing>
          <wp:inline xmlns:a="http://schemas.openxmlformats.org/drawingml/2006/main" xmlns:pic="http://schemas.openxmlformats.org/drawingml/2006/picture">
            <wp:extent cx="5120640" cy="2805830"/>
            <wp:docPr id="81" name="Picture 8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2805830"/>
                    </a:xfrm>
                    <a:prstGeom prst="rect"/>
                  </pic:spPr>
                </pic:pic>
              </a:graphicData>
            </a:graphic>
          </wp:inline>
        </w:drawing>
      </w:r>
    </w:p>
    <w:p>
      <w:pPr>
        <w:spacing w:before="40" w:after="160"/>
        <w:jc w:val="center"/>
      </w:pPr>
      <w:r>
        <w:rPr>
          <w:rFonts w:ascii="Arial" w:hAnsi="Arial"/>
          <w:i/>
          <w:color w:val="5A5A5A"/>
          <w:sz w:val="18"/>
        </w:rPr>
        <w:t>Figura 25. Estructura del proyecto - Cliente consola</w:t>
      </w:r>
    </w:p>
    <w:p>
      <w:pPr>
        <w:pStyle w:val="Ttulo2"/>
        <w:spacing w:before="200" w:after="60"/>
      </w:pPr>
      <w:r>
        <w:t>CODIFICACIÓN DEL PROYECTO CLIENTE CONSOLA</w:t>
      </w:r>
    </w:p>
    <w:p>
      <w:pPr>
        <w:pStyle w:val="Ttulo3"/>
        <w:spacing w:before="160" w:after="40"/>
      </w:pPr>
      <w:r>
        <w:t>CREACIÓN DE MODELOS Y VISTAS</w:t>
      </w:r>
    </w:p>
    <w:p>
      <w:pPr>
        <w:spacing w:after="80" w:line="276" w:lineRule="auto"/>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pPr>
        <w:spacing w:after="80" w:line="276" w:lineRule="auto"/>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pPr>
        <w:spacing w:before="120" w:after="40"/>
        <w:jc w:val="center"/>
      </w:pPr>
      <w:r>
        <w:drawing>
          <wp:inline xmlns:a="http://schemas.openxmlformats.org/drawingml/2006/main" xmlns:pic="http://schemas.openxmlformats.org/drawingml/2006/picture">
            <wp:extent cx="5120640" cy="1477108"/>
            <wp:docPr id="82" name="Picture 8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120640" cy="1477108"/>
                    </a:xfrm>
                    <a:prstGeom prst="rect"/>
                  </pic:spPr>
                </pic:pic>
              </a:graphicData>
            </a:graphic>
          </wp:inline>
        </w:drawing>
      </w:r>
    </w:p>
    <w:p>
      <w:pPr>
        <w:spacing w:before="40" w:after="160"/>
        <w:jc w:val="center"/>
      </w:pPr>
      <w:r>
        <w:rPr>
          <w:rFonts w:ascii="Arial" w:hAnsi="Arial"/>
          <w:i/>
          <w:color w:val="5A5A5A"/>
          <w:sz w:val="18"/>
        </w:rPr>
        <w:t>Figura 26. Creación de modelos y vistas - Cliente consola</w:t>
      </w:r>
    </w:p>
    <w:p>
      <w:pPr>
        <w:spacing w:after="80" w:line="276" w:lineRule="auto"/>
      </w:pPr>
      <w:r>
        <w:t>Tabla 8. Clase CatalogoUnidades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ec.edu.monster.clienteconsola.modelo;/** * * @author Julio Enrique Viche Castillo - GR09 - NRC 36884 */public class CatalogoUnidades { public enum Longitud { CENTIMETROS, METROS, MILLAS, YARDAS, PIES } public enum Masa { GRAMOS, KILOGRAMOS, ONZAS, LIBRAS, QUINTALES } public enum Temperatura { CELSIUS, FAHRENHEIT, KELVIN, NEWTON, REAUMUR }}</w:t>
            </w:r>
          </w:p>
        </w:tc>
      </w:tr>
    </w:tbl>
    <w:p/>
    <w:p>
      <w:pPr>
        <w:spacing w:after="80" w:line="276" w:lineRule="auto"/>
      </w:pPr>
      <w:r>
        <w:t>Tabla 9. Clase InterfazConsola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ec.edu.monster.clienteconsola.vista;import java.util.Scanner;/** * * @author Julio Enrique Viche Castillo - GR09 - NRC 36884 */public class InterfazConsola { private final Scanner entrada; public InterfazConsola() { this.entrada = new Scanner(System.in); } public OpcionMenu seleccionarConversion() { System.out.println("\n--- Menú de Conversión de Unidades ---"); for (OpcionMenu opcion : OpcionMenu.values()) { System.out.println(opcion.getNumero() + ". " + opcion.getDescripcion()); } System.out.print("Selecciona una opción: "); String seleccion = entrada.nextLine(); for (OpcionMenu opcion : OpcionMenu.values()) { if (opcion.getNumero().equals(seleccion)) { return opcion; } } System.out.println("Opción inválida. Intenta de nuevo."); return null; } public &lt;T extends Enum&lt;T&gt;&gt; T seleccionarUnidad(String titulo, T[] opciones) { System.out.println("\n--- " + titulo + " ---"); for (int i = 0; i &lt; opciones.length; i++) { System.out.println((i + 1) + ". " + opciones[i].name()); } System.out.print("Elige una unidad: "); try { int seleccion = Integer.parseInt(entrada.nextLine()); if (seleccion &gt;= 1 &amp;&amp; seleccion &lt;= opciones.length) { return opciones[seleccion - 1]; } } catch (NumberFormatException e) { // Ignorar para que caiga en el error de abajo } System.out.println("Unidad inválida. Operación cancelada."); return null; } public Double pedirValorAConvertir() { System.out.print("\nIngresa el valor a convertir: "); try { return Double.valueOf(entrada.nextLine()); } catch (NumberFormatException e) { System.out.println("Debe ser un número válido."); return null; } } public String pedirTexto(String mensaje) { System.out.print(mensaje); return entrada.nextLine().trim(); }}</w:t>
            </w:r>
          </w:p>
        </w:tc>
      </w:tr>
    </w:tbl>
    <w:p/>
    <w:p>
      <w:pPr>
        <w:spacing w:after="80" w:line="276" w:lineRule="auto"/>
      </w:pPr>
      <w:r>
        <w:t>Tabla 10. Clase OpcionMenu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ec.edu.monster.clienteconsola.vista;/** * * @author Julio Enrique Viche Castillo - GR09 - NRC 36884 */public enum OpcionMenu { CONVERTIR_LONGITUD("1", "Convertir Longitud"), CONVERTIR_MASA("2", "Convertir Masa"), CONVERTIR_TEMPERATURA("3", "Convertir Temperatura"), SALIR("4", "Salir"); private final String numero; private final String descripcion; OpcionMenu(String numero, String descripcion) { this.numero = numero; this.descripcion = descripcion; } public String getNumero() { return numero; } public String getDescripcion() { return descripcion; }}</w:t>
            </w:r>
          </w:p>
        </w:tc>
      </w:tr>
    </w:tbl>
    <w:p/>
    <w:p>
      <w:pPr>
        <w:spacing w:after="80" w:line="276" w:lineRule="auto"/>
      </w:pPr>
      <w:r>
        <w:t>CONSUMO DEL SERVICIO SOAP (CONTROLADOR)</w:t>
      </w:r>
    </w:p>
    <w:p>
      <w:pPr>
        <w:spacing w:after="80" w:line="276" w:lineRule="auto"/>
      </w:pPr>
      <w:r>
        <w:t>En esta sección se reemplazan los clientes REST tradicionales. Para la comunicación con el servidor, se utilizó la herramienta "Web Service Client" de NetBeans para generar los artefactos JAX-WS a partir del WSDL expuesto por Payara.</w:t>
      </w:r>
    </w:p>
    <w:p>
      <w:pPr>
        <w:spacing w:before="120" w:after="40"/>
        <w:jc w:val="center"/>
      </w:pPr>
      <w:r>
        <w:drawing>
          <wp:inline xmlns:a="http://schemas.openxmlformats.org/drawingml/2006/main" xmlns:pic="http://schemas.openxmlformats.org/drawingml/2006/picture">
            <wp:extent cx="5120640" cy="769886"/>
            <wp:docPr id="83" name="Picture 8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769886"/>
                    </a:xfrm>
                    <a:prstGeom prst="rect"/>
                  </pic:spPr>
                </pic:pic>
              </a:graphicData>
            </a:graphic>
          </wp:inline>
        </w:drawing>
      </w:r>
    </w:p>
    <w:p>
      <w:pPr>
        <w:spacing w:before="40" w:after="160"/>
        <w:jc w:val="center"/>
      </w:pPr>
      <w:r>
        <w:rPr>
          <w:rFonts w:ascii="Arial" w:hAnsi="Arial"/>
          <w:i/>
          <w:color w:val="5A5A5A"/>
          <w:sz w:val="18"/>
        </w:rPr>
        <w:t>Figura 27. Creación de controlador - Cliente consola</w:t>
      </w:r>
    </w:p>
    <w:p>
      <w:pPr>
        <w:spacing w:after="80" w:line="276" w:lineRule="auto"/>
      </w:pPr>
      <w:r>
        <w:t>Se crea la clase ControladorConversiones en la carpeta controlador. Esta clase centraliza la comunicación y se encarga de instanciar los puertos de los servicios SOAP (WSLogin, WSLongitud, WSMasa, WSTemperatura). Su función es recibir los datos de la vista, invocar las operaciones remotas (pasando los parámetros de unidad de origen, destino y valor) y devolver el resultado procesado.</w:t>
      </w:r>
    </w:p>
    <w:p>
      <w:pPr>
        <w:spacing w:after="80" w:line="276" w:lineRule="auto"/>
      </w:pPr>
      <w:r>
        <w:t>Tabla 11. Clase ControladorConversiones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ec.edu.monster.clienteconsola.controlador;import ec.edu.monster.clientesws.*;/** * * @author Julio Enrique Viche Castillo - GR09 - NRC 36884 */public class ControladorConversiones { private String token; public boolean iniciarSesion(String usuario, String clave) { String msgCredencialesInvalidas = "ERROR: Credenciales inválidas"; try { WSLogin_Service service = new WSLogin_Service(); this.token = service.getWSLoginPort().login(usuario, clave); if(this.token.equals(msgCredencialesInvalidas)){ System.out.println("Credenciales incorrectas"); return false; } return true; } catch (Exception e) { System.err.println("Error en la comunicación con el servicio: " + e.getMessage()); return false; } } public double convertirLongitud(double valor, String origen, String destino) throws Exception { WSLongitud_Service service = new WSLongitud_Service(); return service.getWSLongitudPort().convertirLongitud(valor, origen, destino, token); } public double convertirTemperatura(double valor, String origen, String destino) throws Exception { WSTemperatura_Service service = new WSTemperatura_Service(); return service.getWSTemperaturaPort().convertirTemperatura(valor, origen, destino, token); } public double convertirMasa(double valor, String origen, String destino) throws Exception { WSMasa_Service service = new WSMasa_Service(); return service.getWSMasaPort().convertirMasa(valor, origen, destino, token); }}</w:t>
            </w:r>
          </w:p>
        </w:tc>
      </w:tr>
    </w:tbl>
    <w:p/>
    <w:p>
      <w:pPr>
        <w:spacing w:after="80" w:line="276" w:lineRule="auto"/>
      </w:pPr>
      <w:r>
        <w:t>CLASE PRINCIPAL (EJECUCIÓN)</w:t>
      </w:r>
    </w:p>
    <w:p>
      <w:pPr>
        <w:spacing w:after="80" w:line="276" w:lineRule="auto"/>
      </w:pPr>
      <w:r>
        <w:t>Finalmente, se codifica la clase ClienteConsola.java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pPr>
        <w:spacing w:before="120" w:after="40"/>
        <w:jc w:val="center"/>
      </w:pPr>
      <w:r>
        <w:drawing>
          <wp:inline xmlns:a="http://schemas.openxmlformats.org/drawingml/2006/main" xmlns:pic="http://schemas.openxmlformats.org/drawingml/2006/picture">
            <wp:extent cx="5120640" cy="917851"/>
            <wp:docPr id="84" name="Picture 8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120640" cy="917851"/>
                    </a:xfrm>
                    <a:prstGeom prst="rect"/>
                  </pic:spPr>
                </pic:pic>
              </a:graphicData>
            </a:graphic>
          </wp:inline>
        </w:drawing>
      </w:r>
    </w:p>
    <w:p>
      <w:pPr>
        <w:spacing w:before="40" w:after="160"/>
        <w:jc w:val="center"/>
      </w:pPr>
      <w:r>
        <w:rPr>
          <w:rFonts w:ascii="Arial" w:hAnsi="Arial"/>
          <w:i/>
          <w:color w:val="5A5A5A"/>
          <w:sz w:val="18"/>
        </w:rPr>
        <w:t>Figura 28. Creación de clase principal - Cliente consola</w:t>
      </w:r>
    </w:p>
    <w:p>
      <w:pPr>
        <w:spacing w:after="80" w:line="276" w:lineRule="auto"/>
      </w:pPr>
      <w:r>
        <w:t>Tabla 12. Clase ControladorConversiones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ec.edu.monster.clienteconsola;import ec.edu.monster.clienteconsola.controlador.ControladorConversiones;import ec.edu.monster.clienteconsola.vista.InterfazConsola;import ec.edu.monster.clienteconsola.vista.OpcionMenu;import ec.edu.monster.clienteconsola.modelo.CatalogoUnidades;public class ClienteConsola { public static void main(String[] args) { InterfazConsola interfaz = new InterfazConsola(); // Instanciamos nuestro nuevo controlador ControladorConversiones controlador = new ControladorConversiones(); System.out.println("=== BIENVENIDO AL SISTEMA DE CONVERSIONES ==="); boolean autenticado = false; while (!autenticado) { // Nota: Debes implementar estos dos métodos en InterfazConsola String usuario = interfaz.pedirTexto("Ingresa tu usuario: "); String clave = interfaz.pedirTexto("Ingresa tu clave: "); System.out.println("[Autenticando...]"); autenticado = controlador.iniciarSesion(usuario, clave); if (!autenticado) { System.out.println("Credenciales incorrectas o error de red. Intenta nuevamente.\n"); } } System.out.println("Sesión iniciada con éxito\n"); OpcionMenu opcion; do { opcion = interfaz.seleccionarConversion(); if (opcion != null) { switch (opcion) { case CONVERTIR_LONGITUD -&gt; ejecutarFlujoConversion( interfaz, CatalogoUnidades.Longitud.values(), (v, o, d) -&gt; controlador.convertirLongitud(v, o, d) ); case CONVERTIR_TEMPERATURA -&gt; ejecutarFlujoConversion( interfaz, CatalogoUnidades.Temperatura.values(), (v, o, d) -&gt; controlador.convertirTemperatura(v, o, d) ); case CONVERTIR_MASA -&gt; ejecutarFlujoConversion( interfaz, CatalogoUnidades.Masa.values(), (v, o, d) -&gt; controlador.convertirMasa(v, o, d) ); case SALIR -&gt; System.out.println("Saliendo..."); } } } while (opcion != OpcionMenu.SALIR); } /** * Interfaz funcional simplificada. Ya no maneja credenciales. */ @FunctionalInterface private interface OperacionSOAP { double ejecutar(double valor, String origen, String destino) throws Exception; } /** * Flujo de UI genérico. */ private static &lt;T extends Enum&lt;T&gt;&gt; void ejecutarFlujoConversion( InterfazConsola interfaz, T[] valoresCatalogo, OperacionSOAP operacion) { T origen = interfaz.seleccionarUnidad("Selecciona la unidad de ORIGEN", valoresCatalogo); if (origen == null) return; T destino = interfaz.seleccionarUnidad("Selecciona la unidad de DESTINO", valoresCatalogo); if (destino == null) return; Double valor = interfaz.pedirValorAConvertir(); if (valor == null) return; System.out.println("\n[Llamando Controlador...] Convirtiendo " + valor + " de " + origen.name() + " a " + destino.name()); try { // El controlador maneja la complejidad subyacente double result = operacion.ejecutar(valor, origen.name(), destino.name()); System.out.println("Resultado = " + result); } catch (Exception ex) { System.err.println("Error durante la conversión: " + ex.getMessage()); } }}</w:t>
            </w:r>
          </w:p>
        </w:tc>
      </w:tr>
    </w:tbl>
    <w:p/>
    <w:p>
      <w:pPr>
        <w:pStyle w:val="Ttulo3"/>
        <w:spacing w:before="160" w:after="40"/>
      </w:pPr>
      <w:r>
        <w:t>EJECUCIÓN DEL CLIENTE DE CONSOLA</w:t>
      </w:r>
    </w:p>
    <w:p>
      <w:pPr>
        <w:spacing w:before="120" w:after="40"/>
        <w:jc w:val="center"/>
      </w:pPr>
      <w:r>
        <w:drawing>
          <wp:inline xmlns:a="http://schemas.openxmlformats.org/drawingml/2006/main" xmlns:pic="http://schemas.openxmlformats.org/drawingml/2006/picture">
            <wp:extent cx="5120640" cy="2393343"/>
            <wp:docPr id="85" name="Picture 85"/>
            <wp:cNvGraphicFramePr>
              <a:graphicFrameLocks noChangeAspect="1"/>
            </wp:cNvGraphicFramePr>
            <a:graphic>
              <a:graphicData uri="http://schemas.openxmlformats.org/drawingml/2006/picture">
                <pic:pic>
                  <pic:nvPicPr>
                    <pic:cNvPr id="0" name="soap_clicon_login.png"/>
                    <pic:cNvPicPr/>
                  </pic:nvPicPr>
                  <pic:blipFill>
                    <a:blip r:embed="rId73"/>
                    <a:stretch>
                      <a:fillRect/>
                    </a:stretch>
                  </pic:blipFill>
                  <pic:spPr>
                    <a:xfrm>
                      <a:off x="0" y="0"/>
                      <a:ext cx="5120640" cy="2393343"/>
                    </a:xfrm>
                    <a:prstGeom prst="rect"/>
                  </pic:spPr>
                </pic:pic>
              </a:graphicData>
            </a:graphic>
          </wp:inline>
        </w:drawing>
      </w:r>
    </w:p>
    <w:p>
      <w:pPr>
        <w:spacing w:before="40" w:after="160"/>
        <w:jc w:val="center"/>
      </w:pPr>
      <w:r>
        <w:rPr>
          <w:rFonts w:ascii="Arial" w:hAnsi="Arial"/>
          <w:i/>
          <w:color w:val="5A5A5A"/>
          <w:sz w:val="18"/>
        </w:rPr>
        <w:t>Figura 29. Login - Cliente consola</w:t>
      </w:r>
    </w:p>
    <w:p>
      <w:pPr>
        <w:spacing w:before="120" w:after="40"/>
        <w:jc w:val="center"/>
      </w:pPr>
      <w:r>
        <w:drawing>
          <wp:inline xmlns:a="http://schemas.openxmlformats.org/drawingml/2006/main" xmlns:pic="http://schemas.openxmlformats.org/drawingml/2006/picture">
            <wp:extent cx="5120640" cy="3358896"/>
            <wp:docPr id="86" name="Picture 86"/>
            <wp:cNvGraphicFramePr>
              <a:graphicFrameLocks noChangeAspect="1"/>
            </wp:cNvGraphicFramePr>
            <a:graphic>
              <a:graphicData uri="http://schemas.openxmlformats.org/drawingml/2006/picture">
                <pic:pic>
                  <pic:nvPicPr>
                    <pic:cNvPr id="0" name="soap_clicon_longitud.png"/>
                    <pic:cNvPicPr/>
                  </pic:nvPicPr>
                  <pic:blipFill>
                    <a:blip r:embed="rId74"/>
                    <a:stretch>
                      <a:fillRect/>
                    </a:stretch>
                  </pic:blipFill>
                  <pic:spPr>
                    <a:xfrm>
                      <a:off x="0" y="0"/>
                      <a:ext cx="5120640" cy="3358896"/>
                    </a:xfrm>
                    <a:prstGeom prst="rect"/>
                  </pic:spPr>
                </pic:pic>
              </a:graphicData>
            </a:graphic>
          </wp:inline>
        </w:drawing>
      </w:r>
    </w:p>
    <w:p>
      <w:pPr>
        <w:spacing w:before="40" w:after="160"/>
        <w:jc w:val="center"/>
      </w:pPr>
      <w:r>
        <w:rPr>
          <w:rFonts w:ascii="Arial" w:hAnsi="Arial"/>
          <w:i/>
          <w:color w:val="5A5A5A"/>
          <w:sz w:val="18"/>
        </w:rPr>
        <w:t>Figura 30. Conversión de Longitud - Cliente consola</w:t>
      </w:r>
    </w:p>
    <w:p>
      <w:pPr>
        <w:spacing w:before="120" w:after="40"/>
        <w:jc w:val="center"/>
      </w:pPr>
      <w:r>
        <w:drawing>
          <wp:inline xmlns:a="http://schemas.openxmlformats.org/drawingml/2006/main" xmlns:pic="http://schemas.openxmlformats.org/drawingml/2006/picture">
            <wp:extent cx="5120640" cy="3008061"/>
            <wp:docPr id="87" name="Picture 87"/>
            <wp:cNvGraphicFramePr>
              <a:graphicFrameLocks noChangeAspect="1"/>
            </wp:cNvGraphicFramePr>
            <a:graphic>
              <a:graphicData uri="http://schemas.openxmlformats.org/drawingml/2006/picture">
                <pic:pic>
                  <pic:nvPicPr>
                    <pic:cNvPr id="0" name="soap_clicon_masa.png"/>
                    <pic:cNvPicPr/>
                  </pic:nvPicPr>
                  <pic:blipFill>
                    <a:blip r:embed="rId75"/>
                    <a:stretch>
                      <a:fillRect/>
                    </a:stretch>
                  </pic:blipFill>
                  <pic:spPr>
                    <a:xfrm>
                      <a:off x="0" y="0"/>
                      <a:ext cx="5120640" cy="3008061"/>
                    </a:xfrm>
                    <a:prstGeom prst="rect"/>
                  </pic:spPr>
                </pic:pic>
              </a:graphicData>
            </a:graphic>
          </wp:inline>
        </w:drawing>
      </w:r>
    </w:p>
    <w:p>
      <w:pPr>
        <w:spacing w:before="40" w:after="160"/>
        <w:jc w:val="center"/>
      </w:pPr>
      <w:r>
        <w:rPr>
          <w:rFonts w:ascii="Arial" w:hAnsi="Arial"/>
          <w:i/>
          <w:color w:val="5A5A5A"/>
          <w:sz w:val="18"/>
        </w:rPr>
        <w:t>Figura 31. Conversión de Masa - Cliente consola</w:t>
      </w:r>
    </w:p>
    <w:p>
      <w:pPr>
        <w:spacing w:before="120" w:after="40"/>
        <w:jc w:val="center"/>
      </w:pPr>
      <w:r>
        <w:drawing>
          <wp:inline xmlns:a="http://schemas.openxmlformats.org/drawingml/2006/main" xmlns:pic="http://schemas.openxmlformats.org/drawingml/2006/picture">
            <wp:extent cx="5120640" cy="2682240"/>
            <wp:docPr id="88" name="Picture 88"/>
            <wp:cNvGraphicFramePr>
              <a:graphicFrameLocks noChangeAspect="1"/>
            </wp:cNvGraphicFramePr>
            <a:graphic>
              <a:graphicData uri="http://schemas.openxmlformats.org/drawingml/2006/picture">
                <pic:pic>
                  <pic:nvPicPr>
                    <pic:cNvPr id="0" name="soap_clicon_temperatura.png"/>
                    <pic:cNvPicPr/>
                  </pic:nvPicPr>
                  <pic:blipFill>
                    <a:blip r:embed="rId76"/>
                    <a:stretch>
                      <a:fillRect/>
                    </a:stretch>
                  </pic:blipFill>
                  <pic:spPr>
                    <a:xfrm>
                      <a:off x="0" y="0"/>
                      <a:ext cx="5120640" cy="2682240"/>
                    </a:xfrm>
                    <a:prstGeom prst="rect"/>
                  </pic:spPr>
                </pic:pic>
              </a:graphicData>
            </a:graphic>
          </wp:inline>
        </w:drawing>
      </w:r>
    </w:p>
    <w:p>
      <w:pPr>
        <w:spacing w:before="40" w:after="160"/>
        <w:jc w:val="center"/>
      </w:pPr>
      <w:r>
        <w:rPr>
          <w:rFonts w:ascii="Arial" w:hAnsi="Arial"/>
          <w:i/>
          <w:color w:val="5A5A5A"/>
          <w:sz w:val="18"/>
        </w:rPr>
        <w:t>Figura 32. Conversión de Temperatura - Cliente consola</w:t>
      </w:r>
    </w:p>
    <w:p>
      <w:pPr>
        <w:pStyle w:val="Ttulo2"/>
        <w:spacing w:before="200" w:after="60"/>
      </w:pPr>
      <w:r>
        <w:t>CLIENTE ESCRITORIO</w:t>
      </w:r>
    </w:p>
    <w:p>
      <w:pPr>
        <w:pStyle w:val="Ttulo3"/>
        <w:spacing w:before="160" w:after="40"/>
      </w:pPr>
      <w:r>
        <w:t>CREACIÓN DEL PROYECTO</w:t>
      </w:r>
    </w:p>
    <w:p>
      <w:pPr>
        <w:spacing w:after="80" w:line="276" w:lineRule="auto"/>
      </w:pPr>
      <w:r>
        <w:t>El proyecto se crea de igual manera que el cliente de consola Java Application</w:t>
      </w:r>
    </w:p>
    <w:p>
      <w:pPr>
        <w:pStyle w:val="Ttulo3"/>
        <w:spacing w:before="160" w:after="40"/>
      </w:pPr>
      <w:r>
        <w:t>ESTRUCTURA DEL PROYECTO</w:t>
      </w:r>
    </w:p>
    <w:p>
      <w:pPr>
        <w:spacing w:after="80" w:line="276" w:lineRule="auto"/>
      </w:pPr>
      <w:r>
        <w:t>El cliente de escritorio con interfaz gráfica se estructuró bajo el patrón MVC. Se crearon los paquetes modelo, vista y controlador para separar el diseño visual de la lógica de consumo del servicio web.</w:t>
      </w:r>
    </w:p>
    <w:p>
      <w:pPr>
        <w:spacing w:before="120" w:after="40"/>
        <w:jc w:val="center"/>
      </w:pPr>
      <w:r>
        <w:drawing>
          <wp:inline xmlns:a="http://schemas.openxmlformats.org/drawingml/2006/main" xmlns:pic="http://schemas.openxmlformats.org/drawingml/2006/picture">
            <wp:extent cx="5120640" cy="1744571"/>
            <wp:docPr id="89" name="Picture 8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120640" cy="1744571"/>
                    </a:xfrm>
                    <a:prstGeom prst="rect"/>
                  </pic:spPr>
                </pic:pic>
              </a:graphicData>
            </a:graphic>
          </wp:inline>
        </w:drawing>
      </w:r>
    </w:p>
    <w:p>
      <w:pPr>
        <w:spacing w:before="40" w:after="160"/>
        <w:jc w:val="center"/>
      </w:pPr>
      <w:r>
        <w:rPr>
          <w:rFonts w:ascii="Arial" w:hAnsi="Arial"/>
          <w:i/>
          <w:color w:val="5A5A5A"/>
          <w:sz w:val="18"/>
        </w:rPr>
        <w:t>Figura 33. Estructura del proyecto - Cliente escritorio</w:t>
      </w:r>
    </w:p>
    <w:p>
      <w:pPr>
        <w:pStyle w:val="Ttulo2"/>
        <w:spacing w:before="200" w:after="60"/>
      </w:pPr>
      <w:r>
        <w:t>CODIFICACIÓN DEL PROYECTO CLIENTE ESCRITORIO</w:t>
      </w:r>
    </w:p>
    <w:p>
      <w:pPr>
        <w:pStyle w:val="Ttulo3"/>
        <w:spacing w:before="160" w:after="40"/>
      </w:pPr>
      <w:r>
        <w:t>CREACIÓN DE MODELOS</w:t>
      </w:r>
    </w:p>
    <w:p>
      <w:pPr>
        <w:spacing w:after="80" w:line="276" w:lineRule="auto"/>
      </w:pPr>
      <w:r>
        <w:t>Al no requerir base de datos, en el paquete modelo solo se manejan clases auxiliares y enumeradores. Estos sirven exclusivamente para llenar las opciones de listas desplegables en las ventanas.</w:t>
      </w:r>
    </w:p>
    <w:p>
      <w:pPr>
        <w:spacing w:before="120" w:after="40"/>
        <w:jc w:val="center"/>
      </w:pPr>
      <w:r>
        <w:drawing>
          <wp:inline xmlns:a="http://schemas.openxmlformats.org/drawingml/2006/main" xmlns:pic="http://schemas.openxmlformats.org/drawingml/2006/picture">
            <wp:extent cx="5120640" cy="709012"/>
            <wp:docPr id="90" name="Picture 9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120640" cy="709012"/>
                    </a:xfrm>
                    <a:prstGeom prst="rect"/>
                  </pic:spPr>
                </pic:pic>
              </a:graphicData>
            </a:graphic>
          </wp:inline>
        </w:drawing>
      </w:r>
    </w:p>
    <w:p>
      <w:pPr>
        <w:spacing w:before="40" w:after="160"/>
        <w:jc w:val="center"/>
      </w:pPr>
      <w:r>
        <w:rPr>
          <w:rFonts w:ascii="Arial" w:hAnsi="Arial"/>
          <w:i/>
          <w:color w:val="5A5A5A"/>
          <w:sz w:val="18"/>
        </w:rPr>
        <w:t>Figura 34. Creación de modelo - Cliente escritorio</w:t>
      </w:r>
    </w:p>
    <w:p>
      <w:pPr>
        <w:spacing w:after="80" w:line="276" w:lineRule="auto"/>
      </w:pPr>
      <w:r>
        <w:t>CREACIÓN DE CONTROLADOR</w:t>
      </w:r>
    </w:p>
    <w:p>
      <w:pPr>
        <w:spacing w:after="80" w:line="276" w:lineRule="auto"/>
      </w:pPr>
      <w:r>
        <w:t>Para conectar la interfaz con el servidor, se generaron los clientes JAX-WS a partir del WSDL. En el paquete controlador se crearon las clases que capturan los datos ingresados en las ventanas, invocan las operaciones SOAP remotas y devuelven el resultado a la pantalla.</w:t>
      </w:r>
    </w:p>
    <w:p>
      <w:pPr>
        <w:spacing w:before="120" w:after="40"/>
        <w:jc w:val="center"/>
      </w:pPr>
      <w:r>
        <w:drawing>
          <wp:inline xmlns:a="http://schemas.openxmlformats.org/drawingml/2006/main" xmlns:pic="http://schemas.openxmlformats.org/drawingml/2006/picture">
            <wp:extent cx="5120640" cy="853440"/>
            <wp:docPr id="91" name="Picture 9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120640" cy="853440"/>
                    </a:xfrm>
                    <a:prstGeom prst="rect"/>
                  </pic:spPr>
                </pic:pic>
              </a:graphicData>
            </a:graphic>
          </wp:inline>
        </w:drawing>
      </w:r>
    </w:p>
    <w:p>
      <w:pPr>
        <w:spacing w:before="40" w:after="160"/>
        <w:jc w:val="center"/>
      </w:pPr>
      <w:r>
        <w:rPr>
          <w:rFonts w:ascii="Arial" w:hAnsi="Arial"/>
          <w:i/>
          <w:color w:val="5A5A5A"/>
          <w:sz w:val="18"/>
        </w:rPr>
        <w:t>Figura 35. Creación de servicio - Cliente consola</w:t>
      </w:r>
    </w:p>
    <w:p>
      <w:pPr>
        <w:spacing w:after="80" w:line="276" w:lineRule="auto"/>
      </w:pPr>
      <w:r>
        <w:t>Tabla 13. Clase ControladorConversiones - Cliente escritorio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ec.edu.monster.clienteescritorio.controlador;import ec.edu.monster.clientesws.*;/** * * @author Julio Enrique Viche Castillo - GR09 - NRC 36884 */public class ControladorConversiones { private String token; public boolean iniciarSesion(String usuario, String clave) { String msgCredencialesInvalidas = "ERROR: Credenciales inválidas"; try { WSLogin_Service service = new WSLogin_Service(); this.token = service.getWSLoginPort().login(usuario, clave); if(this.token.equals(msgCredencialesInvalidas)){ System.out.println("Credenciales incorrectas"); return false; } return true; } catch (Exception e) { System.err.println("Error en la comunicación con el servicio: " + e.getMessage()); return false; } } public double convertirLongitud(double valor, String origen, String destino) throws Exception { WSLongitud_Service service = new WSLongitud_Service(); return service.getWSLongitudPort().convertirLongitud(valor, origen, destino, token); } public double convertirTemperatura(double valor, String origen, String destino) throws Exception { WSTemperatura_Service service = new WSTemperatura_Service(); return service.getWSTemperaturaPort().convertirTemperatura(valor, origen, destino, token); } public double convertirMasa(double valor, String origen, String destino) throws Exception { WSMasa_Service service = new WSMasa_Service(); return service.getWSMasaPort().convertirMasa(valor, origen, destino, token); }}</w:t>
            </w:r>
          </w:p>
        </w:tc>
      </w:tr>
    </w:tbl>
    <w:p/>
    <w:p>
      <w:pPr>
        <w:spacing w:after="80" w:line="276" w:lineRule="auto"/>
      </w:pPr>
      <w:r>
        <w:t>CREACIÓN DE VISTAS</w:t>
      </w:r>
    </w:p>
    <w:p>
      <w:pPr>
        <w:spacing w:after="80" w:line="276" w:lineRule="auto"/>
      </w:pPr>
      <w:r>
        <w: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t>
      </w:r>
    </w:p>
    <w:p>
      <w:pPr>
        <w:spacing w:before="120" w:after="40"/>
        <w:jc w:val="center"/>
      </w:pPr>
      <w:r>
        <w:drawing>
          <wp:inline xmlns:a="http://schemas.openxmlformats.org/drawingml/2006/main" xmlns:pic="http://schemas.openxmlformats.org/drawingml/2006/picture">
            <wp:extent cx="5120640" cy="1841811"/>
            <wp:docPr id="92" name="Picture 9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36. Creación de vistas - Cliente escritorio</w:t>
      </w:r>
    </w:p>
    <w:p>
      <w:pPr>
        <w:spacing w:after="80" w:line="276" w:lineRule="auto"/>
      </w:pPr>
      <w:r>
        <w:t>CLASE PRINCIPAL (EJECUCIÓN)</w:t>
      </w:r>
    </w:p>
    <w:p>
      <w:pPr>
        <w:spacing w:after="80" w:line="276" w:lineRule="auto"/>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pPr>
        <w:spacing w:before="120" w:after="40"/>
        <w:jc w:val="center"/>
      </w:pPr>
      <w:r>
        <w:drawing>
          <wp:inline xmlns:a="http://schemas.openxmlformats.org/drawingml/2006/main" xmlns:pic="http://schemas.openxmlformats.org/drawingml/2006/picture">
            <wp:extent cx="5120640" cy="1841811"/>
            <wp:docPr id="93" name="Picture 93"/>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37. Creación de vistas - Cliente escritorio</w:t>
      </w:r>
    </w:p>
    <w:p>
      <w:pPr>
        <w:pStyle w:val="Ttulo3"/>
        <w:spacing w:before="160" w:after="40"/>
      </w:pPr>
      <w:r>
        <w:t>EJECUCIÓN DEL CLIENTE DE ESCRITORIO</w:t>
      </w:r>
    </w:p>
    <w:p>
      <w:pPr>
        <w:spacing w:before="120" w:after="40"/>
        <w:jc w:val="center"/>
      </w:pPr>
      <w:r>
        <w:drawing>
          <wp:inline xmlns:a="http://schemas.openxmlformats.org/drawingml/2006/main" xmlns:pic="http://schemas.openxmlformats.org/drawingml/2006/picture">
            <wp:extent cx="5120640" cy="5767553"/>
            <wp:docPr id="94" name="Picture 94"/>
            <wp:cNvGraphicFramePr>
              <a:graphicFrameLocks noChangeAspect="1"/>
            </wp:cNvGraphicFramePr>
            <a:graphic>
              <a:graphicData uri="http://schemas.openxmlformats.org/drawingml/2006/picture">
                <pic:pic>
                  <pic:nvPicPr>
                    <pic:cNvPr id="0" name="soap_cliesc_login.png"/>
                    <pic:cNvPicPr/>
                  </pic:nvPicPr>
                  <pic:blipFill>
                    <a:blip r:embed="rId77"/>
                    <a:stretch>
                      <a:fillRect/>
                    </a:stretch>
                  </pic:blipFill>
                  <pic:spPr>
                    <a:xfrm>
                      <a:off x="0" y="0"/>
                      <a:ext cx="5120640" cy="5767553"/>
                    </a:xfrm>
                    <a:prstGeom prst="rect"/>
                  </pic:spPr>
                </pic:pic>
              </a:graphicData>
            </a:graphic>
          </wp:inline>
        </w:drawing>
      </w:r>
    </w:p>
    <w:p>
      <w:pPr>
        <w:spacing w:before="40" w:after="160"/>
        <w:jc w:val="center"/>
      </w:pPr>
      <w:r>
        <w:rPr>
          <w:rFonts w:ascii="Arial" w:hAnsi="Arial"/>
          <w:i/>
          <w:color w:val="5A5A5A"/>
          <w:sz w:val="18"/>
        </w:rPr>
        <w:t>Figura 38. Login - Cliente escritorio</w:t>
      </w:r>
    </w:p>
    <w:p>
      <w:pPr>
        <w:spacing w:before="120" w:after="40"/>
        <w:jc w:val="center"/>
      </w:pPr>
      <w:r>
        <w:drawing>
          <wp:inline xmlns:a="http://schemas.openxmlformats.org/drawingml/2006/main" xmlns:pic="http://schemas.openxmlformats.org/drawingml/2006/picture">
            <wp:extent cx="5120640" cy="4170521"/>
            <wp:docPr id="95" name="Picture 95"/>
            <wp:cNvGraphicFramePr>
              <a:graphicFrameLocks noChangeAspect="1"/>
            </wp:cNvGraphicFramePr>
            <a:graphic>
              <a:graphicData uri="http://schemas.openxmlformats.org/drawingml/2006/picture">
                <pic:pic>
                  <pic:nvPicPr>
                    <pic:cNvPr id="0" name="soap_cliesc_conversion.png"/>
                    <pic:cNvPicPr/>
                  </pic:nvPicPr>
                  <pic:blipFill>
                    <a:blip r:embed="rId78"/>
                    <a:stretch>
                      <a:fillRect/>
                    </a:stretch>
                  </pic:blipFill>
                  <pic:spPr>
                    <a:xfrm>
                      <a:off x="0" y="0"/>
                      <a:ext cx="5120640" cy="4170521"/>
                    </a:xfrm>
                    <a:prstGeom prst="rect"/>
                  </pic:spPr>
                </pic:pic>
              </a:graphicData>
            </a:graphic>
          </wp:inline>
        </w:drawing>
      </w:r>
    </w:p>
    <w:p>
      <w:pPr>
        <w:spacing w:before="40" w:after="160"/>
        <w:jc w:val="center"/>
      </w:pPr>
      <w:r>
        <w:rPr>
          <w:rFonts w:ascii="Arial" w:hAnsi="Arial"/>
          <w:i/>
          <w:color w:val="5A5A5A"/>
          <w:sz w:val="18"/>
        </w:rPr>
        <w:t>Figura 39. Pantalla de Conversiones - Cliente escritorio</w:t>
      </w:r>
    </w:p>
    <w:p>
      <w:pPr>
        <w:pStyle w:val="Ttulo2"/>
        <w:spacing w:before="200" w:after="60"/>
      </w:pPr>
      <w:r>
        <w:t>CLIENTE WEB</w:t>
      </w:r>
    </w:p>
    <w:p>
      <w:pPr>
        <w:pStyle w:val="Ttulo3"/>
        <w:spacing w:before="160" w:after="40"/>
      </w:pPr>
      <w:r>
        <w:t>CREACIÓN DEL PROYECTO</w:t>
      </w:r>
    </w:p>
    <w:p>
      <w:pPr>
        <w:spacing w:after="80" w:line="276" w:lineRule="auto"/>
      </w:pPr>
      <w:r>
        <w:t>El proyecto se crea de igual manera que el webservice con ‘Web Application’.</w:t>
      </w:r>
    </w:p>
    <w:p>
      <w:pPr>
        <w:pStyle w:val="Ttulo3"/>
        <w:spacing w:before="160" w:after="40"/>
      </w:pPr>
      <w:r>
        <w:t>ESTRUCTURA DEL PROYECTO</w:t>
      </w:r>
    </w:p>
    <w:p>
      <w:pPr>
        <w:spacing w:after="80" w:line="276" w:lineRule="auto"/>
      </w:pPr>
      <w:r>
        <w:t>El cliente web se desarrolló siguiendo el patrón MVC utilizando Servlets y JavaServer Pages (JSP). La estructura separa la lógica de control (en el paquete controlador) de las interfaces de usuario (páginas web).</w:t>
      </w:r>
    </w:p>
    <w:p>
      <w:pPr>
        <w:spacing w:before="120" w:after="40"/>
        <w:jc w:val="center"/>
      </w:pPr>
      <w:r>
        <w:drawing>
          <wp:inline xmlns:a="http://schemas.openxmlformats.org/drawingml/2006/main" xmlns:pic="http://schemas.openxmlformats.org/drawingml/2006/picture">
            <wp:extent cx="5120640" cy="1373263"/>
            <wp:docPr id="96" name="Picture 9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120640" cy="1373263"/>
                    </a:xfrm>
                    <a:prstGeom prst="rect"/>
                  </pic:spPr>
                </pic:pic>
              </a:graphicData>
            </a:graphic>
          </wp:inline>
        </w:drawing>
      </w:r>
    </w:p>
    <w:p>
      <w:pPr>
        <w:spacing w:before="40" w:after="160"/>
        <w:jc w:val="center"/>
      </w:pPr>
      <w:r>
        <w:rPr>
          <w:rFonts w:ascii="Arial" w:hAnsi="Arial"/>
          <w:i/>
          <w:color w:val="5A5A5A"/>
          <w:sz w:val="18"/>
        </w:rPr>
        <w:t>Figura 40. Estructura del proyecto - Cliente web</w:t>
      </w:r>
    </w:p>
    <w:p>
      <w:pPr>
        <w:pStyle w:val="Ttulo2"/>
        <w:spacing w:before="200" w:after="60"/>
      </w:pPr>
      <w:r>
        <w:t>CODIFICACIÓN DEL PROYECTO CLIENTE WEB</w:t>
      </w:r>
    </w:p>
    <w:p>
      <w:pPr>
        <w:spacing w:after="80" w:line="276" w:lineRule="auto"/>
      </w:pPr>
      <w:r>
        <w:t>CONSUMO DEL SERVICIO SOAP (SERVLETS)</w:t>
      </w:r>
    </w:p>
    <w:p>
      <w:pPr>
        <w:spacing w:after="80" w:line="276" w:lineRule="auto"/>
      </w:pPr>
      <w:r>
        <w:t>Para la comunicación con el servidor SOAP, se crearon controladores basados en Servlets de Jakarta EE. Clases como LoginServlet y ConversorServlet se encargan de recibir las peticiones HTTP (GET y POST) desde el navegador, instanciar los clientes JAX-WS para consumir los servicios remotos y redirigir los resultados obtenidos hacia las páginas correspondientes.</w:t>
      </w:r>
    </w:p>
    <w:p>
      <w:pPr>
        <w:spacing w:before="120" w:after="40"/>
        <w:jc w:val="center"/>
      </w:pPr>
      <w:r>
        <w:drawing>
          <wp:inline xmlns:a="http://schemas.openxmlformats.org/drawingml/2006/main" xmlns:pic="http://schemas.openxmlformats.org/drawingml/2006/picture">
            <wp:extent cx="5120640" cy="1605624"/>
            <wp:docPr id="97" name="Picture 97"/>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1605624"/>
                    </a:xfrm>
                    <a:prstGeom prst="rect"/>
                  </pic:spPr>
                </pic:pic>
              </a:graphicData>
            </a:graphic>
          </wp:inline>
        </w:drawing>
      </w:r>
    </w:p>
    <w:p>
      <w:pPr>
        <w:spacing w:before="40" w:after="160"/>
        <w:jc w:val="center"/>
      </w:pPr>
      <w:r>
        <w:rPr>
          <w:rFonts w:ascii="Arial" w:hAnsi="Arial"/>
          <w:i/>
          <w:color w:val="5A5A5A"/>
          <w:sz w:val="18"/>
        </w:rPr>
        <w:t>Figura 41. Creación de servlets - Cliente web</w:t>
      </w:r>
    </w:p>
    <w:p>
      <w:pPr>
        <w:spacing w:after="80" w:line="276" w:lineRule="auto"/>
      </w:pPr>
      <w:r>
        <w:t>Tabla 14. Clase ConversorServlet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ec.edu.monster.controlador; import java.io.IOException; import jakarta.servlet.ServletException; import jakarta.servlet.annotation.WebServlet; import jakarta.servlet.http.HttpServlet; import jakarta.servlet.http.HttpServletRequest; import jakarta.servlet.http.HttpServletResponse; import jakarta.servlet.http.HttpSession; import ec.edu.monster.controlador.WSLongitud_Service; import ec.edu.monster.controlador.WSMasa_Service; import ec.edu.monster.controlador.WSTemperatura_Service; /** * * @author Julio Enrique Viche Castillo - GR09 - NRC 36884 */ @WebServlet(name = "ConversorServlet", urlPatterns = {"/ConversorServlet"}) public class ConversorServlet extends HttpServlet { @Override protected void doPost(HttpServletRequest request, HttpServletResponse response) throws ServletException, IOException { response.setContentType("text/plain;charset=UTF-8"); HttpSession sesion = request.getSession(); String token = (String) sesion.getAttribute("miToken"); if (token == null) { response.getWriter().write("ERROR_SESSION"); return; } double valor = Double.parseDouble(request.getParameter("txtValor")); String tipo = request.getParameter("cmbTipo"); String origen = request.getParameter("txtOrigen"); String destino = request.getParameter("txtDestino"); if (valor &lt; 0 &amp;&amp; (tipo.equals("longitud") // tipo.equals("masa"))) { response.getWriter().write("ERROR: No existen valores negativos en " + tipo + "."); return; } double resultado = 0; try { switch (tipo) { case "longitud": if (valor &lt; 0){ response.getWriter().write("ERROR: No se permiten valores negativos para esta magnitud."); break; } var portLon = new WSLongitud_Service().getWSLongitudPort(); resultado = portLon.convertirLongitud(valor, origen, destino, token); break; case "masa": if (valor &lt; 0){ response.getWriter().write("ERROR: No se permiten valores negativos para esta magnitud."); break; } var portMas = new WSMasa_Service().getWSMasaPort(); resultado = portMas.convertirMasa(valor, origen, destino, token); break; case "temperatura": var portTemp = new WSTemperatura_Service().getWSTemperaturaPort(); resultado = portTemp.convertirTemperatura(valor, origen, destino, token); break; } if (resultado == -9999999.401) { response.getWriter().write("ERROR: Sesión inválida. Loguéate de nuevo."); } else if (resultado == -999999.404) { response.getWriter().write("ERROR: Unidades no reconocidas por el sistema."); } else { response.getWriter().write(String.valueOf(resultado)); } } catch (Exception e) { response.getWriter().write("ERROR: Fallo al conectar con el servicio web."); } }}</w:t>
            </w:r>
          </w:p>
        </w:tc>
      </w:tr>
    </w:tbl>
    <w:p/>
    <w:p>
      <w:pPr>
        <w:spacing w:after="80" w:line="276" w:lineRule="auto"/>
      </w:pPr>
      <w:r>
        <w:t>Tabla 15. Clase LoginServlet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ec.edu.monster.controlador;import ec.edu.monster.controlador.WSLogin_Service; import java.io.IOException;import java.io.PrintWriter;import jakarta.servlet.ServletException;import jakarta.servlet.annotation.WebServlet;import jakarta.servlet.http.HttpServlet;import jakarta.servlet.http.HttpServletRequest;import jakarta.servlet.http.HttpServletResponse;import jakarta.servlet.http.HttpSession;/** * * @author Julio Enrique Viche Castillo - GR09 - NRC 36884 */@WebServlet(name = "LoginServlet", urlPatterns = {"/LoginServlet"})public class LoginServlet extends HttpServlet { @Override protected void doPost(HttpServletRequest request, HttpServletResponse response) throws ServletException, IOException { //Recoger datos del jsp String user = request.getParameter("txtUsuario"); String pass = request.getParameter("txtClave"); try { //Llamar al web service WSLogin_Service loginService = new WSLogin_Service(); var portLogin = loginService.getWSLoginPort(); String token = portLogin.login(user, pass); if (token.contains("ERROR")) { request.setAttribute("error", "Credenciales incorrectas, intenta de nuevo."); request.getRequestDispatcher("index.jsp").forward(request, response); } else { HttpSession sesion = request.getSession(); sesion.setAttribute("miToken", token); response.sendRedirect("conversor.jsp"); } } catch (Exception e) { request.setAttribute("error", "Error de conexión con el Servidor Payara."); request.getRequestDispatcher("index.jsp").forward(request, response); } }}</w:t>
            </w:r>
          </w:p>
        </w:tc>
      </w:tr>
    </w:tbl>
    <w:p/>
    <w:p>
      <w:pPr>
        <w:spacing w:after="80" w:line="276" w:lineRule="auto"/>
      </w:pPr>
      <w:r>
        <w:t>CREACIÓN DE VISTAS</w:t>
      </w:r>
    </w:p>
    <w:p>
      <w:pPr>
        <w:spacing w:after="80" w:line="276" w:lineRule="auto"/>
      </w:pPr>
      <w:r>
        <w:t>Las interfaces de usuario se construyeron utilizando HTML y la tecnología JSP (JavaServer Pages) dentro del directorio Web Pages. Se diseñaron dos vistas principales: index.jsp, que actúa como la pantalla de inicio de sesión interactuando con el LoginServlet, y conversor.jsp, que contiene los formularios dinámicos para seleccionar las unidades de medida, capturar los valores y mostrar los resultados procesados por el ConversorServlet.</w:t>
      </w:r>
    </w:p>
    <w:p>
      <w:pPr>
        <w:spacing w:before="120" w:after="40"/>
        <w:jc w:val="center"/>
      </w:pPr>
      <w:r>
        <w:drawing>
          <wp:inline xmlns:a="http://schemas.openxmlformats.org/drawingml/2006/main" xmlns:pic="http://schemas.openxmlformats.org/drawingml/2006/picture">
            <wp:extent cx="5120640" cy="3093004"/>
            <wp:docPr id="98" name="Picture 98"/>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120640" cy="3093004"/>
                    </a:xfrm>
                    <a:prstGeom prst="rect"/>
                  </pic:spPr>
                </pic:pic>
              </a:graphicData>
            </a:graphic>
          </wp:inline>
        </w:drawing>
      </w:r>
    </w:p>
    <w:p>
      <w:pPr>
        <w:spacing w:before="40" w:after="160"/>
        <w:jc w:val="center"/>
      </w:pPr>
      <w:r>
        <w:rPr>
          <w:rFonts w:ascii="Arial" w:hAnsi="Arial"/>
          <w:i/>
          <w:color w:val="5A5A5A"/>
          <w:sz w:val="18"/>
        </w:rPr>
        <w:t>Figura 42. Creación de vistas - Cliente web</w:t>
      </w:r>
    </w:p>
    <w:p>
      <w:pPr>
        <w:spacing w:after="80" w:line="276" w:lineRule="auto"/>
      </w:pPr>
      <w:r>
        <w:t>Tabla 16. Archivo conversor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&lt;%@page contentType="text/html" pageEncoding="UTF-8"%&gt;&lt;% String token = (String) session.getAttribute("miToken"); if (token == null) { response.sendRedirect("index.jsp"); return; }%&gt;&lt;!DOCTYPE html&gt;&lt;html&gt;&lt;head&gt; &lt;title&gt;Panel de Conversiones - ESPE&lt;/title&gt; &lt;style&gt; /* Estilos generales */ body { font-family: Arial, sans-serif; background-color: #121212; color: white; display: flex; justify-content: center; align-items: center; height: 100vh; margin: 0; } /* Contenedor principal con el borde sutil */ .converter-box { background-color: #111111; padding: 40px; border-radius: 4px; border: 2px solid #e0e0fa; /* Borde clarito de tu imagen */ width: 450px; box-shadow: 0 4px 15px rgba(0,0,0,0.8); } h3 { margin-top: 0; font-size: 1.2em; margin-bottom: 10px; } /* Selector principal de arriba */ .main-select { width: 60%; padding: 8px; background-color: #1a1a1a; color: white; border: 1px solid #555; margin-bottom: 40px; outline: none; } /* Contenedor de las dos columnas */ .columns-container { display: flex; justify-content: space-between; align-items: flex-end; margin-bottom: 30px; } /* Cada columna (Origen y Destino) */ .col { display: flex; flex-direction: column; width: 40%; } .col label { font-weight: bold; font-size: 0.9em; margin-bottom: 15px; } .col select, .col input { background-color: #111; color: white; border: 1px solid #fff; padding: 8px; margin-bottom: 15px; outline: none; } /* Columna del medio para la mano */ .col-center { width: 15%; display: flex; justify-content: center; align-items: center; padding-bottom: 25px; /* Para alinear con los inputs */ } .hand-img { width: 40px; /* Ajusta el tamaño de tu imagen aquí */ } /* Botón azul gigante */ button { background-color: #5b88e5; color: white; cursor: pointer; font-weight: bold; font-size: 1.1em; width: 100%; padding: 15px; border: none; } button:hover { background-color: #4a75c9; } .error { color: #ff4d4d; margin-top: 15px; font-weight: bold; text-align: center; } .logout { display: block; text-align: center; margin-top: 20px; color: #888; text-decoration: none; font-size: 0.9em; } &lt;/style&gt; &lt;script&gt; const dicUnidades = { longitud: ["centimetros", "metros", "pies", "yardas", "millas"], masa: ["gramos", "kilogramos", "libras", "quintales"], temperatura: ["fahrenheit", "kelvin", "celsius", "newton", "reaumur"] }; function actualizarListas() { const magnitud = document.getElementById("cmbTipo").value; const listaOrigen = document.getElementById("listaOrigen"); const listaDestino = document.getElementById("listaDestino"); listaOrigen.innerHTML = ""; listaDestino.innerHTML = ""; dicUnidades[magnitud].forEach(unidad =&gt; { listaOrigen.add(new Option(unidad, unidad)); listaDestino.add(new Option(unidad, unidad)); }); // Limpiamos los inputs al cambiar de magnitud document.getElementById("txtValor").value = ""; document.getElementById("txtResultado").value = ""; document.getElementById("errorTxt").innerText = ""; } window.onload = function() { actualizarListas(); document.getElementById("formConversor").addEventListener("submit", async function(e) { e.preventDefault(); const formData = new URLSearchParams(new FormData(this)); try { const response = await fetch('ConversorServlet', { method: 'POST', body: formData }); const texto = await response.text(); document.getElementById("errorTxt").innerText = ""; document.getElementById("txtResultado").value = ""; if (texto === "ERROR_SESSION") { window.location.href = "index.jsp"; } else if (texto.startsWith("ERROR")) { document.getElementById("errorTxt").innerText = texto.replace("ERROR:", ""); } else { // Aquí metemos el resultado en la cajita derecha document.getElementById("txtResultado").value = texto; } } catch (error) { document.getElementById("errorTxt").innerText = "Error conectando al servidor."; } }); }; &lt;/script&gt;&lt;/head&gt;&lt;body&gt; &lt;div class="converter-box"&gt; &lt;form id="formConversor"&gt; &lt;h3&gt;Elija el tipo de unidad para la conversión&lt;/h3&gt; &lt;select name="cmbTipo" id="cmbTipo" onchange="actualizarListas()" class="main-select"&gt; &lt;option value="longitud"&gt;Longitud&lt;/option&gt; &lt;option value="masa"&gt;Masa&lt;/option&gt; &lt;option value="temperatura"&gt;Temperatura&lt;/option&gt; &lt;/select&gt; &lt;div class="columns-container"&gt; &lt;div class="col"&gt; &lt;label&gt;Unidad de origen&lt;/label&gt; &lt;select name="txtOrigen" id="listaOrigen"&gt;&lt;/select&gt; &lt;input type="number" step="any" name="txtValor" id="txtValor" required&gt; &lt;/div&gt; &lt;div class="col-center"&gt; &lt;img src="Imagenes/flecha40px.png" alt=""/&gt; &lt;/div&gt; &lt;div class="col"&gt; &lt;label&gt;Unidad de destino&lt;/label&gt; &lt;select name="txtDestino" id="listaDestino"&gt;&lt;/select&gt; &lt;input type="text" id="txtResultado" readonly&gt; &lt;/div&gt; &lt;/div&gt; &lt;button type="submit"&gt;CONVERTIR&lt;/button&gt; &lt;/form&gt; &lt;div id="errorTxt" class="error"&gt;&lt;/div&gt; &lt;a href="index.jsp" class="logout"&gt;Cerrar Sesión&lt;/a&gt; &lt;/div&gt;&lt;/body&gt;&lt;/html&gt;</w:t>
            </w:r>
          </w:p>
        </w:tc>
      </w:tr>
    </w:tbl>
    <w:p/>
    <w:p>
      <w:pPr>
        <w:spacing w:after="80" w:line="276" w:lineRule="auto"/>
      </w:pPr>
      <w:r>
        <w:t>Tabla 17. Archivo index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&lt;%@page contentType="text/html" pageEncoding="UTF-8"%&gt;&lt;!DOCTYPE html&gt;&lt;html&gt; &lt;head&gt; &lt;meta charset="UTF-8"&gt; &lt;title&gt;Login - Conversor ESPE&lt;/title&gt; &lt;style&gt; /* Fondo general de la página */ body { font-family: sans-serif; background-color: #121212; color: white; display: flex; justify-content: center; align-items: center; height: 100vh; margin: 0; } /* Contenedor principal (la caja negra) */ .login-container { display: flex; background-color: #151515; padding: 30px; border: 1px solid #333; box-shadow: 0 4px 15px rgba(0,0,0,0.8); gap: 40px; /* Espacio entre el form y la foto */ } /* Columna izquierda (Formulario) */ .form-section { display: flex; flex-direction: column; justify-content: center; width: 280px; } h3 { margin-top: 0; margin-bottom: 40px; font-size: 1.1em; font-weight: bold; } /* Fila para cada label + input */ .input-group { display: flex; justify-content: space-between; align-items: center; margin-bottom: 20px; } label { font-weight: bold; font-size: 0.9em; } input { background-color: #404040; border: none; color: white; padding: 10px; width: 170px; outline: none; } button { background-color: #5b88e5; color: white; border: none; padding: 15px; font-weight: bold; margin-top: 20px; cursor: pointer; width: 100%; font-size: 1em; } button:hover { background-color: #4a75c9; } /* Columna derecha (Imagen) */ .image-section img { width: 220px; height: 100%; object-fit: cover; border-radius: 2px; } /* Mensaje de error */ .error { color: #ff4d4d; font-size: 0.85em; margin-top: 15px; text-align: center; font-weight: bold; } &lt;/style&gt; &lt;/head&gt; &lt;body&gt; &lt;div class="login-container"&gt; &lt;div class="form-section"&gt; &lt;h3&gt;Ingrese sus credenciales:&lt;/h3&gt; &lt;form method="POST" action="LoginServlet"&gt; &lt;div class="input-group"&gt; &lt;label&gt;Usuario:&lt;/label&gt; &lt;input type="text" name="txtUsuario" required&gt; &lt;/div&gt; &lt;div class="input-group"&gt; &lt;label&gt;Clave:&lt;/label&gt; &lt;input type="password" name="txtClave" required&gt; &lt;/div&gt; &lt;button type="submit"&gt;INICIAR SESIÓN&lt;/button&gt; &lt;/form&gt; &lt;%-- Mensaje de error si falla el login --%&gt; &lt;% if(request.getAttribute("error") != null) { %&gt; &lt;div class="error"&gt;&lt;%= request.getAttribute("error") %&gt;&lt;/div&gt; &lt;% } %&gt; &lt;/div&gt; &lt;div class="image-section"&gt; &lt;img src="Imagenes/monsterlogin.jpg" alt=""/&gt; &lt;/div&gt; &lt;/div&gt; &lt;/body&gt;&lt;/html&gt;</w:t>
            </w:r>
          </w:p>
        </w:tc>
      </w:tr>
    </w:tbl>
    <w:p/>
    <w:p>
      <w:pPr>
        <w:spacing w:after="80" w:line="276" w:lineRule="auto"/>
      </w:pPr>
      <w:r>
        <w:t>EJECUCIÓN DEL CLIENTE DE WEB</w:t>
      </w:r>
    </w:p>
    <w:p>
      <w:pPr>
        <w:spacing w:before="120" w:after="40"/>
        <w:jc w:val="center"/>
      </w:pPr>
      <w:r>
        <w:drawing>
          <wp:inline xmlns:a="http://schemas.openxmlformats.org/drawingml/2006/main" xmlns:pic="http://schemas.openxmlformats.org/drawingml/2006/picture">
            <wp:extent cx="5120640" cy="3170396"/>
            <wp:docPr id="99" name="Picture 99"/>
            <wp:cNvGraphicFramePr>
              <a:graphicFrameLocks noChangeAspect="1"/>
            </wp:cNvGraphicFramePr>
            <a:graphic>
              <a:graphicData uri="http://schemas.openxmlformats.org/drawingml/2006/picture">
                <pic:pic>
                  <pic:nvPicPr>
                    <pic:cNvPr id="0" name="soap_cliweb_login.png"/>
                    <pic:cNvPicPr/>
                  </pic:nvPicPr>
                  <pic:blipFill>
                    <a:blip r:embed="rId79"/>
                    <a:stretch>
                      <a:fillRect/>
                    </a:stretch>
                  </pic:blipFill>
                  <pic:spPr>
                    <a:xfrm>
                      <a:off x="0" y="0"/>
                      <a:ext cx="5120640" cy="3170396"/>
                    </a:xfrm>
                    <a:prstGeom prst="rect"/>
                  </pic:spPr>
                </pic:pic>
              </a:graphicData>
            </a:graphic>
          </wp:inline>
        </w:drawing>
      </w:r>
    </w:p>
    <w:p>
      <w:pPr>
        <w:spacing w:before="40" w:after="160"/>
        <w:jc w:val="center"/>
      </w:pPr>
      <w:r>
        <w:rPr>
          <w:rFonts w:ascii="Arial" w:hAnsi="Arial"/>
          <w:i/>
          <w:color w:val="5A5A5A"/>
          <w:sz w:val="18"/>
        </w:rPr>
        <w:t>Figura 43. Login - Cliente web</w:t>
      </w:r>
    </w:p>
    <w:p>
      <w:pPr>
        <w:spacing w:before="120" w:after="40"/>
        <w:jc w:val="center"/>
      </w:pPr>
      <w:r>
        <w:drawing>
          <wp:inline xmlns:a="http://schemas.openxmlformats.org/drawingml/2006/main" xmlns:pic="http://schemas.openxmlformats.org/drawingml/2006/picture">
            <wp:extent cx="5120640" cy="3185398"/>
            <wp:docPr id="100" name="Picture 100"/>
            <wp:cNvGraphicFramePr>
              <a:graphicFrameLocks noChangeAspect="1"/>
            </wp:cNvGraphicFramePr>
            <a:graphic>
              <a:graphicData uri="http://schemas.openxmlformats.org/drawingml/2006/picture">
                <pic:pic>
                  <pic:nvPicPr>
                    <pic:cNvPr id="0" name="soap_cliweb_conversion.png"/>
                    <pic:cNvPicPr/>
                  </pic:nvPicPr>
                  <pic:blipFill>
                    <a:blip r:embed="rId80"/>
                    <a:stretch>
                      <a:fillRect/>
                    </a:stretch>
                  </pic:blipFill>
                  <pic:spPr>
                    <a:xfrm>
                      <a:off x="0" y="0"/>
                      <a:ext cx="5120640" cy="3185398"/>
                    </a:xfrm>
                    <a:prstGeom prst="rect"/>
                  </pic:spPr>
                </pic:pic>
              </a:graphicData>
            </a:graphic>
          </wp:inline>
        </w:drawing>
      </w:r>
    </w:p>
    <w:p>
      <w:pPr>
        <w:spacing w:before="40" w:after="160"/>
        <w:jc w:val="center"/>
      </w:pPr>
      <w:r>
        <w:rPr>
          <w:rFonts w:ascii="Arial" w:hAnsi="Arial"/>
          <w:i/>
          <w:color w:val="5A5A5A"/>
          <w:sz w:val="18"/>
        </w:rPr>
        <w:t>Figura 44. Pantalla de Conversiones - Cliente web</w:t>
      </w:r>
    </w:p>
    <w:p>
      <w:pPr>
        <w:pStyle w:val="Ttulo2"/>
        <w:spacing w:before="200" w:after="60"/>
      </w:pPr>
      <w:r>
        <w:t>CLIENTE MÓVIL</w:t>
      </w:r>
    </w:p>
    <w:p>
      <w:pPr>
        <w:pStyle w:val="Ttulo3"/>
        <w:spacing w:before="160" w:after="40"/>
      </w:pPr>
      <w:r>
        <w:t>CREACIÓN DEL PROYECTO</w:t>
      </w:r>
    </w:p>
    <w:p>
      <w:pPr>
        <w:spacing w:after="80" w:line="276" w:lineRule="auto"/>
      </w:pPr>
      <w:r>
        <w:t>El proyecto se debe crear en Android Studio. Se selecciona la opción ‘New Project’, en la pantalla siguiente ‘Empty Activity’ y finalmente se configura el proyecto con nombre, ubicación y la opción ‘Kotlin’ en Build Configuration Laguaje. Finalizamos haciendo click en el botón ‘Finish’.</w:t>
      </w:r>
    </w:p>
    <w:p>
      <w:pPr>
        <w:spacing w:before="120" w:after="40"/>
        <w:jc w:val="center"/>
      </w:pPr>
      <w:r>
        <w:drawing>
          <wp:inline xmlns:a="http://schemas.openxmlformats.org/drawingml/2006/main" xmlns:pic="http://schemas.openxmlformats.org/drawingml/2006/picture">
            <wp:extent cx="5120640" cy="3698497"/>
            <wp:docPr id="101" name="Picture 101"/>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3698497"/>
                    </a:xfrm>
                    <a:prstGeom prst="rect"/>
                  </pic:spPr>
                </pic:pic>
              </a:graphicData>
            </a:graphic>
          </wp:inline>
        </w:drawing>
      </w:r>
    </w:p>
    <w:p>
      <w:pPr>
        <w:spacing w:before="40" w:after="160"/>
        <w:jc w:val="center"/>
      </w:pPr>
      <w:r>
        <w:rPr>
          <w:rFonts w:ascii="Arial" w:hAnsi="Arial"/>
          <w:i/>
          <w:color w:val="5A5A5A"/>
          <w:sz w:val="18"/>
        </w:rPr>
        <w:t>Figura 45. Configuración del proyecto - Cliente móvil</w:t>
      </w:r>
    </w:p>
    <w:p>
      <w:pPr>
        <w:pStyle w:val="Ttulo3"/>
        <w:spacing w:before="160" w:after="40"/>
      </w:pPr>
      <w:r>
        <w:t>ESTRUCTURA DEL PROYECTO</w:t>
      </w:r>
    </w:p>
    <w:p>
      <w:pPr>
        <w:spacing w:after="80" w:line="276" w:lineRule="auto"/>
      </w:pPr>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pPr>
        <w:spacing w:before="120" w:after="40"/>
        <w:jc w:val="center"/>
      </w:pPr>
      <w:r>
        <w:drawing>
          <wp:inline xmlns:a="http://schemas.openxmlformats.org/drawingml/2006/main" xmlns:pic="http://schemas.openxmlformats.org/drawingml/2006/picture">
            <wp:extent cx="5120640" cy="5016666"/>
            <wp:docPr id="102" name="Picture 102"/>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120640" cy="5016666"/>
                    </a:xfrm>
                    <a:prstGeom prst="rect"/>
                  </pic:spPr>
                </pic:pic>
              </a:graphicData>
            </a:graphic>
          </wp:inline>
        </w:drawing>
      </w:r>
    </w:p>
    <w:p>
      <w:pPr>
        <w:spacing w:before="40" w:after="160"/>
        <w:jc w:val="center"/>
      </w:pPr>
      <w:r>
        <w:rPr>
          <w:rFonts w:ascii="Arial" w:hAnsi="Arial"/>
          <w:i/>
          <w:color w:val="5A5A5A"/>
          <w:sz w:val="18"/>
        </w:rPr>
        <w:t>Figura 46. Estructura del proyecto - Cliente móvil</w:t>
      </w:r>
    </w:p>
    <w:p>
      <w:pPr>
        <w:pStyle w:val="Ttulo2"/>
        <w:spacing w:before="200" w:after="60"/>
      </w:pPr>
      <w:r>
        <w:t>CODIFICACIÓN DEL PROYECTO CLIENTE MÓVIL</w:t>
      </w:r>
    </w:p>
    <w:p>
      <w:pPr>
        <w:pStyle w:val="Ttulo3"/>
        <w:spacing w:before="160" w:after="40"/>
      </w:pPr>
      <w:r>
        <w:t>CREACIÓN DE MODELOS</w:t>
      </w:r>
    </w:p>
    <w:p>
      <w:pPr>
        <w:spacing w:after="80" w:line="276" w:lineRule="auto"/>
      </w:pPr>
      <w:r>
        <w:t>En el paquete model se crearon las clases necesarias para el intercambio de información: ConversionRequest, ConversionResult, LoginResult y la enumeración ServiceType.</w:t>
      </w:r>
    </w:p>
    <w:p>
      <w:pPr>
        <w:spacing w:after="80" w:line="276" w:lineRule="auto"/>
      </w:pPr>
      <w:r>
        <w:t>Adicionalmente, debido a que Android no incluye bibliotecas nativas para el consumo directo de WSDL (como JAX-WS en escritorio), se implementó la clase SoapClient para estructurar y ejecutar las peticiones HTTP/XML hacia el servidor Payara, apoyada por SoapErrorMapper para una correcta gestión de excepciones de red.</w:t>
      </w:r>
    </w:p>
    <w:p>
      <w:pPr>
        <w:spacing w:before="120" w:after="40"/>
        <w:jc w:val="center"/>
      </w:pPr>
      <w:r>
        <w:drawing>
          <wp:inline xmlns:a="http://schemas.openxmlformats.org/drawingml/2006/main" xmlns:pic="http://schemas.openxmlformats.org/drawingml/2006/picture">
            <wp:extent cx="5120640" cy="4549034"/>
            <wp:docPr id="103" name="Picture 103"/>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120640" cy="4549034"/>
                    </a:xfrm>
                    <a:prstGeom prst="rect"/>
                  </pic:spPr>
                </pic:pic>
              </a:graphicData>
            </a:graphic>
          </wp:inline>
        </w:drawing>
      </w:r>
    </w:p>
    <w:p>
      <w:pPr>
        <w:spacing w:before="40" w:after="160"/>
        <w:jc w:val="center"/>
      </w:pPr>
      <w:r>
        <w:rPr>
          <w:rFonts w:ascii="Arial" w:hAnsi="Arial"/>
          <w:i/>
          <w:color w:val="5A5A5A"/>
          <w:sz w:val="18"/>
        </w:rPr>
        <w:t>Figura 47. Creación de modelos - Cliente móvil</w:t>
      </w:r>
    </w:p>
    <w:p>
      <w:pPr>
        <w:spacing w:after="80" w:line="276" w:lineRule="auto"/>
      </w:pPr>
      <w:r>
        <w:t>CREACIÓN DE CONTROLADORES</w:t>
      </w:r>
    </w:p>
    <w:p>
      <w:pPr>
        <w:spacing w:after="80" w:line="276" w:lineRule="auto"/>
      </w:pPr>
      <w:r>
        <w:t>Para el cliente móvil Android se implementa la comunicación SOAP consumiendo los Web Services mediante peticiones HTTP POST con sobres XML (SOAP Envelope). En el paquete controller se desarrollaron las clases LoginController y ConversionController. Estos controladores operan de forma asíncrona (en hilos secundarios) para no bloquear la interfaz gráfica; capturan los datos de la pantalla, invocan al SoapClient pasándole los parámetros requeridos y devuelven la respuesta procesada a las actividades correspondientes.</w:t>
      </w:r>
    </w:p>
    <w:p>
      <w:pPr>
        <w:spacing w:before="120" w:after="40"/>
        <w:jc w:val="center"/>
      </w:pPr>
      <w:r>
        <w:drawing>
          <wp:inline xmlns:a="http://schemas.openxmlformats.org/drawingml/2006/main" xmlns:pic="http://schemas.openxmlformats.org/drawingml/2006/picture">
            <wp:extent cx="5120640" cy="1864311"/>
            <wp:docPr id="104" name="Picture 104"/>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120640" cy="1864311"/>
                    </a:xfrm>
                    <a:prstGeom prst="rect"/>
                  </pic:spPr>
                </pic:pic>
              </a:graphicData>
            </a:graphic>
          </wp:inline>
        </w:drawing>
      </w:r>
    </w:p>
    <w:p>
      <w:pPr>
        <w:spacing w:before="40" w:after="160"/>
        <w:jc w:val="center"/>
      </w:pPr>
      <w:r>
        <w:rPr>
          <w:rFonts w:ascii="Arial" w:hAnsi="Arial"/>
          <w:i/>
          <w:color w:val="5A5A5A"/>
          <w:sz w:val="18"/>
        </w:rPr>
        <w:t>Figura 48. Creación de controladores - Cliente móvil</w:t>
      </w:r>
    </w:p>
    <w:p>
      <w:pPr>
        <w:spacing w:after="80" w:line="276" w:lineRule="auto"/>
      </w:pPr>
      <w:r>
        <w:t>Tabla 18. Clase LoginController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ec.edu.monster.conuniclientemovil.controller;import ec.edu.monster.conuniclientemovil.model.LoginResult;import ec.edu.monster.conuniclientemovil.model.SoapClient;import java.util.concurrent.ExecutionException;import java.util.concurrent.ExecutorService;import java.util.concurrent.Executors;public class LoginController { /** * Callback para el resultado del login. */ public interface LoginCallback { void onResult(LoginResult result); } private final SoapClient soapClient; private final ExecutorService executorService; public LoginController(SoapClient soapClient) { this(soapClient, Executors.newSingleThreadExecutor()); } public LoginController(SoapClient soapClient, ExecutorService executorService) { this.soapClient = soapClient; this.executorService = executorService; } /** * Ejecuta el login de forma asíncrona. */ public void login(String baseUrl, String usuario, String clave, LoginCallback callback) { executorService.execute(() -&gt; { try { String token = soapClient.login(baseUrl, usuario, clave).get(); callback.onResult(LoginResult.success(token)); } catch (Exception exception) { callback.onResult(LoginResult.error(extractMessage(exception))); } }); } public void shutdown() { executorService.shutdown(); } private String extractMessage(Exception exception) { Throwable cause = exception; if (exception instanceof ExecutionException &amp;&amp; exception.getCause() != null) { cause = exception.getCause(); } String message = cause.getMessage(); if (message == null // message.trim().isEmpty()) { return "Error desconocido"; } return message; }}</w:t>
            </w:r>
          </w:p>
        </w:tc>
      </w:tr>
    </w:tbl>
    <w:p/>
    <w:p>
      <w:pPr>
        <w:spacing w:after="80" w:line="276" w:lineRule="auto"/>
      </w:pPr>
      <w:r>
        <w:t>Tabla 19. Clase ConversionController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ec.edu.monster.conuniclientemovil.controller;import ec.edu.monster.conuniclientemovil.model.ConversionRequest;import ec.edu.monster.conuniclientemovil.model.ConversionResult;import ec.edu.monster.conuniclientemovil.model.ServiceType;import ec.edu.monster.conuniclientemovil.model.SoapClient;import ec.edu.monster.conuniclientemovil.model.SoapErrorMapper;import java.util.concurrent.ExecutionException;import java.util.concurrent.ExecutorService;import java.util.concurrent.Executors;public class ConversionController { /** * Callback para operaciones de conversión. */ public interface ConversionCallback { void onResult(ConversionResult result); } private final SoapClient soapClient; private final ExecutorService executorService; public ConversionController(SoapClient soapClient) { this(soapClient, Executors.newSingleThreadExecutor()); } public ConversionController(SoapClient soapClient, ExecutorService executorService) { this.soapClient = soapClient; this.executorService = executorService; } /** * Ejecuta una conversión de forma asíncrona usando el modelo ConversionRequest. */ public void convert(ConversionRequest request, String baseUrl, ConversionCallback callback) { executorService.execute(() -&gt; { try { double result = executeConversion( request.getServiceType(), baseUrl, request.getValue(), request.getOriginUnit(), request.getDestinationUnit(), request.getToken() ); String mappedError = SoapErrorMapper.mapConversionError( request.getServiceType(), result); if (mappedError != null) { callback.onResult(ConversionResult.serviceError(mappedError, result)); return; } callback.onResult(ConversionResult.success(result)); } catch (Exception exception) { callback.onResult(ConversionResult.error(extractMessage(exception))); } }); } public void shutdown() { executorService.shutdown(); } private double executeConversion( ServiceType serviceType, String baseUrl, double inputValue, String origin, String destination, String token ) throws Exception { switch (serviceType) { case LONGITUD: return soapClient.convertirLongitud(baseUrl, inputValue, origin, destination, token).get(); case MASA: return soapClient.convertirMasa(baseUrl, inputValue, origin, destination, token).get(); case TEMPERATURA: return soapClient.convertirTemperatura(baseUrl, inputValue, origin, destination, token).get(); default: throw new IllegalArgumentException("Servicio no soportado: " + serviceType); } } private String extractMessage(Exception exception) { Throwable cause = exception; if (exception instanceof ExecutionException &amp;&amp; exception.getCause() != null) { cause = exception.getCause(); } String message = cause.getMessage(); if (message == null // message.trim().isEmpty()) { return "Error desconocido"; } return message; }}</w:t>
            </w:r>
          </w:p>
        </w:tc>
      </w:tr>
    </w:tbl>
    <w:p/>
    <w:p>
      <w:pPr>
        <w:spacing w:after="80" w:line="276" w:lineRule="auto"/>
      </w:pPr>
      <w:r>
        <w:t>CREACIÓN DE VISTAS</w:t>
      </w:r>
    </w:p>
    <w:p>
      <w:pPr>
        <w:spacing w:after="80" w:line="276" w:lineRule="auto"/>
      </w:pPr>
      <w:r>
        <w:t>Se crean los archivos de interfaz gráfica en el paquete views.</w:t>
      </w:r>
    </w:p>
    <w:p>
      <w:pPr>
        <w:spacing w:before="120" w:after="40"/>
        <w:jc w:val="center"/>
      </w:pPr>
      <w:r>
        <w:drawing>
          <wp:inline xmlns:a="http://schemas.openxmlformats.org/drawingml/2006/main" xmlns:pic="http://schemas.openxmlformats.org/drawingml/2006/picture">
            <wp:extent cx="5120640" cy="1854927"/>
            <wp:docPr id="105" name="Picture 105"/>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120640" cy="1854927"/>
                    </a:xfrm>
                    <a:prstGeom prst="rect"/>
                  </pic:spPr>
                </pic:pic>
              </a:graphicData>
            </a:graphic>
          </wp:inline>
        </w:drawing>
      </w:r>
    </w:p>
    <w:p>
      <w:pPr>
        <w:spacing w:before="40" w:after="160"/>
        <w:jc w:val="center"/>
      </w:pPr>
      <w:r>
        <w:rPr>
          <w:rFonts w:ascii="Arial" w:hAnsi="Arial"/>
          <w:i/>
          <w:color w:val="5A5A5A"/>
          <w:sz w:val="18"/>
        </w:rPr>
        <w:t>Figura 49. Creación de vistas - Cliente móvil</w:t>
      </w:r>
    </w:p>
    <w:p>
      <w:pPr>
        <w:pStyle w:val="Ttulo3"/>
        <w:spacing w:before="160" w:after="40"/>
      </w:pPr>
      <w:r>
        <w:t>EJECUCIÓN DEL CLIENTE DE MÓVIL</w:t>
      </w:r>
    </w:p>
    <w:p>
      <w:pPr>
        <w:spacing w:before="120" w:after="40"/>
        <w:jc w:val="center"/>
      </w:pPr>
      <w:r>
        <w:drawing>
          <wp:inline xmlns:a="http://schemas.openxmlformats.org/drawingml/2006/main" xmlns:pic="http://schemas.openxmlformats.org/drawingml/2006/picture">
            <wp:extent cx="4602079" cy="6217920"/>
            <wp:docPr id="106" name="Picture 106"/>
            <wp:cNvGraphicFramePr>
              <a:graphicFrameLocks noChangeAspect="1"/>
            </wp:cNvGraphicFramePr>
            <a:graphic>
              <a:graphicData uri="http://schemas.openxmlformats.org/drawingml/2006/picture">
                <pic:pic>
                  <pic:nvPicPr>
                    <pic:cNvPr id="0" name="soap_climov_login.png"/>
                    <pic:cNvPicPr/>
                  </pic:nvPicPr>
                  <pic:blipFill>
                    <a:blip r:embed="rId81"/>
                    <a:stretch>
                      <a:fillRect/>
                    </a:stretch>
                  </pic:blipFill>
                  <pic:spPr>
                    <a:xfrm>
                      <a:off x="0" y="0"/>
                      <a:ext cx="4602079" cy="6217920"/>
                    </a:xfrm>
                    <a:prstGeom prst="rect"/>
                  </pic:spPr>
                </pic:pic>
              </a:graphicData>
            </a:graphic>
          </wp:inline>
        </w:drawing>
      </w:r>
    </w:p>
    <w:p>
      <w:pPr>
        <w:spacing w:before="40" w:after="160"/>
        <w:jc w:val="center"/>
      </w:pPr>
      <w:r>
        <w:rPr>
          <w:rFonts w:ascii="Arial" w:hAnsi="Arial"/>
          <w:i/>
          <w:color w:val="5A5A5A"/>
          <w:sz w:val="18"/>
        </w:rPr>
        <w:t>Figura 50. Login - Cliente móvil</w:t>
      </w:r>
    </w:p>
    <w:p>
      <w:pPr>
        <w:spacing w:before="120" w:after="40"/>
        <w:jc w:val="center"/>
      </w:pPr>
      <w:r>
        <w:drawing>
          <wp:inline xmlns:a="http://schemas.openxmlformats.org/drawingml/2006/main" xmlns:pic="http://schemas.openxmlformats.org/drawingml/2006/picture">
            <wp:extent cx="2736183" cy="6217920"/>
            <wp:docPr id="107" name="Picture 107"/>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2736183" cy="6217920"/>
                    </a:xfrm>
                    <a:prstGeom prst="rect"/>
                  </pic:spPr>
                </pic:pic>
              </a:graphicData>
            </a:graphic>
          </wp:inline>
        </w:drawing>
      </w:r>
    </w:p>
    <w:p>
      <w:pPr>
        <w:spacing w:before="40" w:after="160"/>
        <w:jc w:val="center"/>
      </w:pPr>
      <w:r>
        <w:rPr>
          <w:rFonts w:ascii="Arial" w:hAnsi="Arial"/>
          <w:i/>
          <w:color w:val="5A5A5A"/>
          <w:sz w:val="18"/>
        </w:rPr>
        <w:t>Figura 51. Pantalla de Conversiones - Cliente móvil</w:t>
      </w:r>
    </w:p>
    <w:p>
      <w:pPr>
        <w:pStyle w:val="Ttulo3"/>
        <w:spacing w:before="160" w:after="40"/>
      </w:pPr>
      <w:r>
        <w:t>CONCLUSIONES</w:t>
      </w:r>
    </w:p>
    <w:p>
      <w:pPr>
        <w:spacing w:after="80" w:line="276" w:lineRule="auto"/>
      </w:pPr>
      <w:r>
        <w:t>El desarrollo del proyecto permitió integrar múltiples tecnologías y herramientas necesarias para la construcción de un sistema completo basado en una arquitectura orientada a servicios (SOA) con SOAP, aplicando buenas prácticas de ingeniería de software. La instalación y configuración de entornos como NetBeans, el servidor Payara, Jakarta EE y Android Studio facilitaron un flujo de trabajo ordenado, garantizando que todos los componentes del sistema se ejecuten de forma consistente.</w:t>
      </w:r>
    </w:p>
    <w:p>
      <w:pPr>
        <w:spacing w:after="80" w:line="276" w:lineRule="auto"/>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pPr>
        <w:spacing w:after="80" w:line="276" w:lineRule="auto"/>
      </w:pPr>
      <w:r>
        <w:t>La construcción de los cuatro clientes (consola, escritorio, web con JSP/Servlets y móvil con Android) permitió evidenciar la correcta comunicación y consumo de servicios SOAP a partir del archivo WSDL. Se demostró la interoperabilidad entre tecnologías, gestionando exitosamente las peticiones JAX-WS en Java y estructurando peticiones HTTP/XML nativas en el entorno móvil. Además, se verificó el funcionamiento completo del flujo, desde el inicio de sesión hasta las transformaciones de longitud, masa y temperatura.</w:t>
      </w:r>
    </w:p>
    <w:p>
      <w:pPr>
        <w:spacing w:after="80" w:line="276" w:lineRule="auto"/>
      </w:pPr>
      <w:r>
        <w:t>En conjunto, el proyecto consolida los aprendizajes del ciclo completo de desarrollo de software para servicios web clásicos: configuración del servidor de aplicaciones, diseño de la interfaz WSDL, exposición de métodos (WebMethods), consumo desde distintos clientes y validación funcional mediante pruebas controladas.</w:t>
      </w:r>
    </w:p>
    <w:p>
      <w:pPr>
        <w:pStyle w:val="Ttulo3"/>
        <w:spacing w:before="160" w:after="40"/>
      </w:pPr>
      <w:r>
        <w:t>RECOMENDACIONES</w:t>
      </w:r>
    </w:p>
    <w:p>
      <w:pPr>
        <w:spacing w:after="80" w:line="276" w:lineRule="auto"/>
      </w:pPr>
      <w:r>
        <w:t>Mantener la estructura modular y el patrón MVC utilizados en el proyecto para futuros desarrollos, ya que permite escalar nuevas categorías de conversión sin comprometer la arquitectura inicial del servidor SOAP.</w:t>
      </w:r>
    </w:p>
    <w:p>
      <w:pPr>
        <w:spacing w:after="80" w:line="276" w:lineRule="auto"/>
      </w:pPr>
      <w:r>
        <w:t>Implementar un manejo de excepciones más detallado (como SOAPFaults) en el servidor, de modo que cuando el cliente envíe unidades no soportadas o datos erróneos, los mensajes de error XML sean estandarizados y faciliten el diagnóstico.</w:t>
      </w:r>
    </w:p>
    <w:p>
      <w:pPr>
        <w:spacing w:after="80" w:line="276" w:lineRule="auto"/>
      </w:pPr>
      <w:r>
        <w:t>Añadir validaciones más estrictas en los servicios, especialmente en el control del tiempo de vida de las sesiones del usuario y en el bloqueo de peticiones con valores numéricos inválidos (como medidas de masa negativas).</w:t>
      </w:r>
    </w:p>
    <w:p>
      <w:pPr>
        <w:spacing w:after="80" w:line="276" w:lineRule="auto"/>
      </w:pPr>
      <w:r>
        <w:t>Integrar un sistema de logs en el servidor Payara, lo cual permitiría rastrear las solicitudes SOAP entrantes y analizar el comportamiento de las conversiones en diferentes clientes.</w:t>
      </w:r>
    </w:p>
    <w:p>
      <w:pPr>
        <w:spacing w:after="80" w:line="276" w:lineRule="auto"/>
      </w:pPr>
      <w:r>
        <w:t>Implementar mecanismos de caché o estructuras de datos optimizadas en memoria para los catálogos de unidades, en caso de que el sistema escale a un volumen masivo de peticiones concurrentes.</w:t>
      </w:r>
    </w:p>
    <w:p>
      <w:pPr>
        <w:spacing w:after="80" w:line="276" w:lineRule="auto"/>
      </w:pPr>
      <w:r>
        <w:t>Desarrollar pruebas unitarias en la capa de servicios para asegurar la exactitud de las fórmulas matemáticas utilizadas en las transformaciones de temperatura, longitud y masa ante futuras modificaciones.</w:t>
      </w:r>
    </w:p>
    <w:p>
      <w:pPr>
        <w:spacing w:after="80" w:line="276" w:lineRule="auto"/>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pPr>
        <w:spacing w:after="80" w:line="276" w:lineRule="auto"/>
      </w:pPr>
      <w:r>
        <w:t>Documentar el contrato WSDL detalladamente con comentarios estructurados, lo que permitirá a futuros desarrolladores entender rápidamente los tipos de datos requeridos y facilitar su consumo desde sistemas construidos en otros lenguajes de programación.</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Soto</dc:creator>
  <cp:lastModifiedBy>Eduardo Mauricio Campaña Ortega</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