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both"/>
        <w:rPr>
          <w:rFonts w:ascii="Arial" w:hAnsi="Arial" w:eastAsia="" w:cs="Arial" w:eastAsiaTheme="majorEastAsia"/>
          <w:b/>
          <w:spacing w:val="-10"/>
          <w:kern w:val="2"/>
          <w:sz w:val="24"/>
          <w:szCs w:val="24"/>
          <w:lang w:val="es-ES_tradnl"/>
        </w:rPr>
      </w:pPr>
      <w:bookmarkStart w:id="0" w:name="_Toc74581875"/>
      <w:bookmarkStart w:id="1" w:name="_Hlk37848216"/>
      <w:bookmarkEnd w:id="1"/>
      <w:r>
        <mc:AlternateContent>
          <mc:Choice Requires="wpg">
            <w:drawing>
              <wp:anchor behindDoc="1" distT="0" distB="0" distL="635" distR="635" simplePos="0" locked="0" layoutInCell="0" allowOverlap="1" relativeHeight="2" wp14:anchorId="5D8D6F89">
                <wp:simplePos x="0" y="0"/>
                <wp:positionH relativeFrom="page">
                  <wp:posOffset>473075</wp:posOffset>
                </wp:positionH>
                <wp:positionV relativeFrom="page">
                  <wp:posOffset>544830</wp:posOffset>
                </wp:positionV>
                <wp:extent cx="2133600" cy="8869680"/>
                <wp:effectExtent l="635" t="0" r="635" b="0"/>
                <wp:wrapNone/>
                <wp:docPr id="1" name="Grupo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720" cy="8869680"/>
                          <a:chOff x="0" y="0"/>
                          <a:chExt cx="2133720" cy="886968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192240" cy="886968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3" name="Pentágono 2"/>
                        <wps:cNvSpPr/>
                        <wps:spPr>
                          <a:xfrm>
                            <a:off x="246240" y="1172880"/>
                            <a:ext cx="1483920" cy="534600"/>
                          </a:xfrm>
                          <a:prstGeom prst="homePlate">
                            <a:avLst>
                              <a:gd name="adj" fmla="val 50000"/>
                            </a:avLst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Spacing"/>
                                <w:jc w:val="right"/>
                                <w:rPr>
                                  <w:color w:themeColor="background1" w:val="FFFFFF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alias w:val="Fecha"/>
                                  <w:id w:val="737676993"/>
                                  <w:showingPlcHdr/>
                                  <w:date>
                                    <w:dateFormat w:val="d-M-yyyy"/>
                                    <w:lid w:val="es-ES"/>
                                  </w:date>
                                </w:sdtPr>
                                <w:sdtContent>
                                  <w:r>
                                    <w:rPr>
                                      <w:color w:themeColor="background1" w:val="FFFFFF"/>
                                      <w:sz w:val="28"/>
                                      <w:szCs w:val="28"/>
                                    </w:rPr>
                                  </w:r>
                                  <w:r>
                                    <w:rPr>
                                      <w:color w:themeColor="background1" w:val="FFFFFF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76320" y="4092120"/>
                            <a:ext cx="2057400" cy="4772520"/>
                          </a:xfrm>
                        </wpg:grpSpPr>
                        <wpg:grpSp>
                          <wpg:cNvGrpSpPr/>
                          <wpg:grpSpPr>
                            <a:xfrm>
                              <a:off x="95040" y="0"/>
                              <a:ext cx="1650240" cy="4772520"/>
                            </a:xfrm>
                          </wpg:grpSpPr>
                          <wps:wsp>
                            <wps:cNvPr id="4" name="Forma libre 16"/>
                            <wps:cNvSpPr/>
                            <wps:spPr>
                              <a:xfrm>
                                <a:off x="360000" y="3067560"/>
                                <a:ext cx="303480" cy="1066320"/>
                              </a:xfrm>
                              <a:custGeom>
                                <a:avLst/>
                                <a:gdLst>
                                  <a:gd name="textAreaLeft" fmla="*/ 0 w 172080"/>
                                  <a:gd name="textAreaRight" fmla="*/ 173160 w 172080"/>
                                  <a:gd name="textAreaTop" fmla="*/ 0 h 604440"/>
                                  <a:gd name="textAreaBottom" fmla="*/ 605520 h 6044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" name="Forma libre 17"/>
                            <wps:cNvSpPr/>
                            <wps:spPr>
                              <a:xfrm>
                                <a:off x="680760" y="4121640"/>
                                <a:ext cx="289440" cy="650880"/>
                              </a:xfrm>
                              <a:custGeom>
                                <a:avLst/>
                                <a:gdLst>
                                  <a:gd name="textAreaLeft" fmla="*/ 0 w 164160"/>
                                  <a:gd name="textAreaRight" fmla="*/ 165240 w 164160"/>
                                  <a:gd name="textAreaTop" fmla="*/ 0 h 369000"/>
                                  <a:gd name="textAreaBottom" fmla="*/ 370080 h 36900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" name="Forma libre 18"/>
                            <wps:cNvSpPr/>
                            <wps:spPr>
                              <a:xfrm>
                                <a:off x="0" y="0"/>
                                <a:ext cx="348120" cy="3088080"/>
                              </a:xfrm>
                              <a:custGeom>
                                <a:avLst/>
                                <a:gdLst>
                                  <a:gd name="textAreaLeft" fmla="*/ 0 w 197280"/>
                                  <a:gd name="textAreaRight" fmla="*/ 198360 w 197280"/>
                                  <a:gd name="textAreaTop" fmla="*/ 0 h 1750680"/>
                                  <a:gd name="textAreaBottom" fmla="*/ 1751760 h 17506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" name="Forma libre 19"/>
                            <wps:cNvSpPr/>
                            <wps:spPr>
                              <a:xfrm>
                                <a:off x="315000" y="995040"/>
                                <a:ext cx="111240" cy="2071440"/>
                              </a:xfrm>
                              <a:custGeom>
                                <a:avLst/>
                                <a:gdLst>
                                  <a:gd name="textAreaLeft" fmla="*/ 0 w 63000"/>
                                  <a:gd name="textAreaRight" fmla="*/ 64080 w 63000"/>
                                  <a:gd name="textAreaTop" fmla="*/ 0 h 1174320"/>
                                  <a:gd name="textAreaBottom" fmla="*/ 1175400 h 117432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8" name="Forma libre 26"/>
                            <wps:cNvSpPr/>
                            <wps:spPr>
                              <a:xfrm>
                                <a:off x="349920" y="3089880"/>
                                <a:ext cx="383400" cy="1525320"/>
                              </a:xfrm>
                              <a:custGeom>
                                <a:avLst/>
                                <a:gdLst>
                                  <a:gd name="textAreaLeft" fmla="*/ 0 w 217440"/>
                                  <a:gd name="textAreaRight" fmla="*/ 218520 w 217440"/>
                                  <a:gd name="textAreaTop" fmla="*/ 0 h 864720"/>
                                  <a:gd name="textAreaBottom" fmla="*/ 865800 h 86472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9" name="Forma libre 27"/>
                            <wps:cNvSpPr/>
                            <wps:spPr>
                              <a:xfrm>
                                <a:off x="755640" y="4606920"/>
                                <a:ext cx="80640" cy="165600"/>
                              </a:xfrm>
                              <a:custGeom>
                                <a:avLst/>
                                <a:gdLst>
                                  <a:gd name="textAreaLeft" fmla="*/ 0 w 45720"/>
                                  <a:gd name="textAreaRight" fmla="*/ 46800 w 45720"/>
                                  <a:gd name="textAreaTop" fmla="*/ 0 h 93960"/>
                                  <a:gd name="textAreaBottom" fmla="*/ 95040 h 939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0" name="Forma libre 28"/>
                            <wps:cNvSpPr/>
                            <wps:spPr>
                              <a:xfrm>
                                <a:off x="337320" y="2971080"/>
                                <a:ext cx="36360" cy="224280"/>
                              </a:xfrm>
                              <a:custGeom>
                                <a:avLst/>
                                <a:gdLst>
                                  <a:gd name="textAreaLeft" fmla="*/ 0 w 20520"/>
                                  <a:gd name="textAreaRight" fmla="*/ 21600 w 20520"/>
                                  <a:gd name="textAreaTop" fmla="*/ 0 h 127080"/>
                                  <a:gd name="textAreaBottom" fmla="*/ 128160 h 1270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1" name="Forma libre 29"/>
                            <wps:cNvSpPr/>
                            <wps:spPr>
                              <a:xfrm>
                                <a:off x="665640" y="2261520"/>
                                <a:ext cx="984960" cy="1857240"/>
                              </a:xfrm>
                              <a:custGeom>
                                <a:avLst/>
                                <a:gdLst>
                                  <a:gd name="textAreaLeft" fmla="*/ 0 w 558360"/>
                                  <a:gd name="textAreaRight" fmla="*/ 559440 w 558360"/>
                                  <a:gd name="textAreaTop" fmla="*/ 0 h 1053000"/>
                                  <a:gd name="textAreaBottom" fmla="*/ 1054080 h 105300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2" name="Forma libre 30"/>
                            <wps:cNvSpPr/>
                            <wps:spPr>
                              <a:xfrm>
                                <a:off x="665640" y="4136040"/>
                                <a:ext cx="88200" cy="469440"/>
                              </a:xfrm>
                              <a:custGeom>
                                <a:avLst/>
                                <a:gdLst>
                                  <a:gd name="textAreaLeft" fmla="*/ 0 w 50040"/>
                                  <a:gd name="textAreaRight" fmla="*/ 51120 w 50040"/>
                                  <a:gd name="textAreaTop" fmla="*/ 0 h 266040"/>
                                  <a:gd name="textAreaBottom" fmla="*/ 267120 h 2660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3" name="Forma libre 31"/>
                            <wps:cNvSpPr/>
                            <wps:spPr>
                              <a:xfrm>
                                <a:off x="735480" y="4616280"/>
                                <a:ext cx="75600" cy="155520"/>
                              </a:xfrm>
                              <a:custGeom>
                                <a:avLst/>
                                <a:gdLst>
                                  <a:gd name="textAreaLeft" fmla="*/ 0 w 42840"/>
                                  <a:gd name="textAreaRight" fmla="*/ 43920 w 42840"/>
                                  <a:gd name="textAreaTop" fmla="*/ 0 h 88200"/>
                                  <a:gd name="textAreaBottom" fmla="*/ 89280 h 8820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4" name="Forma libre 32"/>
                            <wps:cNvSpPr/>
                            <wps:spPr>
                              <a:xfrm>
                                <a:off x="665640" y="4079520"/>
                                <a:ext cx="15840" cy="100440"/>
                              </a:xfrm>
                              <a:custGeom>
                                <a:avLst/>
                                <a:gdLst>
                                  <a:gd name="textAreaLeft" fmla="*/ 0 w 9000"/>
                                  <a:gd name="textAreaRight" fmla="*/ 10080 w 9000"/>
                                  <a:gd name="textAreaTop" fmla="*/ 0 h 56880"/>
                                  <a:gd name="textAreaBottom" fmla="*/ 57960 h 568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5" name="Forma libre 33"/>
                            <wps:cNvSpPr/>
                            <wps:spPr>
                              <a:xfrm>
                                <a:off x="703080" y="4488120"/>
                                <a:ext cx="110520" cy="284400"/>
                              </a:xfrm>
                              <a:custGeom>
                                <a:avLst/>
                                <a:gdLst>
                                  <a:gd name="textAreaLeft" fmla="*/ 0 w 62640"/>
                                  <a:gd name="textAreaRight" fmla="*/ 63720 w 62640"/>
                                  <a:gd name="textAreaTop" fmla="*/ 0 h 161280"/>
                                  <a:gd name="textAreaBottom" fmla="*/ 162360 h 1612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1f497d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GrpSpPr/>
                          <wpg:grpSpPr>
                            <a:xfrm>
                              <a:off x="0" y="942120"/>
                              <a:ext cx="2057400" cy="3830400"/>
                            </a:xfrm>
                          </wpg:grpSpPr>
                          <wps:wsp>
                            <wps:cNvPr id="16" name="Forma libre 35"/>
                            <wps:cNvSpPr/>
                            <wps:spPr>
                              <a:xfrm>
                                <a:off x="89280" y="1233360"/>
                                <a:ext cx="465480" cy="1629360"/>
                              </a:xfrm>
                              <a:custGeom>
                                <a:avLst/>
                                <a:gdLst>
                                  <a:gd name="textAreaLeft" fmla="*/ 0 w 263880"/>
                                  <a:gd name="textAreaRight" fmla="*/ 264960 w 263880"/>
                                  <a:gd name="textAreaTop" fmla="*/ 0 h 923760"/>
                                  <a:gd name="textAreaBottom" fmla="*/ 924840 h 9237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7" name="Forma libre 36"/>
                            <wps:cNvSpPr/>
                            <wps:spPr>
                              <a:xfrm>
                                <a:off x="582840" y="2835360"/>
                                <a:ext cx="439920" cy="995040"/>
                              </a:xfrm>
                              <a:custGeom>
                                <a:avLst/>
                                <a:gdLst>
                                  <a:gd name="textAreaLeft" fmla="*/ 0 w 249480"/>
                                  <a:gd name="textAreaRight" fmla="*/ 250560 w 249480"/>
                                  <a:gd name="textAreaTop" fmla="*/ 0 h 564120"/>
                                  <a:gd name="textAreaBottom" fmla="*/ 565200 h 56412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8" name="Forma libre 37"/>
                            <wps:cNvSpPr/>
                            <wps:spPr>
                              <a:xfrm>
                                <a:off x="0" y="822960"/>
                                <a:ext cx="73080" cy="437040"/>
                              </a:xfrm>
                              <a:custGeom>
                                <a:avLst/>
                                <a:gdLst>
                                  <a:gd name="textAreaLeft" fmla="*/ 0 w 41400"/>
                                  <a:gd name="textAreaRight" fmla="*/ 42480 w 41400"/>
                                  <a:gd name="textAreaTop" fmla="*/ 0 h 247680"/>
                                  <a:gd name="textAreaBottom" fmla="*/ 248760 h 2476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9" name="Forma libre 38"/>
                            <wps:cNvSpPr/>
                            <wps:spPr>
                              <a:xfrm>
                                <a:off x="74880" y="1261800"/>
                                <a:ext cx="588600" cy="2329200"/>
                              </a:xfrm>
                              <a:custGeom>
                                <a:avLst/>
                                <a:gdLst>
                                  <a:gd name="textAreaLeft" fmla="*/ 0 w 333720"/>
                                  <a:gd name="textAreaRight" fmla="*/ 334800 w 333720"/>
                                  <a:gd name="textAreaTop" fmla="*/ 0 h 1320480"/>
                                  <a:gd name="textAreaBottom" fmla="*/ 1321560 h 13204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0" name="Forma libre 39"/>
                            <wps:cNvSpPr/>
                            <wps:spPr>
                              <a:xfrm>
                                <a:off x="695160" y="3575160"/>
                                <a:ext cx="121320" cy="255240"/>
                              </a:xfrm>
                              <a:custGeom>
                                <a:avLst/>
                                <a:gdLst>
                                  <a:gd name="textAreaLeft" fmla="*/ 0 w 68760"/>
                                  <a:gd name="textAreaRight" fmla="*/ 69840 w 68760"/>
                                  <a:gd name="textAreaTop" fmla="*/ 0 h 144720"/>
                                  <a:gd name="textAreaBottom" fmla="*/ 145800 h 14472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1" name="Forma libre 40"/>
                            <wps:cNvSpPr/>
                            <wps:spPr>
                              <a:xfrm>
                                <a:off x="59400" y="1083960"/>
                                <a:ext cx="54000" cy="342360"/>
                              </a:xfrm>
                              <a:custGeom>
                                <a:avLst/>
                                <a:gdLst>
                                  <a:gd name="textAreaLeft" fmla="*/ 0 w 30600"/>
                                  <a:gd name="textAreaRight" fmla="*/ 31680 w 30600"/>
                                  <a:gd name="textAreaTop" fmla="*/ 0 h 194040"/>
                                  <a:gd name="textAreaBottom" fmla="*/ 195120 h 1940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2" name="Forma libre 41"/>
                            <wps:cNvSpPr/>
                            <wps:spPr>
                              <a:xfrm>
                                <a:off x="556920" y="0"/>
                                <a:ext cx="1500480" cy="2832840"/>
                              </a:xfrm>
                              <a:custGeom>
                                <a:avLst/>
                                <a:gdLst>
                                  <a:gd name="textAreaLeft" fmla="*/ 0 w 850680"/>
                                  <a:gd name="textAreaRight" fmla="*/ 851760 w 850680"/>
                                  <a:gd name="textAreaTop" fmla="*/ 0 h 1605960"/>
                                  <a:gd name="textAreaBottom" fmla="*/ 1607040 h 16059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3" name="Forma libre 42"/>
                            <wps:cNvSpPr/>
                            <wps:spPr>
                              <a:xfrm>
                                <a:off x="556920" y="2863080"/>
                                <a:ext cx="136440" cy="708840"/>
                              </a:xfrm>
                              <a:custGeom>
                                <a:avLst/>
                                <a:gdLst>
                                  <a:gd name="textAreaLeft" fmla="*/ 0 w 77400"/>
                                  <a:gd name="textAreaRight" fmla="*/ 78480 w 77400"/>
                                  <a:gd name="textAreaTop" fmla="*/ 0 h 401760"/>
                                  <a:gd name="textAreaBottom" fmla="*/ 402840 h 4017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4" name="Forma libre 43"/>
                            <wps:cNvSpPr/>
                            <wps:spPr>
                              <a:xfrm>
                                <a:off x="665280" y="3592800"/>
                                <a:ext cx="113760" cy="237600"/>
                              </a:xfrm>
                              <a:custGeom>
                                <a:avLst/>
                                <a:gdLst>
                                  <a:gd name="textAreaLeft" fmla="*/ 0 w 64440"/>
                                  <a:gd name="textAreaRight" fmla="*/ 65520 w 64440"/>
                                  <a:gd name="textAreaTop" fmla="*/ 0 h 134640"/>
                                  <a:gd name="textAreaBottom" fmla="*/ 135720 h 1346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5" name="Forma libre 44"/>
                            <wps:cNvSpPr/>
                            <wps:spPr>
                              <a:xfrm>
                                <a:off x="556920" y="2773800"/>
                                <a:ext cx="24120" cy="153720"/>
                              </a:xfrm>
                              <a:custGeom>
                                <a:avLst/>
                                <a:gdLst>
                                  <a:gd name="textAreaLeft" fmla="*/ 0 w 13680"/>
                                  <a:gd name="textAreaRight" fmla="*/ 14760 w 13680"/>
                                  <a:gd name="textAreaTop" fmla="*/ 0 h 87120"/>
                                  <a:gd name="textAreaBottom" fmla="*/ 88200 h 8712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6" name="Forma libre 45"/>
                            <wps:cNvSpPr/>
                            <wps:spPr>
                              <a:xfrm>
                                <a:off x="612720" y="3393360"/>
                                <a:ext cx="169560" cy="437040"/>
                              </a:xfrm>
                              <a:custGeom>
                                <a:avLst/>
                                <a:gdLst>
                                  <a:gd name="textAreaLeft" fmla="*/ 0 w 96120"/>
                                  <a:gd name="textAreaRight" fmla="*/ 97200 w 96120"/>
                                  <a:gd name="textAreaTop" fmla="*/ 0 h 247680"/>
                                  <a:gd name="textAreaBottom" fmla="*/ 248760 h 2476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1f497d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upo 2" style="position:absolute;margin-left:37.25pt;margin-top:42.9pt;width:168pt;height:698.4pt" coordorigin="745,858" coordsize="3360,13968">
                <v:rect id="shape_0" ID="Rectángulo 2" path="m0,0l-2147483645,0l-2147483645,-2147483646l0,-2147483646xe" fillcolor="#44546a" stroked="f" o:allowincell="f" style="position:absolute;left:745;top:858;width:302;height:13967;mso-wrap-style:none;v-text-anchor:middle;mso-position-horizontal-relative:page;mso-position-vertical-relative:page">
                  <v:fill o:detectmouseclick="t" type="solid" color2="#bbab95"/>
                  <v:stroke color="#3465a4" weight="12600" joinstyle="miter" endcap="flat"/>
                  <w10:wrap type="none"/>
                </v:rect>
                <v:shapetype id="_x0000_t15" coordsize="21600,21600" o:spt="15" adj="10800" path="m,l@2,l21600,10800l@2,21600l,21600xe">
                  <v:stroke joinstyle="miter"/>
                  <v:formulas>
                    <v:f eqn="val 21600"/>
                    <v:f eqn="val #0"/>
                    <v:f eqn="sum width 0 @1"/>
                    <v:f eqn="sum @2 width 0"/>
                    <v:f eqn="prod 1 @3 2"/>
                    <v:f eqn="prod @2 1 2"/>
                  </v:formulas>
                  <v:path gradientshapeok="t" o:connecttype="rect" textboxrect="0,0,@4,21600"/>
                  <v:handles>
                    <v:h position="@2,0"/>
                  </v:handles>
                </v:shapetype>
                <v:shape id="shape_0" ID="Pentágono 2" path="m0,0l-2147483639,0l-2147483633,-2147483635l-2147483639,-2147483634l0,-2147483634xe" fillcolor="#4f81bd" stroked="f" o:allowincell="f" style="position:absolute;left:1133;top:2705;width:2336;height:841;mso-wrap-style:square;v-text-anchor:middle;mso-position-horizontal-relative:page;mso-position-vertical-relative:page" type="_x0000_t15">
                  <v:fill o:detectmouseclick="t" type="solid" color2="#b07e42"/>
                  <v:stroke color="#3465a4" weight="12600" joinstyle="miter" endcap="flat"/>
                  <v:textbox>
                    <w:txbxContent>
                      <w:p>
                        <w:pPr>
                          <w:pStyle w:val="NoSpacing"/>
                          <w:jc w:val="right"/>
                          <w:rPr>
                            <w:color w:themeColor="background1" w:val="FFFFFF"/>
                            <w:sz w:val="28"/>
                            <w:szCs w:val="28"/>
                          </w:rPr>
                        </w:pPr>
                        <w:sdt>
                          <w:sdtPr>
                            <w:dataBinding w:prefixMappings="xmlns:ns0='http://schemas.microsoft.com/office/2006/coverPageProps' " w:xpath="/ns0:CoverPageProperties[1]/ns0:PublishDate[1]" w:storeItemID="{55AF091B-3C7A-41E3-B477-F2FDAA23CFDA}"/>
                            <w:alias w:val="Fecha"/>
                            <w:id w:val="737676993"/>
                            <w:showingPlcHdr/>
                            <w:date>
                              <w:dateFormat w:val="d-M-yyyy"/>
                              <w:lid w:val="es-ES"/>
                            </w:date>
                          </w:sdtPr>
                          <w:sdtContent>
                            <w:r>
                              <w:rPr>
                                <w:color w:themeColor="background1" w:val="FFFFFF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color w:themeColor="background1" w:val="FFFFFF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sdtContent>
                        </w:sdt>
                      </w:p>
                    </w:txbxContent>
                  </v:textbox>
                  <w10:wrap type="none"/>
                </v:shape>
                <v:group id="shape_0" style="position:absolute;left:865;top:7302;width:3240;height:7516">
                  <v:group id="shape_0" style="position:absolute;left:1015;top:7302;width:2599;height:7516"/>
                  <v:group id="shape_0" style="position:absolute;left:865;top:8786;width:3240;height:6032"/>
                </v:group>
              </v:group>
            </w:pict>
          </mc:Fallback>
        </mc:AlternateContent>
      </w:r>
      <w:r>
        <w:rPr>
          <w:rFonts w:eastAsia="" w:cs="Arial" w:ascii="Arial" w:hAnsi="Arial" w:eastAsiaTheme="majorEastAsia"/>
          <w:b/>
          <w:spacing w:val="-10"/>
          <w:kern w:val="2"/>
          <w:sz w:val="24"/>
          <w:szCs w:val="24"/>
          <w:lang w:val="es-ES_tradnl"/>
        </w:rPr>
        <w:tab/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1701" w:gutter="0" w:header="0" w:top="1418" w:footer="709" w:bottom="1418"/>
          <w:pgNumType w:start="0" w:fmt="decimal"/>
          <w:formProt w:val="false"/>
          <w:titlePg/>
          <w:textDirection w:val="lrTb"/>
          <w:docGrid w:type="default" w:linePitch="360" w:charSpace="4096"/>
        </w:sectPr>
        <w:pStyle w:val="NoSpacing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cs="Arial" w:ascii="Arial" w:hAnsi="Arial"/>
          <w:sz w:val="24"/>
          <w:szCs w:val="24"/>
          <w:lang w:val="es-ES_tradnl"/>
        </w:rPr>
        <mc:AlternateContent>
          <mc:Choice Requires="wps">
            <w:drawing>
              <wp:anchor behindDoc="0" distT="0" distB="0" distL="0" distR="0" simplePos="0" locked="0" layoutInCell="0" allowOverlap="1" relativeHeight="4" wp14:anchorId="62ACB4DA">
                <wp:simplePos x="0" y="0"/>
                <wp:positionH relativeFrom="margin">
                  <wp:posOffset>167640</wp:posOffset>
                </wp:positionH>
                <wp:positionV relativeFrom="paragraph">
                  <wp:posOffset>2223770</wp:posOffset>
                </wp:positionV>
                <wp:extent cx="5286375" cy="6477635"/>
                <wp:effectExtent l="0" t="0" r="0" b="0"/>
                <wp:wrapNone/>
                <wp:docPr id="27" name="Rectángulo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240" cy="647748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80" w:after="100"/>
                              <w:jc w:val="center"/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eastAsia="Adobe Fangsong Std R" w:cs="Calibri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="Calibri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  <w:t>ESPECIFICACIÓN DE CASOS DE USO DETALLADO SISTEMA DE CONVERSIÓN DE UNIDADES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>
                            <w:pPr>
                              <w:pStyle w:val="FrameContents"/>
                              <w:spacing w:before="0" w:after="1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VICHE CASTILLO JULIO ENRIQUE</w:t>
                            </w:r>
                          </w:p>
                          <w:p>
                            <w:pPr>
                              <w:pStyle w:val="FrameContents"/>
                              <w:spacing w:before="0" w:after="1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MURILLO MEDINA GABRIEL OMAR</w:t>
                            </w:r>
                          </w:p>
                          <w:p>
                            <w:pPr>
                              <w:pStyle w:val="FrameContents"/>
                              <w:spacing w:before="0" w:after="1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NRC: 36884 | GRUPO: GR09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Ing. Eduardo Mauricio Campaña Ortega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MIS.MDU.CCNA.CCIA.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PhD. (c) Ingeniería de Software PhD. (c) Seguridad Información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80" w:after="100"/>
                              <w:jc w:val="center"/>
                              <w:rPr>
                                <w:rFonts w:eastAsia="Adobe Fangsong Std R" w:cs="Calibri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ángulo 54" path="m0,0l-2147483645,0l-2147483645,-2147483646l0,-2147483646xe" stroked="f" o:allowincell="f" style="position:absolute;margin-left:13.2pt;margin-top:175.1pt;width:416.2pt;height:510pt;mso-wrap-style:square;v-text-anchor:middle;mso-position-horizontal-relative:margin" wp14:anchorId="62ACB4DA">
                <v:fill o:detectmouseclick="t" on="false"/>
                <v:stroke color="#3465a4" weight="25560" joinstyle="round" endcap="flat"/>
                <v:textbox>
                  <w:txbxContent>
                    <w:p>
                      <w:pPr>
                        <w:pStyle w:val="FrameContents"/>
                        <w:spacing w:before="80" w:after="100"/>
                        <w:jc w:val="center"/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eastAsia="Adobe Fangsong Std R" w:cs="Calibri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  <w:r>
                        <w:rPr>
                          <w:rFonts w:eastAsia="Adobe Fangsong Std R" w:cs="Calibri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  <w:t>ESPECIFICACIÓN DE CASOS DE USO DETALLADO SISTEMA DE CONVERSIÓN DE UNIDADES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>
                      <w:pPr>
                        <w:pStyle w:val="FrameContents"/>
                        <w:spacing w:before="0" w:after="1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VICHE CASTILLO JULIO ENRIQUE</w:t>
                      </w:r>
                    </w:p>
                    <w:p>
                      <w:pPr>
                        <w:pStyle w:val="FrameContents"/>
                        <w:spacing w:before="0" w:after="1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MURILLO MEDINA GABRIEL OMAR</w:t>
                      </w:r>
                    </w:p>
                    <w:p>
                      <w:pPr>
                        <w:pStyle w:val="FrameContents"/>
                        <w:spacing w:before="0" w:after="1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NRC: 36884 | GRUPO: GR09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lang w:eastAsia="es-EC"/>
                        </w:rPr>
                      </w:pPr>
                      <w:r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Ing. Eduardo Mauricio Campaña Ortega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MIS.MDU.CCNA.CCIA.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PhD. (c) Ingeniería de Software PhD. (c) Seguridad Información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r>
                    </w:p>
                    <w:p>
                      <w:pPr>
                        <w:pStyle w:val="FrameContents"/>
                        <w:spacing w:before="80" w:after="100"/>
                        <w:jc w:val="center"/>
                        <w:rPr>
                          <w:rFonts w:eastAsia="Adobe Fangsong Std R" w:cs="Calibri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28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rPr/>
      </w:pPr>
      <w:r>
        <w:rPr/>
        <w:t>ESPECIFICACIÓN DE CASOS DE USO DETALLADA SISTEMA DE CONVERSIÓN DE UNIDADES.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3736_2838085158">
            <w:r>
              <w:rPr>
                <w:rStyle w:val="IndexLink"/>
              </w:rPr>
              <w:t>ESPECIFICACIÓN DE CASOS DE USO DETALLADO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025" w:leader="dot"/>
            </w:tabs>
            <w:rPr/>
          </w:pPr>
          <w:hyperlink w:anchor="__RefHeading___Toc3738_2838085158">
            <w:r>
              <w:rPr>
                <w:rStyle w:val="IndexLink"/>
              </w:rPr>
              <w:t>ESPECIFICACIÓN DE CASOS DE USO</w:t>
              <w:tab/>
              <w:t>4</w:t>
            </w:r>
          </w:hyperlink>
        </w:p>
        <w:p>
          <w:pPr>
            <w:keepWithNext/>
            <w:pStyle w:val="TOC2"/>
            <w:tabs>
              <w:tab w:val="clear" w:pos="708"/>
              <w:tab w:val="right" w:pos="9025" w:leader="dot"/>
            </w:tabs>
            <w:rPr/>
          </w:pPr>
          <w:hyperlink w:anchor="__RefHeading___Toc3740_2838085158">
            <w:r>
              <w:rPr>
                <w:rStyle w:val="IndexLink"/>
              </w:rPr>
              <w:t>ECUD_REALIZAR_LOGIN</w:t>
              <w:tab/>
              <w:t>4</w:t>
            </w:r>
          </w:hyperlink>
        </w:p>
        <w:p>
          <w:pPr>
            <w:keepWithNext/>
            <w:pStyle w:val="TOC2"/>
            <w:tabs>
              <w:tab w:val="clear" w:pos="708"/>
              <w:tab w:val="right" w:pos="9025" w:leader="dot"/>
            </w:tabs>
            <w:rPr/>
          </w:pPr>
          <w:hyperlink w:anchor="__RefHeading___Toc3742_2838085158">
            <w:r>
              <w:rPr>
                <w:rStyle w:val="IndexLink"/>
              </w:rPr>
              <w:t>ECUD_CONVERTIR_LONGITUD</w:t>
              <w:tab/>
              <w:t>5</w:t>
            </w:r>
          </w:hyperlink>
        </w:p>
        <w:p>
          <w:pPr>
            <w:keepWithNext/>
            <w:pStyle w:val="TOC2"/>
            <w:tabs>
              <w:tab w:val="clear" w:pos="708"/>
              <w:tab w:val="right" w:pos="9025" w:leader="dot"/>
            </w:tabs>
            <w:rPr/>
          </w:pPr>
          <w:hyperlink w:anchor="__RefHeading___Toc3744_2838085158">
            <w:r>
              <w:rPr>
                <w:rStyle w:val="IndexLink"/>
              </w:rPr>
              <w:t>ECUD_CONVERTIR_MASA</w:t>
              <w:tab/>
              <w:t>7</w:t>
            </w:r>
          </w:hyperlink>
        </w:p>
        <w:p>
          <w:pPr>
            <w:keepWithNext/>
            <w:pStyle w:val="TOC2"/>
            <w:tabs>
              <w:tab w:val="clear" w:pos="708"/>
              <w:tab w:val="right" w:pos="9025" w:leader="dot"/>
            </w:tabs>
            <w:rPr/>
          </w:pPr>
          <w:hyperlink w:anchor="__RefHeading___Toc3746_2838085158">
            <w:r>
              <w:rPr>
                <w:rStyle w:val="IndexLink"/>
              </w:rPr>
              <w:t>ECUD_CONVERTIR_TEMPERATURA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40" w:before="80" w:after="100"/>
        <w:jc w:val="left"/>
        <w:rPr>
          <w:rFonts w:ascii="Arial" w:hAnsi="Arial"/>
          <w:lang w:val="es-ES"/>
        </w:rPr>
      </w:pPr>
      <w:r>
        <w:rPr>
          <w:lang w:val="es-ES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rPr/>
      </w:pPr>
      <w:r>
        <w:rPr/>
        <w:t xml:space="preserve">ÍNDICE DE ILUSTRACIONES  </w:t>
      </w:r>
    </w:p>
    <w:p>
      <w:pPr>
        <w:pStyle w:val="TableofFigures"/>
        <w:tabs>
          <w:tab w:val="clear" w:pos="708"/>
          <w:tab w:val="right" w:pos="9025" w:leader="dot"/>
        </w:tabs>
        <w:rPr/>
      </w:pPr>
      <w:r>
        <w:fldChar w:fldCharType="begin"/>
      </w:r>
      <w:r>
        <w:rPr>
          <w:rStyle w:val="IndexLink"/>
        </w:rPr>
        <w:instrText xml:space="preserve"> TOC \c "Ilustración" \h </w:instrText>
      </w:r>
      <w:r>
        <w:rPr>
          <w:rStyle w:val="IndexLink"/>
        </w:rPr>
        <w:fldChar w:fldCharType="separate"/>
      </w:r>
      <w:hyperlink w:anchor="Ilustraci%2525C3%2525B3n!0|sequence">
        <w:r>
          <w:rPr>
            <w:rStyle w:val="IndexLink"/>
          </w:rPr>
          <w:t>Ilustración 1. Caso de Uso de realizar login</w:t>
          <w:tab/>
          <w:t>4</w:t>
        </w:r>
      </w:hyperlink>
    </w:p>
    <w:p>
      <w:pPr>
        <w:pStyle w:val="TableofFigures"/>
        <w:tabs>
          <w:tab w:val="clear" w:pos="708"/>
          <w:tab w:val="right" w:pos="9025" w:leader="dot"/>
        </w:tabs>
        <w:rPr/>
      </w:pPr>
      <w:hyperlink w:anchor="Ilustraci%2525C3%2525B3n!1|sequence">
        <w:r>
          <w:rPr>
            <w:rStyle w:val="IndexLink"/>
          </w:rPr>
          <w:t>Ilustración 2. Caso de Uso de convertir longitud</w:t>
          <w:tab/>
          <w:t>6</w:t>
        </w:r>
      </w:hyperlink>
    </w:p>
    <w:p>
      <w:pPr>
        <w:pStyle w:val="TableofFigures"/>
        <w:tabs>
          <w:tab w:val="clear" w:pos="708"/>
          <w:tab w:val="right" w:pos="9025" w:leader="dot"/>
        </w:tabs>
        <w:rPr/>
      </w:pPr>
      <w:hyperlink w:anchor="Ilustraci%2525C3%2525B3n!2|sequence">
        <w:r>
          <w:rPr>
            <w:rStyle w:val="IndexLink"/>
          </w:rPr>
          <w:t>Ilustración 3</w:t>
        </w:r>
        <w:r>
          <w:rPr>
            <w:rStyle w:val="IndexLink"/>
            <w:i w:val="false"/>
            <w:iCs w:val="false"/>
          </w:rPr>
          <w:t xml:space="preserve">. </w:t>
        </w:r>
        <w:r>
          <w:rPr>
            <w:rStyle w:val="IndexLink"/>
          </w:rPr>
          <w:t>Caso de Uso de Convertir Masa</w:t>
          <w:tab/>
          <w:t>7</w:t>
        </w:r>
      </w:hyperlink>
    </w:p>
    <w:p>
      <w:pPr>
        <w:pStyle w:val="TableofFigures"/>
        <w:tabs>
          <w:tab w:val="clear" w:pos="708"/>
          <w:tab w:val="right" w:pos="9025" w:leader="dot"/>
        </w:tabs>
        <w:rPr/>
      </w:pPr>
      <w:hyperlink w:anchor="Ilustraci%2525C3%2525B3n!3|sequence">
        <w:r>
          <w:rPr>
            <w:rStyle w:val="IndexLink"/>
            <w:i w:val="false"/>
            <w:iCs w:val="false"/>
          </w:rPr>
          <w:t>Ilustración 4. Caso de Uso de Convertir Temperatura</w:t>
        </w:r>
        <w:r>
          <w:rPr>
            <w:rStyle w:val="IndexLink"/>
          </w:rPr>
          <w:tab/>
          <w:t>8</w:t>
        </w:r>
      </w:hyperlink>
      <w:r>
        <w:rPr>
          <w:rStyle w:val="IndexLink"/>
        </w:rPr>
        <w:fldChar w:fldCharType="end"/>
      </w:r>
    </w:p>
    <w:p>
      <w:pPr>
        <w:sectPr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440" w:right="1440" w:gutter="0" w:header="0" w:top="1440" w:footer="708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/>
      </w:pPr>
      <w:r>
        <w:rPr/>
        <w:t>ÍNDICE DE TABLAS</w:t>
      </w:r>
    </w:p>
    <w:p>
      <w:pPr>
        <w:pStyle w:val="TableofFigures"/>
        <w:tabs>
          <w:tab w:val="clear" w:pos="708"/>
          <w:tab w:val="right" w:pos="9025" w:leader="dot"/>
        </w:tabs>
        <w:rPr/>
      </w:pPr>
      <w:r>
        <w:fldChar w:fldCharType="begin"/>
      </w:r>
      <w:r>
        <w:rPr>
          <w:rStyle w:val="IndexLink"/>
        </w:rPr>
        <w:instrText xml:space="preserve"> TOC \c "Ilustración" \h </w:instrText>
      </w:r>
      <w:r>
        <w:rPr>
          <w:rStyle w:val="IndexLink"/>
        </w:rPr>
        <w:fldChar w:fldCharType="separate"/>
      </w:r>
      <w:hyperlink w:anchor="Ilustraci%2525C3%2525B3n!0|sequence">
        <w:r>
          <w:rPr>
            <w:rStyle w:val="IndexLink"/>
          </w:rPr>
          <w:t>Ilustración 1. Caso de Uso de realizar login</w:t>
          <w:tab/>
          <w:t>4</w:t>
        </w:r>
      </w:hyperlink>
    </w:p>
    <w:p>
      <w:pPr>
        <w:pStyle w:val="TableofFigures"/>
        <w:tabs>
          <w:tab w:val="clear" w:pos="708"/>
          <w:tab w:val="right" w:pos="9025" w:leader="dot"/>
        </w:tabs>
        <w:rPr/>
      </w:pPr>
      <w:hyperlink w:anchor="Ilustraci%2525C3%2525B3n!1|sequence">
        <w:r>
          <w:rPr>
            <w:rStyle w:val="IndexLink"/>
          </w:rPr>
          <w:t>Ilustración 2. Caso de Uso de convertir longitud</w:t>
          <w:tab/>
          <w:t>6</w:t>
        </w:r>
      </w:hyperlink>
    </w:p>
    <w:p>
      <w:pPr>
        <w:pStyle w:val="TableofFigures"/>
        <w:tabs>
          <w:tab w:val="clear" w:pos="708"/>
          <w:tab w:val="right" w:pos="9025" w:leader="dot"/>
        </w:tabs>
        <w:rPr/>
      </w:pPr>
      <w:hyperlink w:anchor="Ilustraci%2525C3%2525B3n!2|sequence">
        <w:r>
          <w:rPr>
            <w:rStyle w:val="IndexLink"/>
          </w:rPr>
          <w:t>Ilustración 3</w:t>
        </w:r>
        <w:r>
          <w:rPr>
            <w:rStyle w:val="IndexLink"/>
            <w:i w:val="false"/>
            <w:iCs w:val="false"/>
          </w:rPr>
          <w:t xml:space="preserve">. </w:t>
        </w:r>
        <w:r>
          <w:rPr>
            <w:rStyle w:val="IndexLink"/>
          </w:rPr>
          <w:t>Caso de Uso de Convertir Masa</w:t>
          <w:tab/>
          <w:t>7</w:t>
        </w:r>
      </w:hyperlink>
    </w:p>
    <w:p>
      <w:pPr>
        <w:pStyle w:val="TableofFigures"/>
        <w:tabs>
          <w:tab w:val="clear" w:pos="708"/>
          <w:tab w:val="right" w:pos="9025" w:leader="dot"/>
        </w:tabs>
        <w:rPr/>
      </w:pPr>
      <w:hyperlink w:anchor="Ilustraci%2525C3%2525B3n!3|sequence">
        <w:r>
          <w:rPr>
            <w:rStyle w:val="IndexLink"/>
            <w:i w:val="false"/>
            <w:iCs w:val="false"/>
          </w:rPr>
          <w:t>Ilustración 4. Caso de Uso de Convertir Temperatura</w:t>
        </w:r>
        <w:r>
          <w:rPr>
            <w:rStyle w:val="IndexLink"/>
          </w:rPr>
          <w:tab/>
          <w:t>8</w:t>
        </w:r>
      </w:hyperlink>
      <w:r>
        <w:rPr>
          <w:rStyle w:val="IndexLink"/>
        </w:rPr>
        <w:fldChar w:fldCharType="end"/>
      </w:r>
    </w:p>
    <w:p>
      <w:pPr>
        <w:sectPr>
          <w:footerReference w:type="even" r:id="rId9"/>
          <w:footerReference w:type="default" r:id="rId10"/>
          <w:footerReference w:type="first" r:id="rId11"/>
          <w:type w:val="nextPage"/>
          <w:pgSz w:w="11906" w:h="16838"/>
          <w:pgMar w:left="1440" w:right="1440" w:gutter="0" w:header="0" w:top="1440" w:footer="708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Heading1"/>
        <w:rPr>
          <w:rFonts w:eastAsia="Carlito"/>
          <w:b w:val="false"/>
        </w:rPr>
      </w:pPr>
      <w:bookmarkStart w:id="2" w:name="__RefHeading___Toc3736_2838085158"/>
      <w:bookmarkStart w:id="3" w:name="_Toc214408327"/>
      <w:bookmarkStart w:id="4" w:name="_Toc22756732"/>
      <w:bookmarkStart w:id="5" w:name="_Toc23846435"/>
      <w:bookmarkEnd w:id="2"/>
      <w:r>
        <w:rPr/>
        <w:t>ESPECIFICACIÓN DE CASOS DE USO</w:t>
      </w:r>
      <w:bookmarkEnd w:id="4"/>
      <w:bookmarkEnd w:id="5"/>
      <w:r>
        <w:rPr/>
        <w:t xml:space="preserve"> DETALLADO</w:t>
      </w:r>
      <w:bookmarkEnd w:id="0"/>
      <w:bookmarkEnd w:id="3"/>
    </w:p>
    <w:p>
      <w:pPr>
        <w:pStyle w:val="Normal"/>
        <w:jc w:val="both"/>
        <w:rPr/>
      </w:pPr>
      <w:r>
        <w:rPr/>
        <w:t xml:space="preserve">A continuación, se muestra la Especificación de Casos de uso Detallado (ECUD) para el </w:t>
      </w:r>
      <w:bookmarkStart w:id="6" w:name="_Hlk82707468"/>
      <w:r>
        <w:rPr/>
        <w:t xml:space="preserve">Sistema de </w:t>
      </w:r>
      <w:bookmarkEnd w:id="6"/>
      <w:r>
        <w:rPr/>
        <w:t xml:space="preserve">Conversión de Unidades. </w:t>
        <w:tab/>
      </w:r>
    </w:p>
    <w:p>
      <w:pPr>
        <w:pStyle w:val="Heading2"/>
        <w:rPr>
          <w:rFonts w:eastAsia="Carlito"/>
          <w:i/>
          <w:i/>
          <w:lang w:eastAsia="en-US"/>
        </w:rPr>
      </w:pPr>
      <w:bookmarkStart w:id="7" w:name="__RefHeading___Toc3738_2838085158"/>
      <w:bookmarkStart w:id="8" w:name="_Toc214408328"/>
      <w:bookmarkEnd w:id="7"/>
      <w:r>
        <w:rPr>
          <w:rFonts w:eastAsia="Carlito"/>
        </w:rPr>
        <w:t>ESPECIFICACIÓN</w:t>
      </w:r>
      <w:r>
        <w:rPr>
          <w:rFonts w:eastAsia="Carlito"/>
          <w:lang w:eastAsia="en-US"/>
        </w:rPr>
        <w:t xml:space="preserve"> DE CASOS DE USO</w:t>
      </w:r>
      <w:bookmarkEnd w:id="8"/>
    </w:p>
    <w:p>
      <w:pPr>
        <w:keepWithNext/>
        <w:pStyle w:val="Heading2"/>
        <w:rPr/>
      </w:pPr>
      <w:bookmarkStart w:id="9" w:name="__RefHeading___Toc3740_2838085158"/>
      <w:bookmarkStart w:id="10" w:name="_Toc214408329"/>
      <w:bookmarkStart w:id="11" w:name="_Toc74581876"/>
      <w:bookmarkEnd w:id="9"/>
      <w:r>
        <w:rPr>
          <w:rFonts w:eastAsia="Carlito"/>
          <w:lang w:eastAsia="en-US"/>
        </w:rPr>
        <w:t>ECUD_REALIZAR_LOGIN</w:t>
      </w:r>
      <w:bookmarkEnd w:id="11"/>
    </w:p>
    <w:p>
      <w:pPr>
        <w:keepWithNext/>
        <w:pStyle w:val="BodyText"/>
        <w:rPr/>
      </w:pPr>
      <w:bookmarkStart w:id="12" w:name="_Toc214408329"/>
      <w:r>
        <w:rPr/>
        <w:br/>
        <w:t>A continuación, se muestra ECUD_REALIZAR_</w:t>
      </w:r>
      <w:bookmarkEnd w:id="12"/>
      <w:r>
        <w:rPr/>
        <w:t>LOGIN</w:t>
      </w:r>
    </w:p>
    <w:p>
      <w:pPr>
        <w:pStyle w:val="Caption"/>
        <w:keepNext w:val="true"/>
        <w:rPr/>
      </w:pPr>
      <w:bookmarkStart w:id="13" w:name="_Toc61543997"/>
      <w:bookmarkStart w:id="14" w:name="_Toc73914195"/>
      <w:bookmarkStart w:id="15" w:name="_Toc74775703"/>
      <w:r>
        <w:rPr/>
        <w:t xml:space="preserve">Tabla </w:t>
      </w:r>
      <w:r>
        <w:rPr/>
        <w:fldChar w:fldCharType="begin"/>
      </w:r>
      <w:r>
        <w:rPr/>
        <w:instrText xml:space="preserve"> SEQ Tabla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. ECUD </w:t>
      </w:r>
      <w:bookmarkEnd w:id="13"/>
      <w:bookmarkEnd w:id="14"/>
      <w:bookmarkEnd w:id="15"/>
      <w:r>
        <w:rPr/>
        <w:t>Realizar Login</w:t>
      </w:r>
    </w:p>
    <w:tbl>
      <w:tblPr>
        <w:tblStyle w:val="Tablaconcuadrcula5oscura-nfasis3"/>
        <w:tblW w:w="5000" w:type="pct"/>
        <w:jc w:val="left"/>
        <w:tblInd w:w="0" w:type="dxa"/>
        <w:shd w:fill="EDEDED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547"/>
        <w:gridCol w:w="1635"/>
        <w:gridCol w:w="609"/>
        <w:gridCol w:w="2288"/>
        <w:gridCol w:w="1946"/>
      </w:tblGrid>
      <w:tr>
        <w:trPr>
          <w:cantSplit/>
          <w:trHeight w:val="25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Nombre Caso de Uso:</w:t>
            </w:r>
          </w:p>
        </w:tc>
        <w:tc>
          <w:tcPr>
            <w:tcW w:w="6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REALIZAR LOGIN</w:t>
            </w:r>
          </w:p>
        </w:tc>
      </w:tr>
      <w:tr>
        <w:trPr>
          <w:cantSplit/>
          <w:trHeight w:val="119" w:hRule="atLeast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Identificador:</w:t>
            </w:r>
          </w:p>
        </w:tc>
        <w:tc>
          <w:tcPr>
            <w:tcW w:w="6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ECUD1</w:t>
            </w:r>
          </w:p>
        </w:tc>
      </w:tr>
      <w:tr>
        <w:trPr>
          <w:cantSplit/>
          <w:trHeight w:val="51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Descripción:</w:t>
            </w:r>
          </w:p>
        </w:tc>
        <w:tc>
          <w:tcPr>
            <w:tcW w:w="6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 xml:space="preserve">El sistema valida las credenciales estáticas para permitir el acceso </w:t>
            </w:r>
            <w:r>
              <w:rPr/>
              <w:t>seguro a los contratos de operación del servicio web SOAP (CoreWCF).</w:t>
            </w:r>
          </w:p>
        </w:tc>
      </w:tr>
      <w:tr>
        <w:trPr>
          <w:cantSplit/>
          <w:trHeight w:val="510" w:hRule="atLeast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Meta:</w:t>
            </w:r>
          </w:p>
        </w:tc>
        <w:tc>
          <w:tcPr>
            <w:tcW w:w="6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b w:val="false"/>
                <w:bCs w:val="false"/>
                <w:i w:val="false"/>
                <w:i w:val="false"/>
                <w:iCs w:val="false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eastAsia="en-US" w:bidi="ar-SA"/>
              </w:rPr>
              <w:t xml:space="preserve">Validar de forma segura la identidad del cliente en la red local para autorizar y proteger el consumo de los </w:t>
            </w:r>
            <w:r>
              <w:rPr>
                <w:rFonts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eastAsia="en-US" w:bidi="ar-SA"/>
              </w:rPr>
              <w:t>contratos de operación del servicio web SOAP (CoreWCF)</w:t>
            </w:r>
            <w:r>
              <w:rPr>
                <w:rFonts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eastAsia="en-US" w:bidi="ar-SA"/>
              </w:rPr>
              <w:t>.</w:t>
            </w:r>
          </w:p>
        </w:tc>
      </w:tr>
      <w:tr>
        <w:trPr>
          <w:cantSplit/>
          <w:trHeight w:val="34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Estado:</w:t>
            </w:r>
          </w:p>
        </w:tc>
        <w:tc>
          <w:tcPr>
            <w:tcW w:w="2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Activo</w:t>
            </w:r>
          </w:p>
        </w:tc>
        <w:tc>
          <w:tcPr>
            <w:tcW w:w="22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Versión: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1.0</w:t>
            </w:r>
          </w:p>
        </w:tc>
      </w:tr>
      <w:tr>
        <w:trPr>
          <w:cantSplit/>
          <w:trHeight w:val="241" w:hRule="atLeast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Autores:</w:t>
            </w:r>
          </w:p>
        </w:tc>
        <w:tc>
          <w:tcPr>
            <w:tcW w:w="6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US" w:eastAsia="en-US" w:bidi="ar-SA"/>
              </w:rPr>
              <w:t>Julio Viche, Gabriel Murillo</w:t>
            </w:r>
          </w:p>
        </w:tc>
      </w:tr>
      <w:tr>
        <w:trPr>
          <w:cantSplit/>
          <w:trHeight w:val="291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Fecha creación:</w:t>
            </w:r>
          </w:p>
        </w:tc>
        <w:tc>
          <w:tcPr>
            <w:tcW w:w="2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8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/04/2026</w:t>
            </w:r>
          </w:p>
        </w:tc>
        <w:tc>
          <w:tcPr>
            <w:tcW w:w="22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Fecha modificación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8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/04/2026</w:t>
            </w:r>
          </w:p>
        </w:tc>
      </w:tr>
      <w:tr>
        <w:trPr>
          <w:cantSplit/>
          <w:trHeight w:val="391" w:hRule="atLeast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Precondiciones:</w:t>
            </w:r>
          </w:p>
        </w:tc>
        <w:tc>
          <w:tcPr>
            <w:tcW w:w="6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0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1. El servidor .NET (Kestrel) debe estar activo y el cliente debe tener conexión a la red local.</w:t>
            </w:r>
          </w:p>
        </w:tc>
      </w:tr>
      <w:tr>
        <w:trPr>
          <w:cantSplit/>
          <w:trHeight w:val="51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Post condiciones:</w:t>
            </w:r>
          </w:p>
        </w:tc>
        <w:tc>
          <w:tcPr>
            <w:tcW w:w="6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El usuario queda autorizado para realizar cálculos de magnitudes.</w:t>
            </w:r>
          </w:p>
        </w:tc>
      </w:tr>
      <w:tr>
        <w:trPr>
          <w:cantSplit/>
          <w:trHeight w:val="510" w:hRule="atLeast"/>
        </w:trPr>
        <w:tc>
          <w:tcPr>
            <w:tcW w:w="254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Gráfico:</w:t>
            </w:r>
          </w:p>
        </w:tc>
        <w:tc>
          <w:tcPr>
            <w:tcW w:w="6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Caption"/>
              <w:widowControl/>
              <w:suppressAutoHyphens w:val="true"/>
              <w:spacing w:before="8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2710243" cy="2022398"/>
                  <wp:effectExtent l="0" t="0" r="0" b="0"/>
                  <wp:docPr id="100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5175" cy="246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16" w:name="_Toc82708267"/>
            <w:bookmarkStart w:id="17" w:name="_Toc82708267"/>
          </w:p>
          <w:p>
            <w:pPr>
              <w:pStyle w:val="Caption"/>
              <w:widowControl/>
              <w:suppressAutoHyphens w:val="true"/>
              <w:spacing w:before="8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bidi="ar-SA"/>
              </w:rPr>
            </w:pPr>
            <w:bookmarkStart w:id="18" w:name="_Toc214408083"/>
            <w:r>
              <w:rPr>
                <w:kern w:val="0"/>
                <w:lang w:bidi="ar-SA"/>
              </w:rPr>
              <w:t xml:space="preserve">Ilustración </w:t>
            </w:r>
            <w:r>
              <w:rPr>
                <w:kern w:val="0"/>
                <w:lang w:bidi="ar-SA"/>
              </w:rPr>
              <w:fldChar w:fldCharType="begin"/>
            </w:r>
            <w:r>
              <w:rPr>
                <w:kern w:val="0"/>
                <w:lang w:bidi="ar-SA"/>
              </w:rPr>
              <w:instrText xml:space="preserve"> SEQ Ilustración \* ARABIC </w:instrText>
            </w:r>
            <w:r>
              <w:rPr>
                <w:kern w:val="0"/>
                <w:lang w:bidi="ar-SA"/>
              </w:rPr>
              <w:fldChar w:fldCharType="separate"/>
            </w:r>
            <w:r>
              <w:rPr>
                <w:kern w:val="0"/>
                <w:lang w:bidi="ar-SA"/>
              </w:rPr>
              <w:t>1</w:t>
            </w:r>
            <w:r>
              <w:rPr>
                <w:kern w:val="0"/>
                <w:lang w:bidi="ar-SA"/>
              </w:rPr>
              <w:fldChar w:fldCharType="end"/>
            </w:r>
            <w:r>
              <w:rPr>
                <w:rFonts w:eastAsia="Carlito" w:cs="Calibri" w:cstheme="minorHAnsi"/>
                <w:bCs/>
                <w:color w:themeColor="accent1" w:val="4472C4"/>
                <w:kern w:val="0"/>
                <w:sz w:val="20"/>
                <w:szCs w:val="20"/>
                <w:lang w:bidi="ar-SA"/>
              </w:rPr>
              <w:t xml:space="preserve">. </w:t>
            </w:r>
            <w:r>
              <w:rPr>
                <w:kern w:val="0"/>
                <w:lang w:bidi="ar-SA"/>
              </w:rPr>
              <w:t>Caso de Uso de</w:t>
            </w:r>
            <w:bookmarkEnd w:id="17"/>
            <w:bookmarkEnd w:id="18"/>
            <w:r>
              <w:rPr>
                <w:kern w:val="0"/>
                <w:lang w:bidi="ar-SA"/>
              </w:rPr>
              <w:t xml:space="preserve"> realizar login</w:t>
            </w:r>
          </w:p>
        </w:tc>
      </w:tr>
      <w:tr>
        <w:trPr>
          <w:cantSplit/>
          <w:trHeight w:val="8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Flujo básico</w:t>
            </w:r>
          </w:p>
        </w:tc>
      </w:tr>
      <w:tr>
        <w:trPr>
          <w:cantSplit/>
          <w:trHeight w:val="248" w:hRule="atLeast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Realizar Login</w:t>
            </w:r>
          </w:p>
        </w:tc>
      </w:tr>
      <w:tr>
        <w:trPr>
          <w:cantSplit/>
          <w:trHeight w:val="13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82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Actor</w:t>
            </w:r>
          </w:p>
        </w:tc>
        <w:tc>
          <w:tcPr>
            <w:tcW w:w="4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Sistema</w:t>
            </w:r>
          </w:p>
        </w:tc>
      </w:tr>
      <w:tr>
        <w:trPr>
          <w:cantSplit/>
          <w:trHeight w:val="715" w:hRule="atLeast"/>
        </w:trPr>
        <w:tc>
          <w:tcPr>
            <w:tcW w:w="4182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0"/>
              </w:numPr>
              <w:shd w:val="clear" w:fill="auto"/>
              <w:spacing w:lineRule="auto" w:line="240" w:before="0" w:after="0"/>
              <w:ind w:hanging="0" w:left="0" w:right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1. El usuario ingresa el nombre de usuario "MONSTER" y la contraseña "MONSTER9".</w:t>
            </w:r>
          </w:p>
        </w:tc>
        <w:tc>
          <w:tcPr>
            <w:tcW w:w="4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0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1. El sistema recibe la solicitud SOAP Login() y valida las credenciales en memoria RAM (SINBDD).</w:t>
            </w:r>
          </w:p>
        </w:tc>
      </w:tr>
      <w:tr>
        <w:trPr>
          <w:cantSplit/>
          <w:trHeight w:val="51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82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80" w:after="100"/>
              <w:ind w:hanging="0" w:left="360"/>
              <w:contextualSpacing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2. El usuario solicita el inicio de sesión.</w:t>
            </w:r>
          </w:p>
        </w:tc>
        <w:tc>
          <w:tcPr>
            <w:tcW w:w="4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ListParagraph"/>
              <w:widowControl/>
              <w:suppressAutoHyphens w:val="true"/>
              <w:spacing w:before="80" w:after="10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2. El sistema confirma la identidad y habilita el acceso a los métodos de conversión de magnitudes.</w:t>
            </w:r>
          </w:p>
        </w:tc>
      </w:tr>
      <w:tr>
        <w:trPr>
          <w:cantSplit/>
          <w:trHeight w:val="7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Flujo Alternativo</w:t>
            </w:r>
          </w:p>
        </w:tc>
      </w:tr>
      <w:tr>
        <w:trPr>
          <w:cantSplit/>
          <w:trHeight w:val="858" w:hRule="atLeast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rPr/>
            </w:pPr>
            <w:r>
              <w:rPr/>
              <w:t xml:space="preserve">En el caso de que el </w:t>
            </w:r>
            <w:r>
              <w:rPr>
                <w:b w:val="false"/>
                <w:bCs w:val="false"/>
              </w:rPr>
              <w:t xml:space="preserve">servidor .NET (Kestrel) </w:t>
            </w:r>
            <w:r>
              <w:rPr/>
              <w:t>no esté operativo, el sistema deberá notificar que el servicio no está disponible.</w:t>
            </w:r>
          </w:p>
          <w:p>
            <w:pPr>
              <w:pStyle w:val="normal1"/>
              <w:widowControl w:val="false"/>
              <w:numPr>
                <w:ilvl w:val="0"/>
                <w:numId w:val="0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2. El sistema interrumpe la conexión y solicita verificar el estado del servidor en la red local.</w:t>
            </w:r>
          </w:p>
        </w:tc>
      </w:tr>
      <w:tr>
        <w:trPr>
          <w:cantSplit/>
          <w:trHeight w:val="5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Casos de uso incluidos:</w:t>
            </w:r>
          </w:p>
        </w:tc>
      </w:tr>
      <w:tr>
        <w:trPr>
          <w:cantSplit/>
          <w:trHeight w:val="102" w:hRule="atLeast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Casos de uso extendidos:</w:t>
            </w:r>
          </w:p>
        </w:tc>
      </w:tr>
    </w:tbl>
    <w:p>
      <w:pPr>
        <w:pStyle w:val="Heading2"/>
        <w:rPr>
          <w:rFonts w:eastAsia="Carlito"/>
          <w:i/>
          <w:i/>
          <w:lang w:eastAsia="en-US"/>
        </w:rPr>
      </w:pPr>
      <w:r>
        <w:rPr>
          <w:rFonts w:eastAsia="Carlito"/>
          <w:i/>
          <w:lang w:eastAsia="en-US"/>
        </w:rPr>
      </w:r>
    </w:p>
    <w:p>
      <w:pPr>
        <w:keepWithNext/>
        <w:pStyle w:val="Heading2"/>
        <w:rPr/>
      </w:pPr>
      <w:bookmarkStart w:id="19" w:name="__RefHeading___Toc3742_2838085158"/>
      <w:bookmarkStart w:id="20" w:name="_Toc214408330"/>
      <w:bookmarkStart w:id="21" w:name="_Toc74581877"/>
      <w:bookmarkEnd w:id="19"/>
      <w:r>
        <w:rPr>
          <w:rFonts w:eastAsia="Carlito"/>
          <w:lang w:eastAsia="en-US"/>
        </w:rPr>
        <w:t>ECUD_</w:t>
      </w:r>
      <w:bookmarkEnd w:id="21"/>
      <w:r>
        <w:rPr>
          <w:rFonts w:eastAsia="Carlito"/>
          <w:lang w:eastAsia="en-US"/>
        </w:rPr>
        <w:t>CONVERTIR_LONGITUD</w:t>
      </w:r>
      <w:bookmarkEnd w:id="20"/>
    </w:p>
    <w:p>
      <w:pPr>
        <w:keepWithNext/>
        <w:pStyle w:val="Normal"/>
        <w:jc w:val="both"/>
        <w:rPr>
          <w:b/>
          <w:bCs/>
        </w:rPr>
      </w:pPr>
      <w:r>
        <w:rPr/>
        <w:t xml:space="preserve">A continuación, se muestra </w:t>
      </w:r>
      <w:r>
        <w:rPr>
          <w:b/>
          <w:bCs/>
        </w:rPr>
        <w:t>ECUD_CONVERTIR_LONGITUD</w:t>
      </w:r>
    </w:p>
    <w:p>
      <w:pPr>
        <w:pStyle w:val="Caption"/>
        <w:rPr/>
      </w:pPr>
      <w:r>
        <w:rPr/>
        <w:t xml:space="preserve">Tabla </w:t>
      </w:r>
      <w:r>
        <w:rPr/>
        <w:fldChar w:fldCharType="begin"/>
      </w:r>
      <w:r>
        <w:rPr/>
        <w:instrText xml:space="preserve"> SEQ Tabla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. ECUD Convertir Longitud</w:t>
      </w:r>
    </w:p>
    <w:tbl>
      <w:tblPr>
        <w:tblStyle w:val="Tablaconcuadrcula5oscura-nfasis3"/>
        <w:tblW w:w="5000" w:type="pct"/>
        <w:jc w:val="left"/>
        <w:tblInd w:w="0" w:type="dxa"/>
        <w:shd w:fill="EDEDED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857"/>
        <w:gridCol w:w="1849"/>
        <w:gridCol w:w="594"/>
        <w:gridCol w:w="2219"/>
        <w:gridCol w:w="1494"/>
        <w:gridCol w:w="13"/>
      </w:tblGrid>
      <w:tr>
        <w:trPr>
          <w:cantSplit/>
          <w:trHeight w:val="21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Nombre Caso de Uso:</w:t>
            </w:r>
          </w:p>
        </w:tc>
        <w:tc>
          <w:tcPr>
            <w:tcW w:w="6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CONVERTIR LONGITUD</w:t>
            </w:r>
          </w:p>
        </w:tc>
      </w:tr>
      <w:tr>
        <w:trPr>
          <w:cantSplit/>
          <w:trHeight w:val="214" w:hRule="atLeast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Identificador:</w:t>
            </w:r>
          </w:p>
        </w:tc>
        <w:tc>
          <w:tcPr>
            <w:tcW w:w="6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ECUD2</w:t>
            </w:r>
          </w:p>
        </w:tc>
      </w:tr>
      <w:tr>
        <w:trPr>
          <w:cantSplit/>
          <w:trHeight w:val="21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Descripción:</w:t>
            </w:r>
          </w:p>
        </w:tc>
        <w:tc>
          <w:tcPr>
            <w:tcW w:w="6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El sistema procesa la transformación de un valor numérico entre cinco unidades de longitud distintas.</w:t>
            </w:r>
          </w:p>
        </w:tc>
      </w:tr>
      <w:tr>
        <w:trPr>
          <w:cantSplit/>
          <w:trHeight w:val="214" w:hRule="atLeast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Meta:</w:t>
            </w:r>
          </w:p>
        </w:tc>
        <w:tc>
          <w:tcPr>
            <w:tcW w:w="6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Proporcionar un cálculo atómico y exacto entre diversas unidades de distancia, asegurando la estandarización de los datos.</w:t>
            </w:r>
          </w:p>
        </w:tc>
      </w:tr>
      <w:tr>
        <w:trPr>
          <w:cantSplit/>
          <w:trHeight w:val="21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Estado:</w:t>
            </w:r>
          </w:p>
        </w:tc>
        <w:tc>
          <w:tcPr>
            <w:tcW w:w="2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Activo</w:t>
            </w:r>
          </w:p>
        </w:tc>
        <w:tc>
          <w:tcPr>
            <w:tcW w:w="2219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Versión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: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1.0</w:t>
            </w:r>
          </w:p>
        </w:tc>
        <w:tc>
          <w:tcPr>
            <w:tcW w:w="13" w:type="dxa"/>
            <w:tcBorders>
              <w:top w:val="nil"/>
              <w:left w:val="nil"/>
              <w:bottom w:val="nil"/>
              <w:right w:val="nil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cantSplit/>
          <w:trHeight w:val="253" w:hRule="atLeast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Autores:</w:t>
            </w:r>
          </w:p>
        </w:tc>
        <w:tc>
          <w:tcPr>
            <w:tcW w:w="6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US" w:eastAsia="en-US" w:bidi="ar-SA"/>
              </w:rPr>
              <w:t>Julio Viche, Gabriel Murillo</w:t>
            </w:r>
          </w:p>
        </w:tc>
      </w:tr>
      <w:tr>
        <w:trPr>
          <w:cantSplit/>
          <w:trHeight w:val="48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Fecha creación</w:t>
            </w:r>
          </w:p>
        </w:tc>
        <w:tc>
          <w:tcPr>
            <w:tcW w:w="2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21/04/2026</w:t>
            </w:r>
          </w:p>
        </w:tc>
        <w:tc>
          <w:tcPr>
            <w:tcW w:w="2219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Fecha modificación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21/04/2026</w:t>
            </w:r>
          </w:p>
        </w:tc>
        <w:tc>
          <w:tcPr>
            <w:tcW w:w="13" w:type="dxa"/>
            <w:tcBorders>
              <w:top w:val="nil"/>
              <w:left w:val="nil"/>
              <w:bottom w:val="nil"/>
              <w:right w:val="nil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cantSplit/>
          <w:trHeight w:val="214" w:hRule="atLeast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Precondiciones</w:t>
            </w:r>
          </w:p>
        </w:tc>
        <w:tc>
          <w:tcPr>
            <w:tcW w:w="6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1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Autenticación exitosa (CU-01)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Servidor .NET en estado operativo</w:t>
            </w:r>
          </w:p>
        </w:tc>
      </w:tr>
      <w:tr>
        <w:trPr>
          <w:cantSplit/>
          <w:trHeight w:val="21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Post condiciones</w:t>
            </w:r>
          </w:p>
        </w:tc>
        <w:tc>
          <w:tcPr>
            <w:tcW w:w="6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/>
              <w:rPr/>
            </w:pPr>
            <w:r>
              <w:rPr/>
              <w:t>Visualización del resultado convertido en la interfaz del cliente (Móvil, Web, Escritorio o Consola)</w:t>
            </w:r>
          </w:p>
        </w:tc>
      </w:tr>
      <w:tr>
        <w:trPr>
          <w:cantSplit/>
          <w:trHeight w:val="214" w:hRule="atLeast"/>
        </w:trPr>
        <w:tc>
          <w:tcPr>
            <w:tcW w:w="285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Gráfico</w:t>
            </w:r>
          </w:p>
        </w:tc>
        <w:tc>
          <w:tcPr>
            <w:tcW w:w="6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keepNext w:val="true"/>
              <w:widowControl/>
              <w:suppressAutoHyphens w:val="true"/>
              <w:spacing w:before="8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rlito" w:cs="Calibri" w:asciiTheme="minorHAnsi" w:cstheme="minorHAnsi" w:hAnsiTheme="minorHAnsi"/>
                <w:b/>
                <w:bCs/>
                <w:i w:val="false"/>
                <w:i w:val="false"/>
                <w:iCs w:val="false"/>
                <w:color w:themeColor="accent1" w:val="4472C4"/>
                <w:sz w:val="20"/>
                <w:szCs w:val="20"/>
                <w:lang w:val="es-ES" w:eastAsia="en-US"/>
              </w:rPr>
            </w:pPr>
            <w:r>
              <w:rPr>
                <w:rFonts w:eastAsia="Carlito" w:cs="Calibri" w:cstheme="minorHAnsi" w:ascii="Calibri" w:hAnsi="Calibri"/>
                <w:b/>
                <w:bCs/>
                <w:i w:val="false"/>
                <w:iCs w:val="false"/>
                <w:color w:themeColor="accent1" w:val="4472C4"/>
                <w:sz w:val="20"/>
                <w:szCs w:val="20"/>
                <w:lang w:val="es-ES" w:eastAsia="en-US"/>
              </w:rPr>
              <w:drawing>
                <wp:inline distT="0" distB="0" distL="0" distR="0">
                  <wp:extent cx="2874264" cy="2172360"/>
                  <wp:effectExtent l="0" t="0" r="0" b="0"/>
                  <wp:docPr id="100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264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widowControl/>
              <w:suppressAutoHyphens w:val="tru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/>
                <w:iCs/>
                <w:color w:val="B2B2B2"/>
                <w:kern w:val="0"/>
                <w:sz w:val="18"/>
                <w:szCs w:val="18"/>
                <w:lang w:bidi="ar-SA"/>
              </w:rPr>
            </w:pPr>
            <w:bookmarkStart w:id="22" w:name="_Toc214408083_Copy_2"/>
            <w:bookmarkStart w:id="23" w:name="_Toc214408083_Copy_3"/>
            <w:r>
              <w:rPr>
                <w:rFonts w:eastAsia="Carlito" w:cs="Calibri" w:ascii="Calibri" w:hAnsi="Calibri" w:asciiTheme="minorHAnsi" w:cstheme="minorHAnsi" w:hAnsiTheme="minorHAnsi"/>
                <w:b/>
                <w:bCs/>
                <w:i/>
                <w:iCs/>
                <w:color w:val="B2B2B2"/>
                <w:kern w:val="0"/>
                <w:sz w:val="18"/>
                <w:szCs w:val="18"/>
                <w:lang w:val="es-ES" w:eastAsia="en-US" w:bidi="ar-SA"/>
              </w:rPr>
              <w:t xml:space="preserve">Ilustración </w:t>
            </w:r>
            <w:r>
              <w:rPr>
                <w:rFonts w:eastAsia="Carlito" w:cs="Calibri" w:ascii="Calibri" w:hAnsi="Calibri"/>
                <w:b/>
                <w:bCs/>
                <w:i/>
                <w:iCs/>
                <w:color w:val="B2B2B2"/>
                <w:kern w:val="0"/>
                <w:sz w:val="18"/>
                <w:szCs w:val="18"/>
                <w:lang w:val="es-ES" w:eastAsia="en-US" w:bidi="ar-SA"/>
              </w:rPr>
              <w:fldChar w:fldCharType="begin"/>
            </w:r>
            <w:r>
              <w:rPr>
                <w:sz w:val="18"/>
                <w:i/>
                <w:b/>
                <w:kern w:val="0"/>
                <w:szCs w:val="18"/>
                <w:iCs/>
                <w:bCs/>
                <w:rFonts w:eastAsia="Carlito" w:cs="Calibri" w:ascii="Calibri" w:hAnsi="Calibri"/>
                <w:color w:val="B2B2B2"/>
                <w:lang w:val="es-ES" w:eastAsia="en-US" w:bidi="ar-SA"/>
              </w:rPr>
              <w:instrText xml:space="preserve"> SEQ Ilustración \* ARABIC </w:instrText>
            </w:r>
            <w:r>
              <w:rPr>
                <w:sz w:val="18"/>
                <w:i/>
                <w:b/>
                <w:kern w:val="0"/>
                <w:szCs w:val="18"/>
                <w:iCs/>
                <w:bCs/>
                <w:rFonts w:eastAsia="Carlito" w:cs="Calibri" w:ascii="Calibri" w:hAnsi="Calibri"/>
                <w:color w:val="B2B2B2"/>
                <w:lang w:val="es-ES" w:eastAsia="en-US" w:bidi="ar-SA"/>
              </w:rPr>
              <w:fldChar w:fldCharType="separate"/>
            </w:r>
            <w:r>
              <w:rPr>
                <w:sz w:val="18"/>
                <w:i/>
                <w:b/>
                <w:kern w:val="0"/>
                <w:szCs w:val="18"/>
                <w:iCs/>
                <w:bCs/>
                <w:rFonts w:eastAsia="Carlito" w:cs="Calibri" w:ascii="Calibri" w:hAnsi="Calibri"/>
                <w:color w:val="B2B2B2"/>
                <w:lang w:val="es-ES" w:eastAsia="en-US" w:bidi="ar-SA"/>
              </w:rPr>
              <w:t>2</w:t>
            </w:r>
            <w:r>
              <w:rPr>
                <w:sz w:val="18"/>
                <w:i/>
                <w:b/>
                <w:kern w:val="0"/>
                <w:szCs w:val="18"/>
                <w:iCs/>
                <w:bCs/>
                <w:rFonts w:eastAsia="Carlito" w:cs="Calibri" w:ascii="Calibri" w:hAnsi="Calibri"/>
                <w:color w:val="B2B2B2"/>
                <w:lang w:val="es-ES" w:eastAsia="en-US" w:bidi="ar-SA"/>
              </w:rPr>
              <w:fldChar w:fldCharType="end"/>
            </w:r>
            <w:r>
              <w:rPr>
                <w:rFonts w:eastAsia="Carlito" w:cs="Calibri" w:ascii="Calibri" w:hAnsi="Calibri" w:cstheme="minorHAnsi"/>
                <w:b/>
                <w:bCs/>
                <w:i/>
                <w:iCs/>
                <w:color w:val="B2B2B2"/>
                <w:kern w:val="0"/>
                <w:sz w:val="18"/>
                <w:szCs w:val="18"/>
                <w:lang w:val="es-ES" w:eastAsia="en-US" w:bidi="ar-SA"/>
              </w:rPr>
              <w:t xml:space="preserve">. </w:t>
            </w:r>
            <w:r>
              <w:rPr>
                <w:rFonts w:eastAsia="Carlito" w:cs="Calibri" w:ascii="Calibri" w:hAnsi="Calibri" w:asciiTheme="minorHAnsi" w:cstheme="minorHAnsi" w:hAnsiTheme="minorHAnsi"/>
                <w:b/>
                <w:bCs/>
                <w:i/>
                <w:iCs/>
                <w:color w:val="B2B2B2"/>
                <w:kern w:val="0"/>
                <w:sz w:val="18"/>
                <w:szCs w:val="18"/>
                <w:lang w:val="es-ES" w:eastAsia="en-US" w:bidi="ar-SA"/>
              </w:rPr>
              <w:t>Caso de Uso de</w:t>
            </w:r>
            <w:bookmarkEnd w:id="23"/>
            <w:r>
              <w:rPr>
                <w:rFonts w:eastAsia="Carlito" w:cs="Calibri" w:ascii="Calibri" w:hAnsi="Calibri" w:asciiTheme="minorHAnsi" w:cstheme="minorHAnsi" w:hAnsiTheme="minorHAnsi"/>
                <w:b/>
                <w:bCs/>
                <w:i/>
                <w:iCs/>
                <w:color w:val="B2B2B2"/>
                <w:kern w:val="0"/>
                <w:sz w:val="18"/>
                <w:szCs w:val="18"/>
                <w:lang w:val="es-ES" w:eastAsia="en-US" w:bidi="ar-SA"/>
              </w:rPr>
              <w:t xml:space="preserve"> </w:t>
            </w:r>
            <w:bookmarkEnd w:id="22"/>
            <w:r>
              <w:rPr>
                <w:rFonts w:eastAsia="Carlito" w:cs="Calibri" w:ascii="Calibri" w:hAnsi="Calibri" w:asciiTheme="minorHAnsi" w:cstheme="minorHAnsi" w:hAnsiTheme="minorHAnsi"/>
                <w:b/>
                <w:bCs/>
                <w:i/>
                <w:iCs/>
                <w:color w:val="B2B2B2"/>
                <w:kern w:val="0"/>
                <w:sz w:val="18"/>
                <w:szCs w:val="18"/>
                <w:lang w:val="es-ES" w:eastAsia="en-US" w:bidi="ar-SA"/>
              </w:rPr>
              <w:t>convertir longitud</w:t>
            </w:r>
          </w:p>
        </w:tc>
      </w:tr>
      <w:tr>
        <w:trPr>
          <w:cantSplit/>
          <w:trHeight w:val="371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6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tabs>
                <w:tab w:val="clear" w:pos="708"/>
                <w:tab w:val="left" w:pos="3735" w:leader="none"/>
              </w:tabs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 xml:space="preserve">                     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Flujo básico</w:t>
            </w:r>
          </w:p>
        </w:tc>
      </w:tr>
      <w:tr>
        <w:trPr>
          <w:cantSplit/>
          <w:trHeight w:val="97" w:hRule="atLeast"/>
        </w:trPr>
        <w:tc>
          <w:tcPr>
            <w:tcW w:w="9026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Convertir Longitud</w:t>
            </w:r>
          </w:p>
        </w:tc>
      </w:tr>
      <w:tr>
        <w:trPr>
          <w:cantSplit/>
          <w:trHeight w:val="9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06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Actor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Sistema</w:t>
            </w:r>
          </w:p>
        </w:tc>
      </w:tr>
      <w:tr>
        <w:trPr>
          <w:cantSplit/>
          <w:trHeight w:val="659" w:hRule="atLeast"/>
        </w:trPr>
        <w:tc>
          <w:tcPr>
            <w:tcW w:w="4706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numPr>
                <w:ilvl w:val="0"/>
                <w:numId w:val="3"/>
              </w:numPr>
              <w:shd w:val="clear" w:fill="auto"/>
              <w:spacing w:lineRule="auto" w:line="240" w:before="0" w:after="0"/>
              <w:ind w:hanging="0" w:left="0" w:right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El usuario selecciona la magnitud "Longitud" y las unidades (Metros, Centímetros, Pies, Yardas o Millas).</w:t>
            </w:r>
          </w:p>
        </w:tc>
        <w:tc>
          <w:tcPr>
            <w:tcW w:w="4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80" w:after="100"/>
              <w:ind w:hanging="0" w:left="36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 El sistema prepara el motor de cálculo matemático para la magnitud seleccionada.</w:t>
            </w:r>
          </w:p>
        </w:tc>
        <w:tc>
          <w:tcPr>
            <w:tcW w:w="13" w:type="dxa"/>
            <w:tcBorders>
              <w:top w:val="nil"/>
              <w:left w:val="nil"/>
              <w:bottom w:val="nil"/>
              <w:right w:val="nil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cantSplit/>
          <w:trHeight w:val="541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06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numPr>
                <w:ilvl w:val="0"/>
                <w:numId w:val="3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 xml:space="preserve">El usuario ingresa el valor a convertir y envía la petición </w:t>
            </w:r>
            <w:r>
              <w:rPr/>
              <w:t>HTTP a la API REST</w:t>
            </w:r>
            <w:r>
              <w:rPr/>
              <w:t>.</w:t>
            </w:r>
          </w:p>
        </w:tc>
        <w:tc>
          <w:tcPr>
            <w:tcW w:w="4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80" w:after="100"/>
              <w:ind w:hanging="0" w:left="36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2. El sistema ejecuta la fórmula y devuelve el resultado exacto con </w:t>
            </w: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 xml:space="preserve">2 decimales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en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formato JSON.</w:t>
            </w:r>
          </w:p>
        </w:tc>
        <w:tc>
          <w:tcPr>
            <w:tcW w:w="13" w:type="dxa"/>
            <w:tcBorders>
              <w:top w:val="nil"/>
              <w:left w:val="nil"/>
              <w:bottom w:val="nil"/>
              <w:right w:val="nil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cantSplit/>
          <w:trHeight w:val="97" w:hRule="atLeast"/>
        </w:trPr>
        <w:tc>
          <w:tcPr>
            <w:tcW w:w="9026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tabs>
                <w:tab w:val="clear" w:pos="708"/>
                <w:tab w:val="left" w:pos="3540" w:leader="none"/>
              </w:tabs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 xml:space="preserve">              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Flujo Alternativo</w:t>
            </w:r>
          </w:p>
        </w:tc>
      </w:tr>
      <w:tr>
        <w:trPr>
          <w:cantSplit/>
          <w:trHeight w:val="9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6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left="720"/>
              <w:rPr/>
            </w:pPr>
            <w:r>
              <w:rPr>
                <w:b w:val="false"/>
                <w:bCs w:val="false"/>
              </w:rPr>
              <w:t xml:space="preserve">Si el usuario ingresa datos no numéricos o mayores a 16 caracteres, </w:t>
            </w:r>
            <w:r>
              <w:rPr/>
              <w:t>el sistema deberá mostrar una alerta de error de validación en la interfaz.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80" w:after="100"/>
              <w:ind w:hanging="0" w:left="360"/>
              <w:contextualSpacing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2. En el caso de que la </w:t>
            </w: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 xml:space="preserve">latencia de red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exceda los 2 segundos, el sistema deberá informar que la petición no pudo procesarse el sistema libera el hilo de ejecución y espera una nueva petición del cliente.</w:t>
            </w:r>
          </w:p>
        </w:tc>
      </w:tr>
      <w:tr>
        <w:trPr>
          <w:cantSplit/>
          <w:trHeight w:val="253" w:hRule="atLeast"/>
        </w:trPr>
        <w:tc>
          <w:tcPr>
            <w:tcW w:w="9026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 xml:space="preserve">Casos de uso incluidos: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ECUD1</w:t>
            </w:r>
          </w:p>
        </w:tc>
      </w:tr>
      <w:tr>
        <w:trPr>
          <w:cantSplit/>
          <w:trHeight w:val="25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6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keepNext w:val="true"/>
              <w:widowControl/>
              <w:suppressAutoHyphens w:val="true"/>
              <w:spacing w:before="80" w:after="100"/>
              <w:jc w:val="lef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Casos de uso extendidos:</w:t>
            </w:r>
          </w:p>
        </w:tc>
      </w:tr>
    </w:tbl>
    <w:p>
      <w:pPr>
        <w:pStyle w:val="Heading2"/>
        <w:rPr>
          <w:i/>
          <w:i/>
          <w:iCs/>
          <w:color w:val="FF0000"/>
        </w:rPr>
      </w:pPr>
      <w:r>
        <w:rPr>
          <w:i/>
          <w:iCs/>
          <w:color w:val="FF0000"/>
        </w:rPr>
      </w:r>
    </w:p>
    <w:p>
      <w:pPr>
        <w:keepWithNext/>
        <w:pStyle w:val="Heading2"/>
        <w:rPr/>
      </w:pPr>
      <w:bookmarkStart w:id="24" w:name="__RefHeading___Toc3744_2838085158"/>
      <w:bookmarkStart w:id="25" w:name="_Toc74581878"/>
      <w:bookmarkStart w:id="26" w:name="_Toc214408331"/>
      <w:bookmarkEnd w:id="24"/>
      <w:r>
        <w:rPr>
          <w:rFonts w:eastAsia="Carlito"/>
          <w:lang w:eastAsia="en-US"/>
        </w:rPr>
        <w:t>ECUD_</w:t>
      </w:r>
      <w:bookmarkEnd w:id="25"/>
      <w:bookmarkEnd w:id="26"/>
      <w:r>
        <w:rPr>
          <w:rFonts w:eastAsia="Carlito"/>
          <w:lang w:eastAsia="en-US"/>
        </w:rPr>
        <w:t>CONVERTIR_MASA</w:t>
      </w:r>
    </w:p>
    <w:p>
      <w:pPr>
        <w:keepWithNext/>
        <w:pStyle w:val="Normal"/>
        <w:jc w:val="both"/>
        <w:rPr>
          <w:b/>
          <w:bCs/>
        </w:rPr>
      </w:pPr>
      <w:r>
        <w:rPr/>
        <w:t xml:space="preserve">A continuación, se muestra </w:t>
      </w:r>
      <w:r>
        <w:rPr>
          <w:b/>
          <w:bCs/>
        </w:rPr>
        <w:t>ECUD_CONVERTIR_MASA</w:t>
      </w:r>
    </w:p>
    <w:p>
      <w:pPr>
        <w:pStyle w:val="Caption"/>
        <w:rPr/>
      </w:pPr>
      <w:r>
        <w:rPr/>
        <w:t xml:space="preserve">Tabla </w:t>
      </w:r>
      <w:r>
        <w:rPr/>
        <w:fldChar w:fldCharType="begin"/>
      </w:r>
      <w:r>
        <w:rPr/>
        <w:instrText xml:space="preserve"> SEQ Tabla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. ECUD Convertir Masa</w:t>
      </w:r>
    </w:p>
    <w:tbl>
      <w:tblPr>
        <w:tblStyle w:val="Tablaconcuadrcula5oscura-nfasis3"/>
        <w:tblW w:w="5000" w:type="pct"/>
        <w:jc w:val="left"/>
        <w:tblInd w:w="0" w:type="dxa"/>
        <w:shd w:fill="EDEDED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788"/>
        <w:gridCol w:w="1016"/>
        <w:gridCol w:w="22"/>
        <w:gridCol w:w="853"/>
        <w:gridCol w:w="2289"/>
        <w:gridCol w:w="2057"/>
      </w:tblGrid>
      <w:tr>
        <w:trPr>
          <w:cantSplit/>
          <w:trHeight w:val="22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Nombre Caso de Uso: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CONVERTIR MASA</w:t>
            </w:r>
          </w:p>
        </w:tc>
      </w:tr>
      <w:tr>
        <w:trPr>
          <w:cantSplit/>
          <w:trHeight w:val="215" w:hRule="atLeast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Identificador: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ECUD3</w:t>
            </w:r>
          </w:p>
        </w:tc>
      </w:tr>
      <w:tr>
        <w:trPr>
          <w:cantSplit/>
          <w:trHeight w:val="2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Descripción: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Procesar y validar cálculos de equivalencias entre unidades de masa: Gramos, Kilogramos, Libras, Onzas y Quintales.</w:t>
            </w:r>
          </w:p>
        </w:tc>
      </w:tr>
      <w:tr>
        <w:trPr>
          <w:cantSplit/>
          <w:trHeight w:val="220" w:hRule="atLeast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Meta: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Permitir la transformación precisa entre unidades de peso a través del consumo interoperable de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los endpoints de la API REST.</w:t>
            </w:r>
          </w:p>
        </w:tc>
      </w:tr>
      <w:tr>
        <w:trPr>
          <w:cantSplit/>
          <w:trHeight w:val="2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Estado:</w:t>
            </w:r>
          </w:p>
        </w:tc>
        <w:tc>
          <w:tcPr>
            <w:tcW w:w="18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Activo</w:t>
            </w:r>
          </w:p>
        </w:tc>
        <w:tc>
          <w:tcPr>
            <w:tcW w:w="2289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Versión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: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1.0</w:t>
            </w:r>
          </w:p>
        </w:tc>
      </w:tr>
      <w:tr>
        <w:trPr>
          <w:cantSplit/>
          <w:trHeight w:val="260" w:hRule="atLeast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Autores: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US" w:eastAsia="en-US" w:bidi="ar-SA"/>
              </w:rPr>
              <w:t>Julio Viche, Gabriel Murillo</w:t>
            </w:r>
          </w:p>
        </w:tc>
      </w:tr>
      <w:tr>
        <w:trPr>
          <w:cantSplit/>
          <w:trHeight w:val="5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Fecha creación:</w:t>
            </w:r>
          </w:p>
        </w:tc>
        <w:tc>
          <w:tcPr>
            <w:tcW w:w="18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21/04/2026</w:t>
            </w:r>
          </w:p>
        </w:tc>
        <w:tc>
          <w:tcPr>
            <w:tcW w:w="2289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Fecha modificación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21/04/2026</w:t>
            </w:r>
          </w:p>
        </w:tc>
      </w:tr>
      <w:tr>
        <w:trPr>
          <w:cantSplit/>
          <w:trHeight w:val="220" w:hRule="atLeast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Precondiciones: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1"/>
              <w:widowControl w:val="false"/>
              <w:numPr>
                <w:ilvl w:val="0"/>
                <w:numId w:val="0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1. Autenticación exitosa (CU-01).</w:t>
            </w:r>
          </w:p>
          <w:p>
            <w:pPr>
              <w:pStyle w:val="normal1"/>
              <w:widowControl w:val="false"/>
              <w:numPr>
                <w:ilvl w:val="0"/>
                <w:numId w:val="0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2. Servidor .NET en estado operativo.</w:t>
            </w:r>
          </w:p>
        </w:tc>
      </w:tr>
      <w:tr>
        <w:trPr>
          <w:cantSplit/>
          <w:trHeight w:val="2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88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Gráfico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keepNext w:val="true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2503525" cy="1984387"/>
                  <wp:effectExtent l="0" t="0" r="0" b="0"/>
                  <wp:docPr id="100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3080" cy="241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rlito" w:cs="Calibri" w:asciiTheme="minorHAnsi" w:cstheme="minorHAnsi" w:hAnsiTheme="minorHAnsi"/>
                <w:b/>
                <w:bCs/>
                <w:i w:val="false"/>
                <w:i w:val="false"/>
                <w:iCs w:val="false"/>
                <w:color w:themeColor="accent1" w:val="4472C4"/>
                <w:sz w:val="20"/>
                <w:szCs w:val="20"/>
                <w:lang w:val="es-ES" w:eastAsia="en-US"/>
              </w:rPr>
            </w:pPr>
            <w:bookmarkStart w:id="27" w:name="_Toc82708269"/>
            <w:bookmarkStart w:id="28" w:name="_Toc214408085"/>
            <w:r>
              <w:rPr>
                <w:kern w:val="0"/>
                <w:lang w:bidi="ar-SA"/>
              </w:rPr>
              <w:t xml:space="preserve">Ilustración </w:t>
            </w:r>
            <w:r>
              <w:rPr>
                <w:kern w:val="0"/>
                <w:lang w:bidi="ar-SA"/>
              </w:rPr>
              <w:fldChar w:fldCharType="begin"/>
            </w:r>
            <w:r>
              <w:rPr>
                <w:kern w:val="0"/>
                <w:lang w:bidi="ar-SA"/>
              </w:rPr>
              <w:instrText xml:space="preserve"> SEQ Ilustración \* ARABIC </w:instrText>
            </w:r>
            <w:r>
              <w:rPr>
                <w:kern w:val="0"/>
                <w:lang w:bidi="ar-SA"/>
              </w:rPr>
              <w:fldChar w:fldCharType="separate"/>
            </w:r>
            <w:r>
              <w:rPr>
                <w:kern w:val="0"/>
                <w:lang w:bidi="ar-SA"/>
              </w:rPr>
              <w:t>3</w:t>
            </w:r>
            <w:r>
              <w:rPr>
                <w:kern w:val="0"/>
                <w:lang w:bidi="ar-SA"/>
              </w:rPr>
              <w:fldChar w:fldCharType="end"/>
            </w:r>
            <w:r>
              <w:rPr>
                <w:rFonts w:eastAsia="Carlito" w:cs="Calibri" w:ascii="Calibri" w:hAnsi="Calibri" w:asciiTheme="minorHAnsi" w:cstheme="minorHAnsi" w:hAnsiTheme="minorHAnsi"/>
                <w:b/>
                <w:bCs/>
                <w:i w:val="false"/>
                <w:iCs w:val="false"/>
                <w:color w:themeColor="accent1" w:val="4472C4"/>
                <w:kern w:val="0"/>
                <w:sz w:val="20"/>
                <w:szCs w:val="20"/>
                <w:lang w:val="es-ES" w:eastAsia="en-US" w:bidi="ar-SA"/>
              </w:rPr>
              <w:t xml:space="preserve">. </w:t>
            </w:r>
            <w:r>
              <w:rPr>
                <w:kern w:val="0"/>
                <w:lang w:bidi="ar-SA"/>
              </w:rPr>
              <w:t xml:space="preserve">Caso de Uso </w:t>
            </w:r>
            <w:bookmarkEnd w:id="27"/>
            <w:bookmarkEnd w:id="28"/>
            <w:r>
              <w:rPr>
                <w:kern w:val="0"/>
                <w:lang w:bidi="ar-SA"/>
              </w:rPr>
              <w:t>de Convertir Masa</w:t>
            </w:r>
          </w:p>
        </w:tc>
      </w:tr>
      <w:tr>
        <w:trPr>
          <w:cantSplit/>
          <w:trHeight w:val="380" w:hRule="atLeast"/>
        </w:trPr>
        <w:tc>
          <w:tcPr>
            <w:tcW w:w="9025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tabs>
                <w:tab w:val="clear" w:pos="708"/>
                <w:tab w:val="left" w:pos="3735" w:leader="none"/>
              </w:tabs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 xml:space="preserve">                   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Flujo básico</w:t>
            </w:r>
          </w:p>
        </w:tc>
      </w:tr>
      <w:tr>
        <w:trPr>
          <w:cantSplit/>
          <w:trHeight w:val="1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Actor</w:t>
            </w:r>
          </w:p>
        </w:tc>
        <w:tc>
          <w:tcPr>
            <w:tcW w:w="52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Sistema</w:t>
            </w:r>
          </w:p>
        </w:tc>
      </w:tr>
      <w:tr>
        <w:trPr>
          <w:cantSplit/>
          <w:trHeight w:val="100" w:hRule="atLeast"/>
        </w:trPr>
        <w:tc>
          <w:tcPr>
            <w:tcW w:w="38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BodyText"/>
              <w:keepNext w:val="false"/>
              <w:keepLines w:val="false"/>
              <w:widowControl w:val="false"/>
              <w:numPr>
                <w:ilvl w:val="0"/>
                <w:numId w:val="6"/>
              </w:numPr>
              <w:shd w:val="clear" w:fill="auto"/>
              <w:suppressAutoHyphens w:val="true"/>
              <w:spacing w:lineRule="auto" w:line="240" w:before="0" w:after="0"/>
              <w:ind w:hanging="0" w:left="0" w:right="0"/>
              <w:jc w:val="left"/>
              <w:rPr>
                <w:b w:val="false"/>
                <w:bCs w:val="false"/>
              </w:rPr>
            </w:pPr>
            <w:bookmarkStart w:id="29" w:name="p-rc_28086dd97b99f92a-228"/>
            <w:bookmarkEnd w:id="29"/>
            <w:r>
              <w:rPr>
                <w:b w:val="false"/>
                <w:bCs w:val="false"/>
              </w:rPr>
              <w:t>El usuario selecciona la magnitud "Masa" y define las unidades de entrada y salida.</w:t>
            </w:r>
          </w:p>
        </w:tc>
        <w:tc>
          <w:tcPr>
            <w:tcW w:w="52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80" w:after="100"/>
              <w:ind w:hanging="0" w:left="36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 El sistema carga las constantes de conversión para masa (g, kg, lb, oz, q).</w:t>
            </w:r>
          </w:p>
        </w:tc>
      </w:tr>
      <w:tr>
        <w:trPr>
          <w:cantSplit/>
          <w:trHeight w:val="1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numPr>
                <w:ilvl w:val="0"/>
                <w:numId w:val="6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 xml:space="preserve">El usuario ingresa el valor a convertir y envía la petición </w:t>
            </w:r>
            <w:r>
              <w:rPr/>
              <w:t>HTTP a la API REST</w:t>
            </w:r>
            <w:r>
              <w:rPr/>
              <w:t>.</w:t>
            </w:r>
          </w:p>
        </w:tc>
        <w:tc>
          <w:tcPr>
            <w:tcW w:w="52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80" w:after="100"/>
              <w:ind w:hanging="0" w:left="36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2. El sistema ejecuta la fórmula y devuelve el resultado exacto con </w:t>
            </w: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 xml:space="preserve">2 decimales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en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formato JSON.</w:t>
            </w:r>
          </w:p>
        </w:tc>
      </w:tr>
      <w:tr>
        <w:trPr>
          <w:cantSplit/>
          <w:trHeight w:val="100" w:hRule="atLeast"/>
        </w:trPr>
        <w:tc>
          <w:tcPr>
            <w:tcW w:w="9025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tabs>
                <w:tab w:val="clear" w:pos="708"/>
                <w:tab w:val="left" w:pos="3540" w:leader="none"/>
              </w:tabs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 xml:space="preserve">               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Flujo Alternativo</w:t>
            </w:r>
          </w:p>
        </w:tc>
      </w:tr>
      <w:tr>
        <w:trPr>
          <w:cantSplit/>
          <w:trHeight w:val="1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5" w:type="dxa"/>
            <w:gridSpan w:val="6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numPr>
                <w:ilvl w:val="0"/>
                <w:numId w:val="0"/>
              </w:numPr>
              <w:spacing w:lineRule="auto" w:line="240"/>
              <w:ind w:hanging="0" w:left="720"/>
              <w:rPr/>
            </w:pPr>
            <w:r>
              <w:rPr>
                <w:b w:val="false"/>
                <w:bCs w:val="false"/>
              </w:rPr>
              <w:t xml:space="preserve">1. Si el usuario ingresa datos no numéricos o mayores a 16 caracteres, </w:t>
            </w:r>
            <w:r>
              <w:rPr/>
              <w:t>el sistema deberá mostrar una alerta de error de validación en la interfaz.</w:t>
            </w:r>
          </w:p>
          <w:p>
            <w:pPr>
              <w:pStyle w:val="normal1"/>
              <w:widowControl w:val="false"/>
              <w:numPr>
                <w:ilvl w:val="0"/>
                <w:numId w:val="0"/>
              </w:numPr>
              <w:spacing w:lineRule="auto" w:line="240"/>
              <w:ind w:hanging="0" w:left="720"/>
              <w:rPr/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2. En el caso de que el </w:t>
            </w: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 xml:space="preserve">servidor .NET (Kestrel)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no esté operativo, el sistema deberá notificar que el servicio no está disponible.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80" w:after="100"/>
              <w:ind w:hanging="0" w:left="360"/>
              <w:contextualSpacing/>
              <w:jc w:val="both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3. El sistema interrumpe la conexión y solicita verificar el estado del servidor en la red local.</w:t>
            </w:r>
          </w:p>
        </w:tc>
      </w:tr>
      <w:tr>
        <w:trPr>
          <w:cantSplit/>
          <w:trHeight w:val="260" w:hRule="atLeast"/>
        </w:trPr>
        <w:tc>
          <w:tcPr>
            <w:tcW w:w="3826" w:type="dxa"/>
            <w:gridSpan w:val="3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Post condiciones:</w:t>
            </w:r>
          </w:p>
        </w:tc>
        <w:tc>
          <w:tcPr>
            <w:tcW w:w="5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1"/>
              <w:widowControl w:val="false"/>
              <w:spacing w:lineRule="auto" w:line="2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Visualización del resultado convertido en la interfaz del cliente (Móvil, Web, Escritorio o Consola)</w:t>
            </w:r>
          </w:p>
        </w:tc>
      </w:tr>
      <w:tr>
        <w:trPr>
          <w:cantSplit/>
          <w:trHeight w:val="26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6" w:type="dxa"/>
            <w:gridSpan w:val="3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Casos de uso incluidos:</w:t>
            </w:r>
          </w:p>
        </w:tc>
        <w:tc>
          <w:tcPr>
            <w:tcW w:w="5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ECUD1</w:t>
            </w:r>
          </w:p>
        </w:tc>
      </w:tr>
      <w:tr>
        <w:trPr>
          <w:cantSplit/>
          <w:trHeight w:val="260" w:hRule="atLeast"/>
        </w:trPr>
        <w:tc>
          <w:tcPr>
            <w:tcW w:w="3826" w:type="dxa"/>
            <w:gridSpan w:val="3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keepNext w:val="true"/>
              <w:widowControl/>
              <w:suppressAutoHyphens w:val="true"/>
              <w:spacing w:before="80" w:after="100"/>
              <w:jc w:val="right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Casos de uso extendidos:</w:t>
            </w:r>
          </w:p>
        </w:tc>
        <w:tc>
          <w:tcPr>
            <w:tcW w:w="5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keepNext w:val="true"/>
              <w:widowControl/>
              <w:suppressAutoHyphens w:val="true"/>
              <w:spacing w:before="8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Normal"/>
        <w:rPr>
          <w:lang w:val="es-EC" w:eastAsia="es-EC"/>
        </w:rPr>
      </w:pPr>
      <w:r>
        <w:rPr>
          <w:lang w:val="es-EC" w:eastAsia="es-EC"/>
        </w:rPr>
      </w:r>
    </w:p>
    <w:p>
      <w:pPr>
        <w:keepWithNext/>
        <w:pStyle w:val="Heading2"/>
        <w:rPr/>
      </w:pPr>
      <w:bookmarkStart w:id="30" w:name="__RefHeading___Toc3746_2838085158"/>
      <w:bookmarkStart w:id="31" w:name="_Toc74581879"/>
      <w:bookmarkStart w:id="32" w:name="_Toc214408332"/>
      <w:bookmarkEnd w:id="30"/>
      <w:r>
        <w:rPr>
          <w:rFonts w:eastAsia="Carlito"/>
          <w:lang w:eastAsia="en-US"/>
        </w:rPr>
        <w:t>ECUD_CONVERTIR_</w:t>
      </w:r>
      <w:bookmarkEnd w:id="31"/>
      <w:bookmarkEnd w:id="32"/>
      <w:r>
        <w:rPr>
          <w:rFonts w:eastAsia="Carlito"/>
          <w:lang w:eastAsia="en-US"/>
        </w:rPr>
        <w:t>TEMPERATURA</w:t>
      </w:r>
    </w:p>
    <w:p>
      <w:pPr>
        <w:keepWithNext/>
        <w:pStyle w:val="Normal"/>
        <w:jc w:val="both"/>
        <w:rPr>
          <w:b/>
          <w:bCs/>
        </w:rPr>
      </w:pPr>
      <w:r>
        <w:rPr/>
        <w:t xml:space="preserve">A continuación, se muestra </w:t>
      </w:r>
      <w:r>
        <w:rPr>
          <w:b/>
          <w:bCs/>
        </w:rPr>
        <w:t>ECUD_CONVERTIR_TEMPERATURA</w:t>
      </w:r>
    </w:p>
    <w:p>
      <w:pPr>
        <w:keepWithNext/>
        <w:pStyle w:val="Caption"/>
        <w:keepNext w:val="true"/>
        <w:rPr/>
      </w:pPr>
      <w:bookmarkStart w:id="33" w:name="_Toc61544001"/>
      <w:bookmarkStart w:id="34" w:name="_Toc73914197"/>
      <w:bookmarkStart w:id="35" w:name="_Toc74775705"/>
      <w:r>
        <w:rPr/>
        <w:t>Tabla 4. ECUD</w:t>
      </w:r>
      <w:bookmarkEnd w:id="33"/>
      <w:bookmarkEnd w:id="34"/>
      <w:bookmarkEnd w:id="35"/>
      <w:r>
        <w:rPr/>
        <w:t xml:space="preserve"> Convertir Temperatura</w:t>
      </w:r>
    </w:p>
    <w:tbl>
      <w:tblPr>
        <w:tblStyle w:val="Tablaconcuadrcula5oscura-nfasis3"/>
        <w:tblW w:w="5000" w:type="pct"/>
        <w:jc w:val="left"/>
        <w:tblInd w:w="0" w:type="dxa"/>
        <w:shd w:fill="EDEDED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21"/>
        <w:gridCol w:w="883"/>
        <w:gridCol w:w="1675"/>
        <w:gridCol w:w="2270"/>
        <w:gridCol w:w="2076"/>
      </w:tblGrid>
      <w:tr>
        <w:trPr>
          <w:cantSplit/>
          <w:trHeight w:val="2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Nombre Caso de Uso: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CONVERTIR TEMPERATURA</w:t>
            </w:r>
          </w:p>
        </w:tc>
      </w:tr>
      <w:tr>
        <w:trPr>
          <w:cantSplit/>
          <w:trHeight w:val="220" w:hRule="atLeast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Identificador: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ECUD4</w:t>
            </w:r>
          </w:p>
        </w:tc>
      </w:tr>
      <w:tr>
        <w:trPr>
          <w:cantSplit/>
          <w:trHeight w:val="2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Descripción: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Ejecutar fórmulas matemáticas para convertir temperaturas entre escalas Celsius, Fahrenheit, Kelvin, Newton y Reaumur.</w:t>
            </w:r>
          </w:p>
        </w:tc>
      </w:tr>
      <w:tr>
        <w:trPr>
          <w:cantSplit/>
          <w:trHeight w:val="220" w:hRule="atLeast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Meta: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Garantizar el procesamiento centralizado y exacto de equivalencias térmicas aplicables a los diversos clientes.</w:t>
            </w:r>
          </w:p>
        </w:tc>
      </w:tr>
      <w:tr>
        <w:trPr>
          <w:cantSplit/>
          <w:trHeight w:val="2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Estado: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Activo</w:t>
            </w:r>
          </w:p>
        </w:tc>
        <w:tc>
          <w:tcPr>
            <w:tcW w:w="227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Versión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: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1.0</w:t>
            </w:r>
          </w:p>
        </w:tc>
      </w:tr>
      <w:tr>
        <w:trPr>
          <w:cantSplit/>
          <w:trHeight w:val="260" w:hRule="atLeast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Autores: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US" w:eastAsia="en-US" w:bidi="ar-SA"/>
              </w:rPr>
              <w:t>Julio Viche, Gabriel Murillo</w:t>
            </w:r>
          </w:p>
        </w:tc>
      </w:tr>
      <w:tr>
        <w:trPr>
          <w:cantSplit/>
          <w:trHeight w:val="5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Fecha creación: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21/04/2026</w:t>
            </w:r>
          </w:p>
        </w:tc>
        <w:tc>
          <w:tcPr>
            <w:tcW w:w="227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Fecha modificación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21/04/2026</w:t>
            </w:r>
          </w:p>
        </w:tc>
      </w:tr>
      <w:tr>
        <w:trPr>
          <w:cantSplit/>
          <w:trHeight w:val="220" w:hRule="atLeast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Precondiciones: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ListParagraph"/>
              <w:widowControl/>
              <w:numPr>
                <w:ilvl w:val="3"/>
                <w:numId w:val="7"/>
              </w:numPr>
              <w:suppressAutoHyphens w:val="true"/>
              <w:spacing w:before="80" w:after="10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C" w:eastAsia="en-US" w:bidi="ar-SA"/>
              </w:rPr>
              <w:t>Autenticación exitosa (CU-01).</w:t>
            </w:r>
          </w:p>
          <w:p>
            <w:pPr>
              <w:pStyle w:val="ListParagraph"/>
              <w:widowControl/>
              <w:numPr>
                <w:ilvl w:val="3"/>
                <w:numId w:val="7"/>
              </w:numPr>
              <w:suppressAutoHyphens w:val="true"/>
              <w:spacing w:before="80" w:after="10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C" w:eastAsia="en-US" w:bidi="ar-SA"/>
              </w:rPr>
              <w:t>Servidor .NET en estado operativo.</w:t>
            </w:r>
          </w:p>
        </w:tc>
      </w:tr>
      <w:tr>
        <w:trPr>
          <w:cantSplit/>
          <w:trHeight w:val="2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4" w:type="dxa"/>
            <w:gridSpan w:val="2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Gráfico: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keepNext w:val="true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 w:eastAsia="es-EC"/>
              </w:rPr>
            </w:pPr>
            <w:r>
              <w:rPr>
                <w:lang w:val="es-EC" w:eastAsia="es-EC"/>
              </w:rPr>
              <w:drawing>
                <wp:inline distT="0" distB="0" distL="0" distR="0">
                  <wp:extent cx="2549867" cy="1885975"/>
                  <wp:effectExtent l="0" t="0" r="0" b="0"/>
                  <wp:docPr id="100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9595" cy="229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widowControl/>
              <w:suppressAutoHyphens w:val="true"/>
              <w:spacing w:before="8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B2B2B2"/>
                <w:kern w:val="0"/>
                <w:lang w:bidi="ar-SA"/>
              </w:rPr>
            </w:pPr>
            <w:bookmarkStart w:id="36" w:name="_Toc82708269_Copy_1"/>
            <w:bookmarkStart w:id="37" w:name="_Toc214408085_Copy_1"/>
            <w:r>
              <w:rPr>
                <w:rFonts w:eastAsia="Carlito" w:cs="Calibri" w:ascii="Calibri" w:hAnsi="Calibri" w:asciiTheme="minorHAnsi" w:cstheme="minorHAnsi" w:hAnsiTheme="minorHAnsi"/>
                <w:b/>
                <w:bCs/>
                <w:i w:val="false"/>
                <w:iCs w:val="false"/>
                <w:color w:val="B2B2B2"/>
                <w:kern w:val="0"/>
                <w:sz w:val="20"/>
                <w:szCs w:val="20"/>
                <w:lang w:val="es-ES" w:eastAsia="en-US" w:bidi="ar-SA"/>
              </w:rPr>
              <w:t xml:space="preserve">Ilustración </w:t>
            </w:r>
            <w:r>
              <w:rPr>
                <w:rFonts w:eastAsia="Carlito" w:cs="Calibri" w:ascii="Calibri" w:hAnsi="Calibri"/>
                <w:b/>
                <w:bCs/>
                <w:i w:val="false"/>
                <w:iCs w:val="false"/>
                <w:color w:val="B2B2B2"/>
                <w:kern w:val="0"/>
                <w:sz w:val="20"/>
                <w:szCs w:val="20"/>
                <w:lang w:val="es-ES" w:eastAsia="en-US" w:bidi="ar-SA"/>
              </w:rPr>
              <w:fldChar w:fldCharType="begin"/>
            </w:r>
            <w:r>
              <w:rPr>
                <w:sz w:val="20"/>
                <w:i w:val="false"/>
                <w:b/>
                <w:kern w:val="0"/>
                <w:szCs w:val="20"/>
                <w:iCs w:val="false"/>
                <w:bCs/>
                <w:rFonts w:eastAsia="Carlito" w:cs="Calibri" w:ascii="Calibri" w:hAnsi="Calibri"/>
                <w:color w:val="B2B2B2"/>
                <w:lang w:val="es-ES" w:eastAsia="en-US" w:bidi="ar-SA"/>
              </w:rPr>
              <w:instrText xml:space="preserve"> SEQ Ilustración \* ARABIC </w:instrText>
            </w:r>
            <w:r>
              <w:rPr>
                <w:sz w:val="20"/>
                <w:i w:val="false"/>
                <w:b/>
                <w:kern w:val="0"/>
                <w:szCs w:val="20"/>
                <w:iCs w:val="false"/>
                <w:bCs/>
                <w:rFonts w:eastAsia="Carlito" w:cs="Calibri" w:ascii="Calibri" w:hAnsi="Calibri"/>
                <w:color w:val="B2B2B2"/>
                <w:lang w:val="es-ES" w:eastAsia="en-US" w:bidi="ar-SA"/>
              </w:rPr>
              <w:fldChar w:fldCharType="separate"/>
            </w:r>
            <w:r>
              <w:rPr>
                <w:sz w:val="20"/>
                <w:i w:val="false"/>
                <w:b/>
                <w:kern w:val="0"/>
                <w:szCs w:val="20"/>
                <w:iCs w:val="false"/>
                <w:bCs/>
                <w:rFonts w:eastAsia="Carlito" w:cs="Calibri" w:ascii="Calibri" w:hAnsi="Calibri"/>
                <w:color w:val="B2B2B2"/>
                <w:lang w:val="es-ES" w:eastAsia="en-US" w:bidi="ar-SA"/>
              </w:rPr>
              <w:t>4</w:t>
            </w:r>
            <w:r>
              <w:rPr>
                <w:sz w:val="20"/>
                <w:i w:val="false"/>
                <w:b/>
                <w:kern w:val="0"/>
                <w:szCs w:val="20"/>
                <w:iCs w:val="false"/>
                <w:bCs/>
                <w:rFonts w:eastAsia="Carlito" w:cs="Calibri" w:ascii="Calibri" w:hAnsi="Calibri"/>
                <w:color w:val="B2B2B2"/>
                <w:lang w:val="es-ES" w:eastAsia="en-US" w:bidi="ar-SA"/>
              </w:rPr>
              <w:fldChar w:fldCharType="end"/>
            </w:r>
            <w:r>
              <w:rPr>
                <w:rFonts w:eastAsia="Carlito" w:cs="Calibri" w:ascii="Calibri" w:hAnsi="Calibri" w:asciiTheme="minorHAnsi" w:cstheme="minorHAnsi" w:hAnsiTheme="minorHAnsi"/>
                <w:b/>
                <w:bCs/>
                <w:i w:val="false"/>
                <w:iCs w:val="false"/>
                <w:color w:val="B2B2B2"/>
                <w:kern w:val="0"/>
                <w:sz w:val="20"/>
                <w:szCs w:val="20"/>
                <w:lang w:val="es-ES" w:eastAsia="en-US" w:bidi="ar-SA"/>
              </w:rPr>
              <w:t xml:space="preserve">. Caso de Uso </w:t>
            </w:r>
            <w:bookmarkEnd w:id="36"/>
            <w:bookmarkEnd w:id="37"/>
            <w:r>
              <w:rPr>
                <w:rFonts w:eastAsia="Carlito" w:cs="Calibri" w:ascii="Calibri" w:hAnsi="Calibri" w:asciiTheme="minorHAnsi" w:cstheme="minorHAnsi" w:hAnsiTheme="minorHAnsi"/>
                <w:b/>
                <w:bCs/>
                <w:i w:val="false"/>
                <w:iCs w:val="false"/>
                <w:color w:val="B2B2B2"/>
                <w:kern w:val="0"/>
                <w:sz w:val="20"/>
                <w:szCs w:val="20"/>
                <w:lang w:val="es-ES" w:eastAsia="en-US" w:bidi="ar-SA"/>
              </w:rPr>
              <w:t>de Convertir Temperatura</w:t>
            </w:r>
          </w:p>
        </w:tc>
      </w:tr>
      <w:tr>
        <w:trPr>
          <w:cantSplit/>
          <w:trHeight w:val="380" w:hRule="atLeast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3735" w:leader="none"/>
              </w:tabs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Flujo básico</w:t>
            </w:r>
          </w:p>
        </w:tc>
      </w:tr>
      <w:tr>
        <w:trPr>
          <w:cantSplit/>
          <w:trHeight w:val="100" w:hRule="atLeast"/>
        </w:trPr>
        <w:tc>
          <w:tcPr>
            <w:tcW w:w="4679" w:type="dxa"/>
            <w:gridSpan w:val="3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USUARIO</w:t>
            </w:r>
          </w:p>
        </w:tc>
        <w:tc>
          <w:tcPr>
            <w:tcW w:w="43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SISTEMA</w:t>
            </w:r>
          </w:p>
        </w:tc>
      </w:tr>
      <w:tr>
        <w:trPr>
          <w:cantSplit/>
          <w:trHeight w:val="1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9" w:type="dxa"/>
            <w:gridSpan w:val="3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1. </w:t>
            </w: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El usuario elige la magnitud "Temperatura" y las escalas (Celsius, Fahrenheit, Kelvin, Newton o Reaumur).</w:t>
            </w:r>
          </w:p>
        </w:tc>
        <w:tc>
          <w:tcPr>
            <w:tcW w:w="43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 El sistema habilita el motor de cálculo de escalas térmicas</w:t>
            </w:r>
          </w:p>
        </w:tc>
      </w:tr>
      <w:tr>
        <w:trPr>
          <w:cantSplit/>
          <w:trHeight w:val="100" w:hRule="atLeast"/>
        </w:trPr>
        <w:tc>
          <w:tcPr>
            <w:tcW w:w="4679" w:type="dxa"/>
            <w:gridSpan w:val="3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2. El usuario ingresa el valor a convertir y envía la petición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SOAP al servicio web (CoreWCF).</w:t>
            </w:r>
          </w:p>
        </w:tc>
        <w:tc>
          <w:tcPr>
            <w:tcW w:w="43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2. El sistema ejecuta la fórmula y devuelve el resultado exacto en 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formato JSON.</w:t>
            </w:r>
          </w:p>
        </w:tc>
      </w:tr>
      <w:tr>
        <w:trPr>
          <w:cantSplit/>
          <w:trHeight w:val="100" w:hRule="atLeast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tabs>
                <w:tab w:val="clear" w:pos="708"/>
                <w:tab w:val="left" w:pos="3540" w:leader="none"/>
              </w:tabs>
              <w:suppressAutoHyphens w:val="true"/>
              <w:spacing w:before="80" w:after="10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Flujo Alternativo</w:t>
            </w:r>
          </w:p>
        </w:tc>
      </w:tr>
      <w:tr>
        <w:trPr>
          <w:cantSplit/>
          <w:trHeight w:val="1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left="720"/>
              <w:rPr/>
            </w:pPr>
            <w:r>
              <w:rPr>
                <w:b w:val="false"/>
                <w:bCs w:val="false"/>
              </w:rPr>
              <w:t xml:space="preserve">Si el usuario ingresa datos no numéricos o mayores a 16 caracteres, </w:t>
            </w:r>
            <w:r>
              <w:rPr/>
              <w:t>el sistema deberá mostrar una alerta de error de validación en la interfaz</w:t>
            </w:r>
          </w:p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En el caso de que el servidor .NET (Kestrel) no esté operativo, el sistema deberá notificar que el servicio no está disponible</w:t>
            </w:r>
          </w:p>
          <w:p>
            <w:pPr>
              <w:pStyle w:val="normal1"/>
              <w:widowControl w:val="false"/>
              <w:numPr>
                <w:ilvl w:val="0"/>
                <w:numId w:val="0"/>
              </w:numPr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3. El sistema interrumpe la conexión y solicita verificar el estado del servidor en la red local</w:t>
            </w:r>
          </w:p>
        </w:tc>
      </w:tr>
      <w:tr>
        <w:trPr>
          <w:cantSplit/>
          <w:trHeight w:val="260" w:hRule="atLeast"/>
        </w:trPr>
        <w:tc>
          <w:tcPr>
            <w:tcW w:w="212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  <w:vAlign w:val="center"/>
          </w:tcPr>
          <w:p>
            <w:pPr>
              <w:pStyle w:val="Normal"/>
              <w:widowControl/>
              <w:suppressAutoHyphens w:val="true"/>
              <w:spacing w:before="80" w:after="100"/>
              <w:jc w:val="righ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Post condiciones:</w:t>
            </w:r>
          </w:p>
        </w:tc>
        <w:tc>
          <w:tcPr>
            <w:tcW w:w="6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Visualización del resultado de la conversión térmica en la interfaz del cliente (Móvil, Web, Escritorio o Consola).</w:t>
            </w:r>
          </w:p>
        </w:tc>
      </w:tr>
      <w:tr>
        <w:trPr>
          <w:cantSplit/>
          <w:trHeight w:val="26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spacing w:before="80" w:after="100"/>
              <w:jc w:val="both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 xml:space="preserve">Casos de uso incluidos:  </w:t>
            </w:r>
            <w:r>
              <w:rPr>
                <w:rFonts w:eastAsia="Calibri" w:cs=""/>
                <w:bCs/>
                <w:kern w:val="0"/>
                <w:sz w:val="22"/>
                <w:szCs w:val="22"/>
                <w:lang w:eastAsia="en-US" w:bidi="ar-SA"/>
              </w:rPr>
              <w:t>ECUD1</w:t>
            </w:r>
          </w:p>
        </w:tc>
      </w:tr>
      <w:tr>
        <w:trPr>
          <w:cantSplit/>
          <w:trHeight w:val="260" w:hRule="atLeast"/>
        </w:trPr>
        <w:tc>
          <w:tcPr>
            <w:tcW w:w="9025" w:type="dxa"/>
            <w:gridSpan w:val="5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DBDB" w:themeFill="accent3" w:themeFillTint="66" w:val="clear"/>
          </w:tcPr>
          <w:p>
            <w:pPr>
              <w:pStyle w:val="Normal"/>
              <w:keepNext w:val="true"/>
              <w:widowControl/>
              <w:suppressAutoHyphens w:val="true"/>
              <w:spacing w:before="80" w:after="100"/>
              <w:jc w:val="both"/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eastAsia="en-US" w:bidi="ar-SA"/>
              </w:rPr>
              <w:t>Casos de uso extendidos:</w:t>
            </w:r>
          </w:p>
        </w:tc>
      </w:tr>
    </w:tbl>
    <w:p>
      <w:pPr>
        <w:pStyle w:val="Heading2"/>
        <w:rPr>
          <w:rFonts w:eastAsia="Carlito"/>
          <w:i/>
          <w:i/>
          <w:lang w:eastAsia="en-US"/>
        </w:rPr>
      </w:pPr>
      <w:r>
        <w:rPr>
          <w:rFonts w:eastAsia="Carlito"/>
          <w:i/>
          <w:lang w:eastAsia="en-US"/>
        </w:rPr>
      </w:r>
    </w:p>
    <w:p>
      <w:pPr>
        <w:pStyle w:val="Normal"/>
        <w:rPr>
          <w:i/>
          <w:i/>
          <w:iCs/>
          <w:color w:val="FF0000"/>
        </w:rPr>
      </w:pPr>
      <w:r>
        <w:rPr>
          <w:i/>
          <w:iCs/>
          <w:color w:val="FF0000"/>
        </w:rPr>
      </w:r>
    </w:p>
    <w:p>
      <w:pPr>
        <w:pStyle w:val="Normal"/>
        <w:widowControl/>
        <w:bidi w:val="0"/>
        <w:spacing w:lineRule="auto" w:line="240" w:before="80" w:after="100"/>
        <w:jc w:val="left"/>
        <w:rPr/>
      </w:pPr>
      <w:r>
        <w:rPr/>
      </w:r>
    </w:p>
    <w:sectPr>
      <w:footerReference w:type="even" r:id="rId16"/>
      <w:footerReference w:type="default" r:id="rId17"/>
      <w:footerReference w:type="first" r:id="rId18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Cover Pages"/>
        <w:docPartUnique w:val="true"/>
        <w:docPartGallery w:val="Page Numbers (Bottom of Page)"/>
        <w:docPartUnique w:val="true"/>
      </w:docPartObj>
      <w:id w:val="1667740129"/>
    </w:sdtPr>
    <w:sdtContent>
      <w:p>
        <w:pPr>
          <w:pStyle w:val="Footer"/>
          <w:spacing w:before="80" w:after="100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  <w:p>
        <w:pPr>
          <w:pStyle w:val="Footer"/>
          <w:spacing w:before="80" w:after="100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10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10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Cover Pages"/>
        <w:docPartUnique w:val="true"/>
        <w:docPartGallery w:val="Page Numbers (Bottom of Page)"/>
        <w:docPartUnique w:val="true"/>
      </w:docPartObj>
      <w:id w:val="1667740129"/>
    </w:sdtPr>
    <w:sdtContent>
      <w:p>
        <w:pPr>
          <w:pStyle w:val="Footer"/>
          <w:spacing w:before="80" w:after="100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  <w:p>
        <w:pPr>
          <w:pStyle w:val="Footer"/>
          <w:spacing w:before="80" w:after="100"/>
          <w:rPr/>
        </w:pPr>
        <w:r>
          <w:rPr/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100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Cover Pages"/>
        <w:docPartUnique w:val="true"/>
        <w:docPartGallery w:val="Page Numbers (Bottom of Page)"/>
        <w:docPartUnique w:val="true"/>
      </w:docPartObj>
      <w:id w:val="1667740129"/>
    </w:sdtPr>
    <w:sdtContent>
      <w:p>
        <w:pPr>
          <w:pStyle w:val="Footer"/>
          <w:spacing w:before="80" w:after="100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  <w:p>
        <w:pPr>
          <w:pStyle w:val="Footer"/>
          <w:spacing w:before="80" w:after="100"/>
          <w:rPr/>
        </w:pPr>
        <w:r>
          <w:rPr/>
        </w:r>
      </w:p>
    </w:sdtContent>
  </w:sdt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100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Cover Pages"/>
        <w:docPartUnique w:val="true"/>
        <w:docPartGallery w:val="Page Numbers (Bottom of Page)"/>
        <w:docPartUnique w:val="true"/>
      </w:docPartObj>
      <w:id w:val="1667740129"/>
    </w:sdtPr>
    <w:sdtContent>
      <w:p>
        <w:pPr>
          <w:pStyle w:val="Footer"/>
          <w:spacing w:before="80" w:after="100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  <w:p>
        <w:pPr>
          <w:pStyle w:val="Footer"/>
          <w:spacing w:before="80" w:after="100"/>
          <w:rPr/>
        </w:pPr>
        <w:r>
          <w:rPr/>
        </w:r>
      </w:p>
    </w:sdtContent>
  </w:sdt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C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c3677"/>
    <w:pPr>
      <w:widowControl/>
      <w:suppressAutoHyphens w:val="true"/>
      <w:bidi w:val="0"/>
      <w:spacing w:lineRule="auto" w:line="240" w:before="80" w:after="100"/>
      <w:jc w:val="left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ec3677"/>
    <w:pPr>
      <w:keepNext w:val="true"/>
      <w:keepLines/>
      <w:spacing w:before="100" w:after="120"/>
      <w:outlineLvl w:val="0"/>
    </w:pPr>
    <w:rPr>
      <w:rFonts w:eastAsia="" w:cs="" w:cstheme="majorBidi" w:eastAsiaTheme="majorEastAsia"/>
      <w:b/>
      <w:sz w:val="32"/>
      <w:szCs w:val="32"/>
    </w:rPr>
  </w:style>
  <w:style w:type="paragraph" w:styleId="Heading2">
    <w:name w:val="Heading 2"/>
    <w:basedOn w:val="Normal"/>
    <w:link w:val="Ttulo2Car"/>
    <w:uiPriority w:val="9"/>
    <w:qFormat/>
    <w:rsid w:val="00ec3677"/>
    <w:pPr>
      <w:spacing w:lineRule="auto" w:line="360" w:before="100" w:after="120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ar" w:customStyle="1">
    <w:name w:val="Título 2 Car"/>
    <w:basedOn w:val="DefaultParagraphFont"/>
    <w:link w:val="Heading2"/>
    <w:uiPriority w:val="9"/>
    <w:qFormat/>
    <w:rsid w:val="00ec3677"/>
    <w:rPr>
      <w:rFonts w:ascii="Arial" w:hAnsi="Arial" w:eastAsia="Times New Roman" w:cs="Times New Roman"/>
      <w:b/>
      <w:bCs/>
      <w:sz w:val="24"/>
      <w:szCs w:val="36"/>
      <w:lang w:val="es-ES" w:eastAsia="es-ES"/>
    </w:rPr>
  </w:style>
  <w:style w:type="character" w:styleId="DescripcinCar" w:customStyle="1">
    <w:name w:val="Descripción Car"/>
    <w:basedOn w:val="DefaultParagraphFont"/>
    <w:link w:val="Caption"/>
    <w:uiPriority w:val="35"/>
    <w:qFormat/>
    <w:rsid w:val="00d94c06"/>
    <w:rPr>
      <w:rFonts w:ascii="Times New Roman" w:hAnsi="Times New Roman" w:eastAsia="Times New Roman" w:cs="Times New Roman"/>
      <w:i/>
      <w:iCs/>
      <w:color w:themeColor="text2" w:val="44546A"/>
      <w:sz w:val="18"/>
      <w:szCs w:val="18"/>
      <w:lang w:eastAsia="es-EC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ec3677"/>
    <w:rPr>
      <w:rFonts w:ascii="Arial" w:hAnsi="Arial" w:eastAsia="" w:cs="" w:cstheme="majorBidi" w:eastAsiaTheme="majorEastAsia"/>
      <w:b/>
      <w:sz w:val="32"/>
      <w:szCs w:val="32"/>
      <w:lang w:val="es-ES"/>
    </w:rPr>
  </w:style>
  <w:style w:type="character" w:styleId="SinespaciadoCar" w:customStyle="1">
    <w:name w:val="Sin espaciado Car"/>
    <w:basedOn w:val="DefaultParagraphFont"/>
    <w:link w:val="NoSpacing"/>
    <w:uiPriority w:val="1"/>
    <w:qFormat/>
    <w:rsid w:val="00795234"/>
    <w:rPr>
      <w:lang w:val="en-US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795234"/>
    <w:rPr>
      <w:lang w:val="es-ES_tradnl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35111a"/>
    <w:rPr>
      <w:rFonts w:ascii="Arial" w:hAnsi="Arial"/>
      <w:lang w:val="es-ES"/>
    </w:rPr>
  </w:style>
  <w:style w:type="character" w:styleId="TtuloCar" w:customStyle="1">
    <w:name w:val="Título Car"/>
    <w:basedOn w:val="DefaultParagraphFont"/>
    <w:link w:val="Title"/>
    <w:uiPriority w:val="10"/>
    <w:qFormat/>
    <w:rsid w:val="00245a67"/>
    <w:rPr>
      <w:rFonts w:ascii="Arial" w:hAnsi="Arial" w:eastAsia="" w:cs="" w:cstheme="majorBidi" w:eastAsiaTheme="majorEastAsia"/>
      <w:b/>
      <w:spacing w:val="-10"/>
      <w:kern w:val="2"/>
      <w:sz w:val="36"/>
      <w:szCs w:val="56"/>
      <w:lang w:val="es-ES"/>
    </w:rPr>
  </w:style>
  <w:style w:type="character" w:styleId="Hyperlink">
    <w:name w:val="Hyperlink"/>
    <w:basedOn w:val="DefaultParagraphFont"/>
    <w:uiPriority w:val="99"/>
    <w:unhideWhenUsed/>
    <w:rsid w:val="000726dc"/>
    <w:rPr>
      <w:color w:themeColor="hyperlink" w:val="0563C1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DescripcinCar"/>
    <w:uiPriority w:val="35"/>
    <w:unhideWhenUsed/>
    <w:qFormat/>
    <w:rsid w:val="00d94c06"/>
    <w:pPr/>
    <w:rPr>
      <w:rFonts w:ascii="Times New Roman" w:hAnsi="Times New Roman" w:eastAsia="Times New Roman" w:cs="Times New Roman"/>
      <w:i/>
      <w:iCs/>
      <w:color w:themeColor="text2" w:val="44546A"/>
      <w:sz w:val="18"/>
      <w:szCs w:val="18"/>
      <w:lang w:val="es-EC" w:eastAsia="es-EC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94c06"/>
    <w:pPr>
      <w:spacing w:before="80" w:after="100"/>
      <w:ind w:left="720"/>
      <w:contextualSpacing/>
    </w:pPr>
    <w:rPr/>
  </w:style>
  <w:style w:type="paragraph" w:styleId="NoSpacing">
    <w:name w:val="No Spacing"/>
    <w:link w:val="SinespaciadoCar"/>
    <w:uiPriority w:val="1"/>
    <w:qFormat/>
    <w:rsid w:val="00795234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PiedepginaCar"/>
    <w:uiPriority w:val="99"/>
    <w:unhideWhenUsed/>
    <w:rsid w:val="00795234"/>
    <w:pPr>
      <w:tabs>
        <w:tab w:val="clear" w:pos="708"/>
        <w:tab w:val="center" w:pos="4252" w:leader="none"/>
        <w:tab w:val="right" w:pos="8504" w:leader="none"/>
      </w:tabs>
    </w:pPr>
    <w:rPr>
      <w:rFonts w:ascii="Calibri" w:hAnsi="Calibri" w:asciiTheme="minorHAnsi" w:hAnsiTheme="minorHAnsi"/>
      <w:lang w:val="es-ES_tradnl"/>
    </w:rPr>
  </w:style>
  <w:style w:type="paragraph" w:styleId="Header">
    <w:name w:val="Header"/>
    <w:basedOn w:val="Normal"/>
    <w:link w:val="EncabezadoCar"/>
    <w:uiPriority w:val="99"/>
    <w:unhideWhenUsed/>
    <w:rsid w:val="0035111a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Title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="" w:cs="" w:cstheme="majorBidi" w:eastAsiaTheme="majorEastAsia"/>
      <w:b/>
      <w:spacing w:val="-10"/>
      <w:kern w:val="2"/>
      <w:sz w:val="3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="Calibri" w:hAnsi="Calibri" w:cs="Calibri" w:asciiTheme="minorHAnsi" w:cs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="Calibri" w:hAnsi="Calibri" w:cs="Calibri" w:asciiTheme="minorHAnsi" w:cs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="Calibri" w:hAnsi="Calibri" w:cs="Calibri" w:asciiTheme="minorHAnsi" w:cs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e1003"/>
    <w:pPr>
      <w:spacing w:before="0" w:after="0"/>
      <w:ind w:hanging="440" w:left="440"/>
    </w:pPr>
    <w:rPr>
      <w:rFonts w:ascii="Calibri" w:hAnsi="Calibri" w:cs="Calibri" w:asciiTheme="minorHAnsi" w:cstheme="minorHAnsi" w:hAnsiTheme="minorHAnsi"/>
      <w:smallCaps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sz="4" w:space="0"/>
        </w:tcBorders>
      </w:tcPr>
    </w:tblStylePr>
    <w:tblStylePr w:type="nwCell">
      <w:tblPr/>
      <w:tcPr>
        <w:tcBorders>
          <w:bottom w:val="single" w:color="9CC2E5" w:themeColor="accent5" w:sz="4" w:space="0"/>
        </w:tcBorders>
      </w:tcPr>
    </w:tblStylePr>
    <w:tblStylePr w:type="seCell">
      <w:tblPr/>
      <w:tcPr>
        <w:tcBorders>
          <w:top w:val="single" w:color="9CC2E5" w:themeColor="accent5" w:sz="4" w:space="0"/>
        </w:tcBorders>
      </w:tcPr>
    </w:tblStylePr>
    <w:tblStylePr w:type="swCell">
      <w:tblPr/>
      <w:tcPr>
        <w:tcBorders>
          <w:top w:val="single" w:color="9CC2E5" w:themeColor="accent5" w:sz="4" w:space="0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footer" Target="footer8.xml"/><Relationship Id="rId11" Type="http://schemas.openxmlformats.org/officeDocument/2006/relationships/footer" Target="footer9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LibreOffice/24.2.7.2$Linux_X86_64 LibreOffice_project/420$Build-2</Application>
  <AppVersion>15.0000</AppVersion>
  <Pages>10</Pages>
  <Words>1150</Words>
  <Characters>6383</Characters>
  <CharactersWithSpaces>7404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2025-11-19T06:42:00Z</dcterms:created>
  <dc:creator>Julio Enrique Viche Castillo / Gabriel Omar Murillo Medina</dc:creator>
  <dc:description/>
  <dc:language>en-US</dc:language>
  <cp:lastModifiedBy>Julio Enrique Viche Castillo / Gabriel Omar Murillo Medina</cp:lastModifiedBy>
  <dcterms:modified xsi:type="dcterms:W3CDTF">2026-05-10T16:09:19Z</dcterms:modified>
  <cp:revision>4</cp:revision>
  <dc:subject/>
  <dc:title>Especificación de Casos de Uso Detallados - Conversor de Unidades (SINBDD)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