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254 atributos e 50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409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93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109 endpoints, 409 casos de teste automatizados cobrindo as regras de negócio e 93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8c2d614a3a252e894d7f547f133a31716ac4cf.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2026-10-03T05:38:58.977Z</dcterms:created>
  <dcterms:modified xsi:type="dcterms:W3CDTF">2026-10-03T05:38:58.982Z</dcterms:modified>
</cp:coreProperties>
</file>

<file path=docProps/custom.xml><?xml version="1.0" encoding="utf-8"?>
<Properties xmlns="http://schemas.openxmlformats.org/officeDocument/2006/custom-properties" xmlns:vt="http://schemas.openxmlformats.org/officeDocument/2006/docPropsVTypes"/>
</file>