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349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73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349 casos de teste automatizados cobrindo as regras de negócio e 73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2026-09-24T20:26:11.980Z</dcterms:created>
  <dcterms:modified xsi:type="dcterms:W3CDTF">2026-09-24T20:26:11.981Z</dcterms:modified>
</cp:coreProperties>
</file>

<file path=docProps/custom.xml><?xml version="1.0" encoding="utf-8"?>
<Properties xmlns="http://schemas.openxmlformats.org/officeDocument/2006/custom-properties" xmlns:vt="http://schemas.openxmlformats.org/officeDocument/2006/docPropsVTypes"/>
</file>