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e definir uma taxa de uso, cobrada quando a reserva é aprovada.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 Aprovada a reserva de um espaço com taxa de uso, a taxa entra nas cobranças do apartamento, com vencimento no dia da reserva; cancelada a reserva, por quem for, a taxa sai das cobranças, a não ser que já tenha sido paga — a devolução fica com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Advertir e multar com direito de defesa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notificar um apartamento por infração ao regimento ou à convenção — advertência ou multa — e ao morador apresentar a defesa antes da decisão, como pede o Código Civil (art. 1.336, § 2º, e art. 1.337).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apartamento, o tipo, o que aconteceu, quando, o artigo descumprido, o prazo de defesa (5 a 30 dias) e, na multa, o valor — até 5 vezes a taxa mensal do apartamento. O morador escreve a defesa dentro do prazo.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moradores do apartamento — inclusive o dono que não mora — recebem a notificação por e-mail. O síndico decide depois da defesa ou do fim do prazo, sempre com o motivo, que o apartamento recebe. A multa mantida entra nas cobranças do apartamento, com vencimento em 15 dias, ao lado da taxa do mês. O síndico vê quantas outras o apartamento teve mantidas nos últimos 12 meses. A portaria não vê; quem chega ao apartamento não vê as do morador anterior.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31 entidades, 381 atributos e 84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advertências e multas do síndico a um apartamento, com o prazo e a defesa do morador e a decisão do síndico; a multa mantida vira cobrança (Código Civil, art. 1.336, § 2º).</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 uma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assembleias</w:t>
      </w:r>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r>
        <w:rPr>
          <w:rFonts w:ascii="Arial" w:cs="Arial" w:eastAsia="Arial" w:hAnsi="Arial"/>
          <w:b/>
          <w:bCs/>
          <w:sz w:val="24"/>
          <w:szCs w:val="24"/>
        </w:rPr>
        <w:t xml:space="preserve">17.2 autorizacoes_visita</w:t>
      </w:r>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r>
        <w:rPr>
          <w:rFonts w:ascii="Arial" w:cs="Arial" w:eastAsia="Arial" w:hAnsi="Arial"/>
          <w:b/>
          <w:bCs/>
          <w:sz w:val="24"/>
          <w:szCs w:val="24"/>
        </w:rPr>
        <w:t xml:space="preserve">17.3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origem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onde vem a cobrança: a taxa do mês (uma por apartamento e mês), uma multa ou o uso de um espaço — tipo enumerado origem_cobranca, valores: TAXA, MULTA, USO_ESPACO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17.4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17.5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17.6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17.7 despesas</w:t>
      </w:r>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r>
        <w:rPr>
          <w:rFonts w:ascii="Arial" w:cs="Arial" w:eastAsia="Arial" w:hAnsi="Arial"/>
          <w:b/>
          <w:bCs/>
          <w:sz w:val="24"/>
          <w:szCs w:val="24"/>
        </w:rPr>
        <w:t xml:space="preserve">17.8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17.9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17.10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17.11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taxa_uso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 de uso (limpeza, gás, desgaste), cobrada do apartamento quando o síndico aprova a reserva; vazia, sem taxa</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17.12 horarios_mudanca</w:t>
      </w:r>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r>
        <w:rPr>
          <w:rFonts w:ascii="Arial" w:cs="Arial" w:eastAsia="Arial" w:hAnsi="Arial"/>
          <w:b/>
          <w:bCs/>
          <w:sz w:val="24"/>
          <w:szCs w:val="24"/>
        </w:rPr>
        <w:t xml:space="preserve">17.13 infracoes</w:t>
      </w:r>
    </w:p>
    <w:p>
      <w:pPr>
        <w:spacing w:after="120" w:line="360"/>
        <w:ind w:firstLine="708"/>
        <w:jc w:val="both"/>
      </w:pPr>
      <w:r>
        <w:rPr>
          <w:rFonts w:ascii="Arial" w:cs="Arial" w:eastAsia="Arial" w:hAnsi="Arial"/>
          <w:sz w:val="24"/>
          <w:szCs w:val="24"/>
        </w:rPr>
        <w:t xml:space="preserve">As advertências e multas do síndico a um apartamento, com o prazo e a defesa do morador e a decisão do síndico; a multa mantida vira cobrança (Código Civil, art. 1.336, § 2º).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Advertência (sem valor) ou multa — tipo enumerado tipo_infracao, valores: ADVERTENCIA, MULTA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aconteceu, como o síndico descreveu na notificação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artigo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artigo do regimento ou da convenção descumprido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infração, no último ano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da multa, até 5 vezes a contribuição mensal; vazio na advertência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prazo_defesa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para o apartamento apresentar a defesa (de 5 a 30 dias depois da notificação)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Notificada, com defesa apresentada, mantida ou anulada — tipo enumerado status_infracao, valores: NOTIFICADA, DEFESA_APRESENTADA, CONFIRMADA, ANULADA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defesa do morador, como ele escreveu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defesa foi apresentada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decisao_motivo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manteve ou anulou; o apartamento recebe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decisão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infracoes</w:t>
      </w:r>
    </w:p>
    <w:p>
      <w:pPr>
        <w:pStyle w:val="Heading2"/>
        <w:spacing w:after="160" w:before="280" w:line="360"/>
        <w:jc w:val="left"/>
      </w:pPr>
      <w:r>
        <w:rPr>
          <w:rFonts w:ascii="Arial" w:cs="Arial" w:eastAsia="Arial" w:hAnsi="Arial"/>
          <w:b/>
          <w:bCs/>
          <w:sz w:val="24"/>
          <w:szCs w:val="24"/>
        </w:rPr>
        <w:t xml:space="preserve">17.14 itens_pauta</w:t>
      </w:r>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r>
        <w:rPr>
          <w:rFonts w:ascii="Arial" w:cs="Arial" w:eastAsia="Arial" w:hAnsi="Arial"/>
          <w:b/>
          <w:bCs/>
          <w:sz w:val="24"/>
          <w:szCs w:val="24"/>
        </w:rPr>
        <w:t xml:space="preserve">17.15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17.16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17.17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17.18 mudancas</w:t>
      </w:r>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r>
        <w:rPr>
          <w:rFonts w:ascii="Arial" w:cs="Arial" w:eastAsia="Arial" w:hAnsi="Arial"/>
          <w:b/>
          <w:bCs/>
          <w:sz w:val="24"/>
          <w:szCs w:val="24"/>
        </w:rPr>
        <w:t xml:space="preserve">17.19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17.20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17.21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17.22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17.23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17.24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17.25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17.26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17.27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17.28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17.29 veiculos_unidade</w:t>
      </w:r>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r>
        <w:rPr>
          <w:rFonts w:ascii="Arial" w:cs="Arial" w:eastAsia="Arial" w:hAnsi="Arial"/>
          <w:b/>
          <w:bCs/>
          <w:sz w:val="24"/>
          <w:szCs w:val="24"/>
        </w:rPr>
        <w:t xml:space="preserve">17.30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r>
        <w:rPr>
          <w:rFonts w:ascii="Arial" w:cs="Arial" w:eastAsia="Arial" w:hAnsi="Arial"/>
          <w:b/>
          <w:bCs/>
          <w:sz w:val="24"/>
          <w:szCs w:val="24"/>
        </w:rPr>
        <w:t xml:space="preserve">17.31 votos</w:t>
      </w:r>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origem_cobranca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TAXA, MULTA, USO_ESPACO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NOTIFICADA, DEFESA_APRESENTADA, CONFIRMADA, ANULADA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ADVERTENCIA, MULTA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146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630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122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31 tabelas em PostgreSQL, 146 endpoints, 630 casos de teste automatizados cobrindo as regras de negócio e 122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8f8f83c5c8caab1afe100a7c3a6ac61cbd4f436.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903a66e85773e637aa3439ba95449a0aa30489d.png"/><Relationship Id="rId39" Type="http://schemas.openxmlformats.org/officeDocument/2006/relationships/image" Target="media/a7faab0a18fe323b9f0ec51f841d02501987b3ee.png"/><Relationship Id="rId40" Type="http://schemas.openxmlformats.org/officeDocument/2006/relationships/image" Target="media/d6a27f6a38c543e304390ae67f874f2bf20b4b1e.png"/><Relationship Id="rId41" Type="http://schemas.openxmlformats.org/officeDocument/2006/relationships/image" Target="media/3d892770742d2a76e36f8419ebf67161faac4a47.png"/><Relationship Id="rId42" Type="http://schemas.openxmlformats.org/officeDocument/2006/relationships/image" Target="media/6526dbf41f2c430a1321bec05ee9cb9092ed1de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2026-10-25T01:55:49.536Z</dcterms:created>
  <dcterms:modified xsi:type="dcterms:W3CDTF">2026-10-25T01:55:49.537Z</dcterms:modified>
</cp:coreProperties>
</file>

<file path=docProps/custom.xml><?xml version="1.0" encoding="utf-8"?>
<Properties xmlns="http://schemas.openxmlformats.org/officeDocument/2006/custom-properties" xmlns:vt="http://schemas.openxmlformats.org/officeDocument/2006/docPropsVTypes"/>
</file>