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categoria e o endereço do arquivo.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fica disponível na tela de documentos de quem tem direito de vê-lo.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e os documentos do cadastro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234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arquivo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e os documentos enviados no cadastro do morador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98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305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56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e formulário que pede um dado que nenhum código lê — dado pessoal coletado à toa. Três deles percorrem os fluxos com arquivo de ponta a ponta: a captura pela câmera, com uma câmera simulada do navegador, a foto tirada pelo porteiro chegando ao painel do morador, e os documentos escolhidos no cadastro chegando à fila de aprovação do síndico.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98 endpoints, 305 casos de teste automatizados cobrindo as regras de negócio e 56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ca14fed1952383e462de81d0f743ff4b2e34df1c.png"/><Relationship Id="rId37" Type="http://schemas.openxmlformats.org/officeDocument/2006/relationships/image" Target="media/7fd64bf4240ed5b2bee1801b66066a4332d9dcd4.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2026-09-24T13:57:38.164Z</dcterms:created>
  <dcterms:modified xsi:type="dcterms:W3CDTF">2026-09-24T13:57:38.173Z</dcterms:modified>
</cp:coreProperties>
</file>

<file path=docProps/custom.xml><?xml version="1.0" encoding="utf-8"?>
<Properties xmlns="http://schemas.openxmlformats.org/officeDocument/2006/custom-properties" xmlns:vt="http://schemas.openxmlformats.org/officeDocument/2006/docPropsVTypes"/>
</file>