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252 atributos e 49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108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402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108 endpoints, 402 casos de teste automatizados cobrindo as regras de negócio e 88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7335e2c949fd013228ce746c7ee33187f6a776ba.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99faf34d59f8624d7cc32e2bb6cdf8fb387f7b1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2026-09-30T03:34:49.311Z</dcterms:created>
  <dcterms:modified xsi:type="dcterms:W3CDTF">2026-09-30T03:34:49.318Z</dcterms:modified>
</cp:coreProperties>
</file>

<file path=docProps/custom.xml><?xml version="1.0" encoding="utf-8"?>
<Properties xmlns="http://schemas.openxmlformats.org/officeDocument/2006/custom-properties" xmlns:vt="http://schemas.openxmlformats.org/officeDocument/2006/docPropsVTypes"/>
</file>