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categoria e o endereço do arquivo.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fica disponível na tela de documentos de quem tem direito de vê-lo.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os documentos do cadastro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234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arquivo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anexada,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e os documentos enviados no cadastro do morador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96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enviadas ao morador</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282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e o medidor de força da senha. Três deles percorrem os fluxos com arquivo de ponta a ponta: a captura pela câmera, com uma câmera simulada do navegador, a foto tirada pelo porteiro chegando ao painel do morador, e os documentos escolhidos no cadastro chegando à fila de aprovação do síndico.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96 endpoints, 282 casos de teste automatizados cobrindo as regras de negócio e 54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28967e6eb35d252ab6a67efc60cd23f7ca6de2fe.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ca14fed1952383e462de81d0f743ff4b2e34df1c.png"/><Relationship Id="rId37" Type="http://schemas.openxmlformats.org/officeDocument/2006/relationships/image" Target="media/b38c4f701f0b389078b335340afbe04dd504e40d.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2026-09-23T18:56:04.874Z</dcterms:created>
  <dcterms:modified xsi:type="dcterms:W3CDTF">2026-09-23T18:56:04.886Z</dcterms:modified>
</cp:coreProperties>
</file>

<file path=docProps/custom.xml><?xml version="1.0" encoding="utf-8"?>
<Properties xmlns="http://schemas.openxmlformats.org/officeDocument/2006/custom-properties" xmlns:vt="http://schemas.openxmlformats.org/officeDocument/2006/docPropsVTypes"/>
</file>