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425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94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425 casos de teste automatizados cobrindo as regras de negócio e 94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2026-10-06T16:44:58.968Z</dcterms:created>
  <dcterms:modified xsi:type="dcterms:W3CDTF">2026-10-06T16:44:58.968Z</dcterms:modified>
</cp:coreProperties>
</file>

<file path=docProps/custom.xml><?xml version="1.0" encoding="utf-8"?>
<Properties xmlns="http://schemas.openxmlformats.org/officeDocument/2006/custom-properties" xmlns:vt="http://schemas.openxmlformats.org/officeDocument/2006/docPropsVTypes"/>
</file>