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44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21 entidades, 235 atributos e 44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17.18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17.19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17.20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17.21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99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314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57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e recuperação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21 tabelas em PostgreSQL, 99 endpoints, 314 casos de teste automatizados cobrindo as regras de negócio e 57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f25cadd2611eaa54dc3d353570c7a4e4ea85d0e9.png"/><Relationship Id="rId36" Type="http://schemas.openxmlformats.org/officeDocument/2006/relationships/image" Target="media/ca14fed1952383e462de81d0f743ff4b2e34df1c.png"/><Relationship Id="rId37" Type="http://schemas.openxmlformats.org/officeDocument/2006/relationships/image" Target="media/cc2753e5c58532c12c463b8b2c13ee923e4fb6ac.png"/><Relationship Id="rId38" Type="http://schemas.openxmlformats.org/officeDocument/2006/relationships/image" Target="media/99faf34d59f8624d7cc32e2bb6cdf8fb387f7b1d.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2026-09-24T14:54:18.709Z</dcterms:created>
  <dcterms:modified xsi:type="dcterms:W3CDTF">2026-09-24T14:54:18.727Z</dcterms:modified>
</cp:coreProperties>
</file>

<file path=docProps/custom.xml><?xml version="1.0" encoding="utf-8"?>
<Properties xmlns="http://schemas.openxmlformats.org/officeDocument/2006/custom-properties" xmlns:vt="http://schemas.openxmlformats.org/officeDocument/2006/docPropsVTypes"/>
</file>