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236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354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78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354 casos de teste automatizados cobrindo as regras de negócio e 78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a5d1e9d6cb6536f7d3efe62932360bcf30914890.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2026-09-24T21:17:05.013Z</dcterms:created>
  <dcterms:modified xsi:type="dcterms:W3CDTF">2026-09-24T21:17:05.014Z</dcterms:modified>
</cp:coreProperties>
</file>

<file path=docProps/custom.xml><?xml version="1.0" encoding="utf-8"?>
<Properties xmlns="http://schemas.openxmlformats.org/officeDocument/2006/custom-properties" xmlns:vt="http://schemas.openxmlformats.org/officeDocument/2006/docPropsVTypes"/>
</file>