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254 atributos e 50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416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94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109 endpoints, 416 casos de teste automatizados cobrindo as regras de negócio e 94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818c2d614a3a252e894d7f547f133a31716ac4cf.png"/><Relationship Id="rId39" Type="http://schemas.openxmlformats.org/officeDocument/2006/relationships/image" Target="media/acc448201c73460ffa6ddc11b6d2033b9355ea17.png"/><Relationship Id="rId40" Type="http://schemas.openxmlformats.org/officeDocument/2006/relationships/image" Target="media/41eaeb161c5205d36a53055cfaa3cdc6f3d4144a.png"/><Relationship Id="rId41" Type="http://schemas.openxmlformats.org/officeDocument/2006/relationships/image" Target="media/5e3cc5b7a6aceecfee2a0df5a07cc0253ab3fa0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2026-10-06T16:09:37.000Z</dcterms:created>
  <dcterms:modified xsi:type="dcterms:W3CDTF">2026-10-06T16:09:37.012Z</dcterms:modified>
</cp:coreProperties>
</file>

<file path=docProps/custom.xml><?xml version="1.0" encoding="utf-8"?>
<Properties xmlns="http://schemas.openxmlformats.org/officeDocument/2006/custom-properties" xmlns:vt="http://schemas.openxmlformats.org/officeDocument/2006/docPropsVTypes"/>
</file>