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44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21 entidades, 236 atributos e 44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17.18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17.19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17.20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17.21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99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335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59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cobrança não é paga a mais e senhas e palpites do código em paralelo respeitam o limite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e não como falha do servidor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21 tabelas em PostgreSQL, 99 endpoints, 335 casos de teste automatizados cobrindo as regras de negócio e 59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f25cadd2611eaa54dc3d353570c7a4e4ea85d0e9.png"/><Relationship Id="rId36" Type="http://schemas.openxmlformats.org/officeDocument/2006/relationships/image" Target="media/a5d1e9d6cb6536f7d3efe62932360bcf30914890.png"/><Relationship Id="rId37" Type="http://schemas.openxmlformats.org/officeDocument/2006/relationships/image" Target="media/cc2753e5c58532c12c463b8b2c13ee923e4fb6ac.png"/><Relationship Id="rId38" Type="http://schemas.openxmlformats.org/officeDocument/2006/relationships/image" Target="media/99faf34d59f8624d7cc32e2bb6cdf8fb387f7b1d.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2026-09-24T15:42:26.604Z</dcterms:created>
  <dcterms:modified xsi:type="dcterms:W3CDTF">2026-09-24T15:42:26.604Z</dcterms:modified>
</cp:coreProperties>
</file>

<file path=docProps/custom.xml><?xml version="1.0" encoding="utf-8"?>
<Properties xmlns="http://schemas.openxmlformats.org/officeDocument/2006/custom-properties" xmlns:vt="http://schemas.openxmlformats.org/officeDocument/2006/docPropsVTypes"/>
</file>