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categoria e o endereço do arquivo.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fica disponível na tela de documentos de quem tem direito de vê-lo.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e os documentos do cadastro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21 entidades, 234 atributos e 44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arquivo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17.18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17.19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17.20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17.21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e os documentos enviados no cadastro do morador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98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299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56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e formulário que pede um dado que nenhum código lê — dado pessoal coletado à toa. Três deles percorrem os fluxos com arquivo de ponta a ponta: a captura pela câmera, com uma câmera simulada do navegador, a foto tirada pelo porteiro chegando ao painel do morador, e os documentos escolhidos no cadastro chegando à fila de aprovação do síndico.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e recuperação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21 tabelas em PostgreSQL, 98 endpoints, 299 casos de teste automatizados cobrindo as regras de negócio e 56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f25cadd2611eaa54dc3d353570c7a4e4ea85d0e9.png"/><Relationship Id="rId36" Type="http://schemas.openxmlformats.org/officeDocument/2006/relationships/image" Target="media/ca14fed1952383e462de81d0f743ff4b2e34df1c.png"/><Relationship Id="rId37" Type="http://schemas.openxmlformats.org/officeDocument/2006/relationships/image" Target="media/7fd64bf4240ed5b2bee1801b66066a4332d9dcd4.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2026-09-24T05:43:39.345Z</dcterms:created>
  <dcterms:modified xsi:type="dcterms:W3CDTF">2026-09-24T05:43:39.349Z</dcterms:modified>
</cp:coreProperties>
</file>

<file path=docProps/custom.xml><?xml version="1.0" encoding="utf-8"?>
<Properties xmlns="http://schemas.openxmlformats.org/officeDocument/2006/custom-properties" xmlns:vt="http://schemas.openxmlformats.org/officeDocument/2006/docPropsVTypes"/>
</file>