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32E6C" w14:textId="77777777" w:rsidR="00885037" w:rsidRDefault="00885037" w:rsidP="00472D5C">
      <w:pPr>
        <w:jc w:val="center"/>
        <w:rPr>
          <w:rFonts w:cs="Times New Roman"/>
        </w:rPr>
      </w:pPr>
    </w:p>
    <w:p w14:paraId="75470D92" w14:textId="77777777" w:rsidR="00885037" w:rsidRDefault="00885037" w:rsidP="00472D5C">
      <w:pPr>
        <w:jc w:val="center"/>
        <w:rPr>
          <w:rFonts w:cs="Times New Roman"/>
        </w:rPr>
      </w:pPr>
    </w:p>
    <w:p w14:paraId="6078CF0B" w14:textId="77777777" w:rsidR="00885037" w:rsidRDefault="00885037" w:rsidP="00472D5C">
      <w:pPr>
        <w:jc w:val="center"/>
        <w:rPr>
          <w:rFonts w:cs="Times New Roman"/>
        </w:rPr>
      </w:pPr>
    </w:p>
    <w:p w14:paraId="7BA7377B" w14:textId="77777777" w:rsidR="00885037" w:rsidRDefault="00885037" w:rsidP="00472D5C">
      <w:pPr>
        <w:jc w:val="center"/>
        <w:rPr>
          <w:rFonts w:cs="Times New Roman"/>
        </w:rPr>
      </w:pPr>
    </w:p>
    <w:p w14:paraId="33EF8E7C" w14:textId="77777777" w:rsidR="00885037" w:rsidRDefault="00885037" w:rsidP="00472D5C">
      <w:pPr>
        <w:jc w:val="center"/>
        <w:rPr>
          <w:rFonts w:cs="Times New Roman"/>
        </w:rPr>
      </w:pPr>
    </w:p>
    <w:p w14:paraId="33397CE4" w14:textId="77777777" w:rsidR="00885037" w:rsidRDefault="00885037" w:rsidP="00472D5C">
      <w:pPr>
        <w:jc w:val="center"/>
        <w:rPr>
          <w:rFonts w:cs="Times New Roman"/>
        </w:rPr>
      </w:pPr>
    </w:p>
    <w:p w14:paraId="20003EA3" w14:textId="77777777" w:rsidR="00885037" w:rsidRDefault="00885037" w:rsidP="00472D5C">
      <w:pPr>
        <w:jc w:val="center"/>
        <w:rPr>
          <w:rFonts w:cs="Times New Roman"/>
        </w:rPr>
      </w:pPr>
    </w:p>
    <w:p w14:paraId="0A0749BA" w14:textId="06A5AFAE" w:rsidR="00885037" w:rsidRDefault="00885037" w:rsidP="00472D5C">
      <w:pPr>
        <w:jc w:val="center"/>
        <w:rPr>
          <w:rFonts w:cs="Times New Roman"/>
        </w:rPr>
      </w:pPr>
    </w:p>
    <w:p w14:paraId="40DBAE95" w14:textId="77777777" w:rsidR="00885037" w:rsidRDefault="00885037" w:rsidP="0028711F">
      <w:pPr>
        <w:jc w:val="center"/>
        <w:rPr>
          <w:rFonts w:cs="Times New Roman"/>
        </w:rPr>
      </w:pPr>
    </w:p>
    <w:p w14:paraId="67D7BCA6" w14:textId="3B31537F" w:rsidR="00EB1A20" w:rsidRPr="00122DB2" w:rsidRDefault="00885037" w:rsidP="00122DB2">
      <w:pPr>
        <w:pStyle w:val="Title"/>
      </w:pPr>
      <w:r w:rsidRPr="00122DB2">
        <w:t>Dillard’s</w:t>
      </w:r>
      <w:r w:rsidR="00CF5239" w:rsidRPr="00122DB2">
        <w:t xml:space="preserve"> Inc vs. Macy’s Inc: A Comparative Ratio Analysis</w:t>
      </w:r>
    </w:p>
    <w:p w14:paraId="514B7641" w14:textId="1FCD2826" w:rsidR="00CF5239" w:rsidRDefault="00CF5239" w:rsidP="00472D5C">
      <w:pPr>
        <w:jc w:val="center"/>
        <w:rPr>
          <w:rFonts w:cs="Times New Roman"/>
        </w:rPr>
      </w:pPr>
      <w:r>
        <w:rPr>
          <w:rFonts w:cs="Times New Roman"/>
        </w:rPr>
        <w:t xml:space="preserve">FINA 5311 – Summer </w:t>
      </w:r>
      <w:r w:rsidR="00472D5C">
        <w:rPr>
          <w:rFonts w:cs="Times New Roman"/>
        </w:rPr>
        <w:t>II 2022</w:t>
      </w:r>
    </w:p>
    <w:p w14:paraId="03341B28" w14:textId="62F0CAB6" w:rsidR="00885037" w:rsidRDefault="00472D5C" w:rsidP="00885037">
      <w:pPr>
        <w:jc w:val="center"/>
        <w:rPr>
          <w:rFonts w:cs="Times New Roman"/>
        </w:rPr>
      </w:pPr>
      <w:r>
        <w:rPr>
          <w:rFonts w:cs="Times New Roman"/>
        </w:rPr>
        <w:t>Julissa Limon</w:t>
      </w:r>
    </w:p>
    <w:p w14:paraId="260DAA1C" w14:textId="77777777" w:rsidR="00D31EEE" w:rsidRDefault="00885037">
      <w:pPr>
        <w:rPr>
          <w:rFonts w:cs="Times New Roman"/>
        </w:rPr>
      </w:pPr>
      <w:r>
        <w:rPr>
          <w:rFonts w:cs="Times New Roman"/>
        </w:rPr>
        <w:br w:type="page"/>
      </w:r>
    </w:p>
    <w:sdt>
      <w:sdtPr>
        <w:rPr>
          <w:rFonts w:asciiTheme="minorHAnsi" w:eastAsiaTheme="minorHAnsi" w:hAnsiTheme="minorHAnsi" w:cstheme="minorBidi"/>
          <w:bCs w:val="0"/>
          <w:color w:val="auto"/>
          <w:sz w:val="24"/>
          <w:szCs w:val="24"/>
          <w:u w:val="none"/>
        </w:rPr>
        <w:id w:val="695511163"/>
        <w:docPartObj>
          <w:docPartGallery w:val="Table of Contents"/>
          <w:docPartUnique/>
        </w:docPartObj>
      </w:sdtPr>
      <w:sdtEndPr>
        <w:rPr>
          <w:rFonts w:ascii="Times New Roman" w:hAnsi="Times New Roman" w:cs="Times New Roman"/>
          <w:b/>
          <w:noProof/>
        </w:rPr>
      </w:sdtEndPr>
      <w:sdtContent>
        <w:p w14:paraId="7543CA90" w14:textId="47DD6D65" w:rsidR="00D31EEE" w:rsidRPr="00BE6B0B" w:rsidRDefault="00D31EEE" w:rsidP="00482496">
          <w:pPr>
            <w:pStyle w:val="TOCHeading"/>
            <w:spacing w:line="240" w:lineRule="auto"/>
            <w:rPr>
              <w:b/>
              <w:bCs w:val="0"/>
            </w:rPr>
          </w:pPr>
          <w:r w:rsidRPr="00BE6B0B">
            <w:rPr>
              <w:b/>
              <w:bCs w:val="0"/>
            </w:rPr>
            <w:t>Table of Contents</w:t>
          </w:r>
        </w:p>
        <w:p w14:paraId="7EF65ED2" w14:textId="69B178D9" w:rsidR="0048724B" w:rsidRDefault="00D31EEE">
          <w:pPr>
            <w:pStyle w:val="TOC1"/>
            <w:tabs>
              <w:tab w:val="right" w:leader="dot" w:pos="9350"/>
            </w:tabs>
            <w:rPr>
              <w:rFonts w:asciiTheme="minorHAnsi" w:eastAsiaTheme="minorEastAsia" w:hAnsiTheme="minorHAnsi" w:cstheme="minorBidi"/>
              <w:b w:val="0"/>
              <w:bCs w:val="0"/>
              <w:caps w:val="0"/>
              <w:noProof/>
              <w:sz w:val="24"/>
              <w:szCs w:val="24"/>
            </w:rPr>
          </w:pPr>
          <w:r w:rsidRPr="00BE6B0B">
            <w:rPr>
              <w:rFonts w:cs="Times New Roman"/>
              <w:b w:val="0"/>
              <w:bCs w:val="0"/>
              <w:caps w:val="0"/>
              <w:sz w:val="24"/>
              <w:szCs w:val="24"/>
            </w:rPr>
            <w:fldChar w:fldCharType="begin"/>
          </w:r>
          <w:r w:rsidRPr="00BE6B0B">
            <w:rPr>
              <w:rFonts w:cs="Times New Roman"/>
              <w:caps w:val="0"/>
              <w:sz w:val="24"/>
              <w:szCs w:val="24"/>
            </w:rPr>
            <w:instrText xml:space="preserve"> TOC \o "1-3" \h \z \u </w:instrText>
          </w:r>
          <w:r w:rsidRPr="00BE6B0B">
            <w:rPr>
              <w:rFonts w:cs="Times New Roman"/>
              <w:b w:val="0"/>
              <w:bCs w:val="0"/>
              <w:caps w:val="0"/>
              <w:sz w:val="24"/>
              <w:szCs w:val="24"/>
            </w:rPr>
            <w:fldChar w:fldCharType="separate"/>
          </w:r>
          <w:hyperlink w:anchor="_Toc111229081" w:history="1">
            <w:r w:rsidR="0048724B" w:rsidRPr="006617F2">
              <w:rPr>
                <w:rStyle w:val="Hyperlink"/>
                <w:noProof/>
              </w:rPr>
              <w:t>Company History</w:t>
            </w:r>
            <w:r w:rsidR="0048724B">
              <w:rPr>
                <w:noProof/>
                <w:webHidden/>
              </w:rPr>
              <w:tab/>
            </w:r>
            <w:r w:rsidR="0048724B">
              <w:rPr>
                <w:noProof/>
                <w:webHidden/>
              </w:rPr>
              <w:fldChar w:fldCharType="begin"/>
            </w:r>
            <w:r w:rsidR="0048724B">
              <w:rPr>
                <w:noProof/>
                <w:webHidden/>
              </w:rPr>
              <w:instrText xml:space="preserve"> PAGEREF _Toc111229081 \h </w:instrText>
            </w:r>
            <w:r w:rsidR="0048724B">
              <w:rPr>
                <w:noProof/>
                <w:webHidden/>
              </w:rPr>
            </w:r>
            <w:r w:rsidR="0048724B">
              <w:rPr>
                <w:noProof/>
                <w:webHidden/>
              </w:rPr>
              <w:fldChar w:fldCharType="separate"/>
            </w:r>
            <w:r w:rsidR="0048724B">
              <w:rPr>
                <w:noProof/>
                <w:webHidden/>
              </w:rPr>
              <w:t>3</w:t>
            </w:r>
            <w:r w:rsidR="0048724B">
              <w:rPr>
                <w:noProof/>
                <w:webHidden/>
              </w:rPr>
              <w:fldChar w:fldCharType="end"/>
            </w:r>
          </w:hyperlink>
        </w:p>
        <w:p w14:paraId="4CA0A66F" w14:textId="737E6FB5" w:rsidR="0048724B" w:rsidRDefault="0048724B">
          <w:pPr>
            <w:pStyle w:val="TOC2"/>
            <w:tabs>
              <w:tab w:val="right" w:leader="dot" w:pos="9350"/>
            </w:tabs>
            <w:rPr>
              <w:rFonts w:asciiTheme="minorHAnsi" w:eastAsiaTheme="minorEastAsia" w:hAnsiTheme="minorHAnsi" w:cstheme="minorBidi"/>
              <w:smallCaps w:val="0"/>
              <w:noProof/>
              <w:sz w:val="24"/>
              <w:szCs w:val="24"/>
            </w:rPr>
          </w:pPr>
          <w:hyperlink w:anchor="_Toc111229082" w:history="1">
            <w:r w:rsidRPr="006617F2">
              <w:rPr>
                <w:rStyle w:val="Hyperlink"/>
                <w:noProof/>
              </w:rPr>
              <w:t>The History of Dillard’s Inc</w:t>
            </w:r>
            <w:r>
              <w:rPr>
                <w:noProof/>
                <w:webHidden/>
              </w:rPr>
              <w:tab/>
            </w:r>
            <w:r>
              <w:rPr>
                <w:noProof/>
                <w:webHidden/>
              </w:rPr>
              <w:fldChar w:fldCharType="begin"/>
            </w:r>
            <w:r>
              <w:rPr>
                <w:noProof/>
                <w:webHidden/>
              </w:rPr>
              <w:instrText xml:space="preserve"> PAGEREF _Toc111229082 \h </w:instrText>
            </w:r>
            <w:r>
              <w:rPr>
                <w:noProof/>
                <w:webHidden/>
              </w:rPr>
            </w:r>
            <w:r>
              <w:rPr>
                <w:noProof/>
                <w:webHidden/>
              </w:rPr>
              <w:fldChar w:fldCharType="separate"/>
            </w:r>
            <w:r>
              <w:rPr>
                <w:noProof/>
                <w:webHidden/>
              </w:rPr>
              <w:t>3</w:t>
            </w:r>
            <w:r>
              <w:rPr>
                <w:noProof/>
                <w:webHidden/>
              </w:rPr>
              <w:fldChar w:fldCharType="end"/>
            </w:r>
          </w:hyperlink>
        </w:p>
        <w:p w14:paraId="4A1DCBD0" w14:textId="3903C2F5" w:rsidR="0048724B" w:rsidRDefault="0048724B">
          <w:pPr>
            <w:pStyle w:val="TOC2"/>
            <w:tabs>
              <w:tab w:val="right" w:leader="dot" w:pos="9350"/>
            </w:tabs>
            <w:rPr>
              <w:rFonts w:asciiTheme="minorHAnsi" w:eastAsiaTheme="minorEastAsia" w:hAnsiTheme="minorHAnsi" w:cstheme="minorBidi"/>
              <w:smallCaps w:val="0"/>
              <w:noProof/>
              <w:sz w:val="24"/>
              <w:szCs w:val="24"/>
            </w:rPr>
          </w:pPr>
          <w:hyperlink w:anchor="_Toc111229083" w:history="1">
            <w:r w:rsidRPr="006617F2">
              <w:rPr>
                <w:rStyle w:val="Hyperlink"/>
                <w:noProof/>
              </w:rPr>
              <w:t>The History of Macy’s Inc</w:t>
            </w:r>
            <w:r>
              <w:rPr>
                <w:noProof/>
                <w:webHidden/>
              </w:rPr>
              <w:tab/>
            </w:r>
            <w:r>
              <w:rPr>
                <w:noProof/>
                <w:webHidden/>
              </w:rPr>
              <w:fldChar w:fldCharType="begin"/>
            </w:r>
            <w:r>
              <w:rPr>
                <w:noProof/>
                <w:webHidden/>
              </w:rPr>
              <w:instrText xml:space="preserve"> PAGEREF _Toc111229083 \h </w:instrText>
            </w:r>
            <w:r>
              <w:rPr>
                <w:noProof/>
                <w:webHidden/>
              </w:rPr>
            </w:r>
            <w:r>
              <w:rPr>
                <w:noProof/>
                <w:webHidden/>
              </w:rPr>
              <w:fldChar w:fldCharType="separate"/>
            </w:r>
            <w:r>
              <w:rPr>
                <w:noProof/>
                <w:webHidden/>
              </w:rPr>
              <w:t>5</w:t>
            </w:r>
            <w:r>
              <w:rPr>
                <w:noProof/>
                <w:webHidden/>
              </w:rPr>
              <w:fldChar w:fldCharType="end"/>
            </w:r>
          </w:hyperlink>
        </w:p>
        <w:p w14:paraId="7420BC15" w14:textId="26489E63" w:rsidR="0048724B" w:rsidRDefault="0048724B">
          <w:pPr>
            <w:pStyle w:val="TOC1"/>
            <w:tabs>
              <w:tab w:val="right" w:leader="dot" w:pos="9350"/>
            </w:tabs>
            <w:rPr>
              <w:rFonts w:asciiTheme="minorHAnsi" w:eastAsiaTheme="minorEastAsia" w:hAnsiTheme="minorHAnsi" w:cstheme="minorBidi"/>
              <w:b w:val="0"/>
              <w:bCs w:val="0"/>
              <w:caps w:val="0"/>
              <w:noProof/>
              <w:sz w:val="24"/>
              <w:szCs w:val="24"/>
            </w:rPr>
          </w:pPr>
          <w:hyperlink w:anchor="_Toc111229084" w:history="1">
            <w:r w:rsidRPr="006617F2">
              <w:rPr>
                <w:rStyle w:val="Hyperlink"/>
                <w:noProof/>
              </w:rPr>
              <w:t>Comparative Ratio Analysis</w:t>
            </w:r>
            <w:r>
              <w:rPr>
                <w:noProof/>
                <w:webHidden/>
              </w:rPr>
              <w:tab/>
            </w:r>
            <w:r>
              <w:rPr>
                <w:noProof/>
                <w:webHidden/>
              </w:rPr>
              <w:fldChar w:fldCharType="begin"/>
            </w:r>
            <w:r>
              <w:rPr>
                <w:noProof/>
                <w:webHidden/>
              </w:rPr>
              <w:instrText xml:space="preserve"> PAGEREF _Toc111229084 \h </w:instrText>
            </w:r>
            <w:r>
              <w:rPr>
                <w:noProof/>
                <w:webHidden/>
              </w:rPr>
            </w:r>
            <w:r>
              <w:rPr>
                <w:noProof/>
                <w:webHidden/>
              </w:rPr>
              <w:fldChar w:fldCharType="separate"/>
            </w:r>
            <w:r>
              <w:rPr>
                <w:noProof/>
                <w:webHidden/>
              </w:rPr>
              <w:t>8</w:t>
            </w:r>
            <w:r>
              <w:rPr>
                <w:noProof/>
                <w:webHidden/>
              </w:rPr>
              <w:fldChar w:fldCharType="end"/>
            </w:r>
          </w:hyperlink>
        </w:p>
        <w:p w14:paraId="26DC6372" w14:textId="19F7F5A8" w:rsidR="0048724B" w:rsidRDefault="0048724B">
          <w:pPr>
            <w:pStyle w:val="TOC2"/>
            <w:tabs>
              <w:tab w:val="right" w:leader="dot" w:pos="9350"/>
            </w:tabs>
            <w:rPr>
              <w:rFonts w:asciiTheme="minorHAnsi" w:eastAsiaTheme="minorEastAsia" w:hAnsiTheme="minorHAnsi" w:cstheme="minorBidi"/>
              <w:smallCaps w:val="0"/>
              <w:noProof/>
              <w:sz w:val="24"/>
              <w:szCs w:val="24"/>
            </w:rPr>
          </w:pPr>
          <w:hyperlink w:anchor="_Toc111229085" w:history="1">
            <w:r w:rsidRPr="006617F2">
              <w:rPr>
                <w:rStyle w:val="Hyperlink"/>
                <w:noProof/>
              </w:rPr>
              <w:t>Short-Term Solvency Measures</w:t>
            </w:r>
            <w:r>
              <w:rPr>
                <w:noProof/>
                <w:webHidden/>
              </w:rPr>
              <w:tab/>
            </w:r>
            <w:r>
              <w:rPr>
                <w:noProof/>
                <w:webHidden/>
              </w:rPr>
              <w:fldChar w:fldCharType="begin"/>
            </w:r>
            <w:r>
              <w:rPr>
                <w:noProof/>
                <w:webHidden/>
              </w:rPr>
              <w:instrText xml:space="preserve"> PAGEREF _Toc111229085 \h </w:instrText>
            </w:r>
            <w:r>
              <w:rPr>
                <w:noProof/>
                <w:webHidden/>
              </w:rPr>
            </w:r>
            <w:r>
              <w:rPr>
                <w:noProof/>
                <w:webHidden/>
              </w:rPr>
              <w:fldChar w:fldCharType="separate"/>
            </w:r>
            <w:r>
              <w:rPr>
                <w:noProof/>
                <w:webHidden/>
              </w:rPr>
              <w:t>9</w:t>
            </w:r>
            <w:r>
              <w:rPr>
                <w:noProof/>
                <w:webHidden/>
              </w:rPr>
              <w:fldChar w:fldCharType="end"/>
            </w:r>
          </w:hyperlink>
        </w:p>
        <w:p w14:paraId="6FDFE2F4" w14:textId="1FED011E" w:rsidR="0048724B" w:rsidRDefault="0048724B">
          <w:pPr>
            <w:pStyle w:val="TOC3"/>
            <w:tabs>
              <w:tab w:val="right" w:leader="dot" w:pos="9350"/>
            </w:tabs>
            <w:rPr>
              <w:rFonts w:asciiTheme="minorHAnsi" w:eastAsiaTheme="minorEastAsia" w:hAnsiTheme="minorHAnsi" w:cstheme="minorBidi"/>
              <w:i w:val="0"/>
              <w:iCs w:val="0"/>
              <w:noProof/>
              <w:sz w:val="24"/>
              <w:szCs w:val="24"/>
            </w:rPr>
          </w:pPr>
          <w:hyperlink w:anchor="_Toc111229086" w:history="1">
            <w:r w:rsidRPr="006617F2">
              <w:rPr>
                <w:rStyle w:val="Hyperlink"/>
                <w:noProof/>
              </w:rPr>
              <w:t>Quick Ratio</w:t>
            </w:r>
            <w:r>
              <w:rPr>
                <w:noProof/>
                <w:webHidden/>
              </w:rPr>
              <w:tab/>
            </w:r>
            <w:r>
              <w:rPr>
                <w:noProof/>
                <w:webHidden/>
              </w:rPr>
              <w:fldChar w:fldCharType="begin"/>
            </w:r>
            <w:r>
              <w:rPr>
                <w:noProof/>
                <w:webHidden/>
              </w:rPr>
              <w:instrText xml:space="preserve"> PAGEREF _Toc111229086 \h </w:instrText>
            </w:r>
            <w:r>
              <w:rPr>
                <w:noProof/>
                <w:webHidden/>
              </w:rPr>
            </w:r>
            <w:r>
              <w:rPr>
                <w:noProof/>
                <w:webHidden/>
              </w:rPr>
              <w:fldChar w:fldCharType="separate"/>
            </w:r>
            <w:r>
              <w:rPr>
                <w:noProof/>
                <w:webHidden/>
              </w:rPr>
              <w:t>9</w:t>
            </w:r>
            <w:r>
              <w:rPr>
                <w:noProof/>
                <w:webHidden/>
              </w:rPr>
              <w:fldChar w:fldCharType="end"/>
            </w:r>
          </w:hyperlink>
        </w:p>
        <w:p w14:paraId="7B12A2F9" w14:textId="6D2B6244" w:rsidR="0048724B" w:rsidRDefault="0048724B">
          <w:pPr>
            <w:pStyle w:val="TOC3"/>
            <w:tabs>
              <w:tab w:val="right" w:leader="dot" w:pos="9350"/>
            </w:tabs>
            <w:rPr>
              <w:rFonts w:asciiTheme="minorHAnsi" w:eastAsiaTheme="minorEastAsia" w:hAnsiTheme="minorHAnsi" w:cstheme="minorBidi"/>
              <w:i w:val="0"/>
              <w:iCs w:val="0"/>
              <w:noProof/>
              <w:sz w:val="24"/>
              <w:szCs w:val="24"/>
            </w:rPr>
          </w:pPr>
          <w:hyperlink w:anchor="_Toc111229087" w:history="1">
            <w:r w:rsidRPr="006617F2">
              <w:rPr>
                <w:rStyle w:val="Hyperlink"/>
                <w:noProof/>
              </w:rPr>
              <w:t>Cash Ratio</w:t>
            </w:r>
            <w:r>
              <w:rPr>
                <w:noProof/>
                <w:webHidden/>
              </w:rPr>
              <w:tab/>
            </w:r>
            <w:r>
              <w:rPr>
                <w:noProof/>
                <w:webHidden/>
              </w:rPr>
              <w:fldChar w:fldCharType="begin"/>
            </w:r>
            <w:r>
              <w:rPr>
                <w:noProof/>
                <w:webHidden/>
              </w:rPr>
              <w:instrText xml:space="preserve"> PAGEREF _Toc111229087 \h </w:instrText>
            </w:r>
            <w:r>
              <w:rPr>
                <w:noProof/>
                <w:webHidden/>
              </w:rPr>
            </w:r>
            <w:r>
              <w:rPr>
                <w:noProof/>
                <w:webHidden/>
              </w:rPr>
              <w:fldChar w:fldCharType="separate"/>
            </w:r>
            <w:r>
              <w:rPr>
                <w:noProof/>
                <w:webHidden/>
              </w:rPr>
              <w:t>10</w:t>
            </w:r>
            <w:r>
              <w:rPr>
                <w:noProof/>
                <w:webHidden/>
              </w:rPr>
              <w:fldChar w:fldCharType="end"/>
            </w:r>
          </w:hyperlink>
        </w:p>
        <w:p w14:paraId="15031FDF" w14:textId="4F167471" w:rsidR="0048724B" w:rsidRDefault="0048724B">
          <w:pPr>
            <w:pStyle w:val="TOC2"/>
            <w:tabs>
              <w:tab w:val="right" w:leader="dot" w:pos="9350"/>
            </w:tabs>
            <w:rPr>
              <w:rFonts w:asciiTheme="minorHAnsi" w:eastAsiaTheme="minorEastAsia" w:hAnsiTheme="minorHAnsi" w:cstheme="minorBidi"/>
              <w:smallCaps w:val="0"/>
              <w:noProof/>
              <w:sz w:val="24"/>
              <w:szCs w:val="24"/>
            </w:rPr>
          </w:pPr>
          <w:hyperlink w:anchor="_Toc111229088" w:history="1">
            <w:r w:rsidRPr="006617F2">
              <w:rPr>
                <w:rStyle w:val="Hyperlink"/>
                <w:noProof/>
              </w:rPr>
              <w:t>Long-Term Solvency Measures</w:t>
            </w:r>
            <w:r>
              <w:rPr>
                <w:noProof/>
                <w:webHidden/>
              </w:rPr>
              <w:tab/>
            </w:r>
            <w:r>
              <w:rPr>
                <w:noProof/>
                <w:webHidden/>
              </w:rPr>
              <w:fldChar w:fldCharType="begin"/>
            </w:r>
            <w:r>
              <w:rPr>
                <w:noProof/>
                <w:webHidden/>
              </w:rPr>
              <w:instrText xml:space="preserve"> PAGEREF _Toc111229088 \h </w:instrText>
            </w:r>
            <w:r>
              <w:rPr>
                <w:noProof/>
                <w:webHidden/>
              </w:rPr>
            </w:r>
            <w:r>
              <w:rPr>
                <w:noProof/>
                <w:webHidden/>
              </w:rPr>
              <w:fldChar w:fldCharType="separate"/>
            </w:r>
            <w:r>
              <w:rPr>
                <w:noProof/>
                <w:webHidden/>
              </w:rPr>
              <w:t>11</w:t>
            </w:r>
            <w:r>
              <w:rPr>
                <w:noProof/>
                <w:webHidden/>
              </w:rPr>
              <w:fldChar w:fldCharType="end"/>
            </w:r>
          </w:hyperlink>
        </w:p>
        <w:p w14:paraId="33EA79C4" w14:textId="5F084079" w:rsidR="0048724B" w:rsidRDefault="0048724B">
          <w:pPr>
            <w:pStyle w:val="TOC3"/>
            <w:tabs>
              <w:tab w:val="right" w:leader="dot" w:pos="9350"/>
            </w:tabs>
            <w:rPr>
              <w:rFonts w:asciiTheme="minorHAnsi" w:eastAsiaTheme="minorEastAsia" w:hAnsiTheme="minorHAnsi" w:cstheme="minorBidi"/>
              <w:i w:val="0"/>
              <w:iCs w:val="0"/>
              <w:noProof/>
              <w:sz w:val="24"/>
              <w:szCs w:val="24"/>
            </w:rPr>
          </w:pPr>
          <w:hyperlink w:anchor="_Toc111229089" w:history="1">
            <w:r w:rsidRPr="006617F2">
              <w:rPr>
                <w:rStyle w:val="Hyperlink"/>
                <w:noProof/>
              </w:rPr>
              <w:t>Debt-to-Equity Ratio</w:t>
            </w:r>
            <w:r>
              <w:rPr>
                <w:noProof/>
                <w:webHidden/>
              </w:rPr>
              <w:tab/>
            </w:r>
            <w:r>
              <w:rPr>
                <w:noProof/>
                <w:webHidden/>
              </w:rPr>
              <w:fldChar w:fldCharType="begin"/>
            </w:r>
            <w:r>
              <w:rPr>
                <w:noProof/>
                <w:webHidden/>
              </w:rPr>
              <w:instrText xml:space="preserve"> PAGEREF _Toc111229089 \h </w:instrText>
            </w:r>
            <w:r>
              <w:rPr>
                <w:noProof/>
                <w:webHidden/>
              </w:rPr>
            </w:r>
            <w:r>
              <w:rPr>
                <w:noProof/>
                <w:webHidden/>
              </w:rPr>
              <w:fldChar w:fldCharType="separate"/>
            </w:r>
            <w:r>
              <w:rPr>
                <w:noProof/>
                <w:webHidden/>
              </w:rPr>
              <w:t>11</w:t>
            </w:r>
            <w:r>
              <w:rPr>
                <w:noProof/>
                <w:webHidden/>
              </w:rPr>
              <w:fldChar w:fldCharType="end"/>
            </w:r>
          </w:hyperlink>
        </w:p>
        <w:p w14:paraId="454E202E" w14:textId="15A1D880" w:rsidR="0048724B" w:rsidRDefault="0048724B">
          <w:pPr>
            <w:pStyle w:val="TOC2"/>
            <w:tabs>
              <w:tab w:val="right" w:leader="dot" w:pos="9350"/>
            </w:tabs>
            <w:rPr>
              <w:rFonts w:asciiTheme="minorHAnsi" w:eastAsiaTheme="minorEastAsia" w:hAnsiTheme="minorHAnsi" w:cstheme="minorBidi"/>
              <w:smallCaps w:val="0"/>
              <w:noProof/>
              <w:sz w:val="24"/>
              <w:szCs w:val="24"/>
            </w:rPr>
          </w:pPr>
          <w:hyperlink w:anchor="_Toc111229090" w:history="1">
            <w:r w:rsidRPr="006617F2">
              <w:rPr>
                <w:rStyle w:val="Hyperlink"/>
                <w:noProof/>
              </w:rPr>
              <w:t>Asset Management Measures</w:t>
            </w:r>
            <w:r>
              <w:rPr>
                <w:noProof/>
                <w:webHidden/>
              </w:rPr>
              <w:tab/>
            </w:r>
            <w:r>
              <w:rPr>
                <w:noProof/>
                <w:webHidden/>
              </w:rPr>
              <w:fldChar w:fldCharType="begin"/>
            </w:r>
            <w:r>
              <w:rPr>
                <w:noProof/>
                <w:webHidden/>
              </w:rPr>
              <w:instrText xml:space="preserve"> PAGEREF _Toc111229090 \h </w:instrText>
            </w:r>
            <w:r>
              <w:rPr>
                <w:noProof/>
                <w:webHidden/>
              </w:rPr>
            </w:r>
            <w:r>
              <w:rPr>
                <w:noProof/>
                <w:webHidden/>
              </w:rPr>
              <w:fldChar w:fldCharType="separate"/>
            </w:r>
            <w:r>
              <w:rPr>
                <w:noProof/>
                <w:webHidden/>
              </w:rPr>
              <w:t>13</w:t>
            </w:r>
            <w:r>
              <w:rPr>
                <w:noProof/>
                <w:webHidden/>
              </w:rPr>
              <w:fldChar w:fldCharType="end"/>
            </w:r>
          </w:hyperlink>
        </w:p>
        <w:p w14:paraId="61356597" w14:textId="4A6786D2" w:rsidR="0048724B" w:rsidRDefault="0048724B">
          <w:pPr>
            <w:pStyle w:val="TOC3"/>
            <w:tabs>
              <w:tab w:val="right" w:leader="dot" w:pos="9350"/>
            </w:tabs>
            <w:rPr>
              <w:rFonts w:asciiTheme="minorHAnsi" w:eastAsiaTheme="minorEastAsia" w:hAnsiTheme="minorHAnsi" w:cstheme="minorBidi"/>
              <w:i w:val="0"/>
              <w:iCs w:val="0"/>
              <w:noProof/>
              <w:sz w:val="24"/>
              <w:szCs w:val="24"/>
            </w:rPr>
          </w:pPr>
          <w:hyperlink w:anchor="_Toc111229091" w:history="1">
            <w:r w:rsidRPr="006617F2">
              <w:rPr>
                <w:rStyle w:val="Hyperlink"/>
                <w:noProof/>
              </w:rPr>
              <w:t>Days in Receivables</w:t>
            </w:r>
            <w:r>
              <w:rPr>
                <w:noProof/>
                <w:webHidden/>
              </w:rPr>
              <w:tab/>
            </w:r>
            <w:r>
              <w:rPr>
                <w:noProof/>
                <w:webHidden/>
              </w:rPr>
              <w:fldChar w:fldCharType="begin"/>
            </w:r>
            <w:r>
              <w:rPr>
                <w:noProof/>
                <w:webHidden/>
              </w:rPr>
              <w:instrText xml:space="preserve"> PAGEREF _Toc111229091 \h </w:instrText>
            </w:r>
            <w:r>
              <w:rPr>
                <w:noProof/>
                <w:webHidden/>
              </w:rPr>
            </w:r>
            <w:r>
              <w:rPr>
                <w:noProof/>
                <w:webHidden/>
              </w:rPr>
              <w:fldChar w:fldCharType="separate"/>
            </w:r>
            <w:r>
              <w:rPr>
                <w:noProof/>
                <w:webHidden/>
              </w:rPr>
              <w:t>13</w:t>
            </w:r>
            <w:r>
              <w:rPr>
                <w:noProof/>
                <w:webHidden/>
              </w:rPr>
              <w:fldChar w:fldCharType="end"/>
            </w:r>
          </w:hyperlink>
        </w:p>
        <w:p w14:paraId="58874CBD" w14:textId="67871509" w:rsidR="0048724B" w:rsidRDefault="0048724B">
          <w:pPr>
            <w:pStyle w:val="TOC2"/>
            <w:tabs>
              <w:tab w:val="right" w:leader="dot" w:pos="9350"/>
            </w:tabs>
            <w:rPr>
              <w:rFonts w:asciiTheme="minorHAnsi" w:eastAsiaTheme="minorEastAsia" w:hAnsiTheme="minorHAnsi" w:cstheme="minorBidi"/>
              <w:smallCaps w:val="0"/>
              <w:noProof/>
              <w:sz w:val="24"/>
              <w:szCs w:val="24"/>
            </w:rPr>
          </w:pPr>
          <w:hyperlink w:anchor="_Toc111229092" w:history="1">
            <w:r w:rsidRPr="006617F2">
              <w:rPr>
                <w:rStyle w:val="Hyperlink"/>
                <w:noProof/>
              </w:rPr>
              <w:t>Profitability Measures</w:t>
            </w:r>
            <w:r>
              <w:rPr>
                <w:noProof/>
                <w:webHidden/>
              </w:rPr>
              <w:tab/>
            </w:r>
            <w:r>
              <w:rPr>
                <w:noProof/>
                <w:webHidden/>
              </w:rPr>
              <w:fldChar w:fldCharType="begin"/>
            </w:r>
            <w:r>
              <w:rPr>
                <w:noProof/>
                <w:webHidden/>
              </w:rPr>
              <w:instrText xml:space="preserve"> PAGEREF _Toc111229092 \h </w:instrText>
            </w:r>
            <w:r>
              <w:rPr>
                <w:noProof/>
                <w:webHidden/>
              </w:rPr>
            </w:r>
            <w:r>
              <w:rPr>
                <w:noProof/>
                <w:webHidden/>
              </w:rPr>
              <w:fldChar w:fldCharType="separate"/>
            </w:r>
            <w:r>
              <w:rPr>
                <w:noProof/>
                <w:webHidden/>
              </w:rPr>
              <w:t>15</w:t>
            </w:r>
            <w:r>
              <w:rPr>
                <w:noProof/>
                <w:webHidden/>
              </w:rPr>
              <w:fldChar w:fldCharType="end"/>
            </w:r>
          </w:hyperlink>
        </w:p>
        <w:p w14:paraId="5997C44D" w14:textId="15D4B710" w:rsidR="0048724B" w:rsidRDefault="0048724B">
          <w:pPr>
            <w:pStyle w:val="TOC3"/>
            <w:tabs>
              <w:tab w:val="right" w:leader="dot" w:pos="9350"/>
            </w:tabs>
            <w:rPr>
              <w:rFonts w:asciiTheme="minorHAnsi" w:eastAsiaTheme="minorEastAsia" w:hAnsiTheme="minorHAnsi" w:cstheme="minorBidi"/>
              <w:i w:val="0"/>
              <w:iCs w:val="0"/>
              <w:noProof/>
              <w:sz w:val="24"/>
              <w:szCs w:val="24"/>
            </w:rPr>
          </w:pPr>
          <w:hyperlink w:anchor="_Toc111229093" w:history="1">
            <w:r w:rsidRPr="006617F2">
              <w:rPr>
                <w:rStyle w:val="Hyperlink"/>
                <w:noProof/>
              </w:rPr>
              <w:t>Return on Assets</w:t>
            </w:r>
            <w:r>
              <w:rPr>
                <w:noProof/>
                <w:webHidden/>
              </w:rPr>
              <w:tab/>
            </w:r>
            <w:r>
              <w:rPr>
                <w:noProof/>
                <w:webHidden/>
              </w:rPr>
              <w:fldChar w:fldCharType="begin"/>
            </w:r>
            <w:r>
              <w:rPr>
                <w:noProof/>
                <w:webHidden/>
              </w:rPr>
              <w:instrText xml:space="preserve"> PAGEREF _Toc111229093 \h </w:instrText>
            </w:r>
            <w:r>
              <w:rPr>
                <w:noProof/>
                <w:webHidden/>
              </w:rPr>
            </w:r>
            <w:r>
              <w:rPr>
                <w:noProof/>
                <w:webHidden/>
              </w:rPr>
              <w:fldChar w:fldCharType="separate"/>
            </w:r>
            <w:r>
              <w:rPr>
                <w:noProof/>
                <w:webHidden/>
              </w:rPr>
              <w:t>15</w:t>
            </w:r>
            <w:r>
              <w:rPr>
                <w:noProof/>
                <w:webHidden/>
              </w:rPr>
              <w:fldChar w:fldCharType="end"/>
            </w:r>
          </w:hyperlink>
        </w:p>
        <w:p w14:paraId="2E52AF6A" w14:textId="021CCC1F" w:rsidR="0048724B" w:rsidRDefault="0048724B">
          <w:pPr>
            <w:pStyle w:val="TOC3"/>
            <w:tabs>
              <w:tab w:val="right" w:leader="dot" w:pos="9350"/>
            </w:tabs>
            <w:rPr>
              <w:rFonts w:asciiTheme="minorHAnsi" w:eastAsiaTheme="minorEastAsia" w:hAnsiTheme="minorHAnsi" w:cstheme="minorBidi"/>
              <w:i w:val="0"/>
              <w:iCs w:val="0"/>
              <w:noProof/>
              <w:sz w:val="24"/>
              <w:szCs w:val="24"/>
            </w:rPr>
          </w:pPr>
          <w:hyperlink w:anchor="_Toc111229094" w:history="1">
            <w:r w:rsidRPr="006617F2">
              <w:rPr>
                <w:rStyle w:val="Hyperlink"/>
                <w:noProof/>
              </w:rPr>
              <w:t>Profit Margin Ratio</w:t>
            </w:r>
            <w:r>
              <w:rPr>
                <w:noProof/>
                <w:webHidden/>
              </w:rPr>
              <w:tab/>
            </w:r>
            <w:r>
              <w:rPr>
                <w:noProof/>
                <w:webHidden/>
              </w:rPr>
              <w:fldChar w:fldCharType="begin"/>
            </w:r>
            <w:r>
              <w:rPr>
                <w:noProof/>
                <w:webHidden/>
              </w:rPr>
              <w:instrText xml:space="preserve"> PAGEREF _Toc111229094 \h </w:instrText>
            </w:r>
            <w:r>
              <w:rPr>
                <w:noProof/>
                <w:webHidden/>
              </w:rPr>
            </w:r>
            <w:r>
              <w:rPr>
                <w:noProof/>
                <w:webHidden/>
              </w:rPr>
              <w:fldChar w:fldCharType="separate"/>
            </w:r>
            <w:r>
              <w:rPr>
                <w:noProof/>
                <w:webHidden/>
              </w:rPr>
              <w:t>16</w:t>
            </w:r>
            <w:r>
              <w:rPr>
                <w:noProof/>
                <w:webHidden/>
              </w:rPr>
              <w:fldChar w:fldCharType="end"/>
            </w:r>
          </w:hyperlink>
        </w:p>
        <w:p w14:paraId="35204F7F" w14:textId="1503EE36" w:rsidR="0048724B" w:rsidRDefault="0048724B">
          <w:pPr>
            <w:pStyle w:val="TOC3"/>
            <w:tabs>
              <w:tab w:val="right" w:leader="dot" w:pos="9350"/>
            </w:tabs>
            <w:rPr>
              <w:rFonts w:asciiTheme="minorHAnsi" w:eastAsiaTheme="minorEastAsia" w:hAnsiTheme="minorHAnsi" w:cstheme="minorBidi"/>
              <w:i w:val="0"/>
              <w:iCs w:val="0"/>
              <w:noProof/>
              <w:sz w:val="24"/>
              <w:szCs w:val="24"/>
            </w:rPr>
          </w:pPr>
          <w:hyperlink w:anchor="_Toc111229095" w:history="1">
            <w:r w:rsidRPr="006617F2">
              <w:rPr>
                <w:rStyle w:val="Hyperlink"/>
                <w:noProof/>
              </w:rPr>
              <w:t>Return on Equity</w:t>
            </w:r>
            <w:r>
              <w:rPr>
                <w:noProof/>
                <w:webHidden/>
              </w:rPr>
              <w:tab/>
            </w:r>
            <w:r>
              <w:rPr>
                <w:noProof/>
                <w:webHidden/>
              </w:rPr>
              <w:fldChar w:fldCharType="begin"/>
            </w:r>
            <w:r>
              <w:rPr>
                <w:noProof/>
                <w:webHidden/>
              </w:rPr>
              <w:instrText xml:space="preserve"> PAGEREF _Toc111229095 \h </w:instrText>
            </w:r>
            <w:r>
              <w:rPr>
                <w:noProof/>
                <w:webHidden/>
              </w:rPr>
            </w:r>
            <w:r>
              <w:rPr>
                <w:noProof/>
                <w:webHidden/>
              </w:rPr>
              <w:fldChar w:fldCharType="separate"/>
            </w:r>
            <w:r>
              <w:rPr>
                <w:noProof/>
                <w:webHidden/>
              </w:rPr>
              <w:t>18</w:t>
            </w:r>
            <w:r>
              <w:rPr>
                <w:noProof/>
                <w:webHidden/>
              </w:rPr>
              <w:fldChar w:fldCharType="end"/>
            </w:r>
          </w:hyperlink>
        </w:p>
        <w:p w14:paraId="33969ABF" w14:textId="2D7D515F" w:rsidR="0048724B" w:rsidRDefault="0048724B">
          <w:pPr>
            <w:pStyle w:val="TOC2"/>
            <w:tabs>
              <w:tab w:val="right" w:leader="dot" w:pos="9350"/>
            </w:tabs>
            <w:rPr>
              <w:rFonts w:asciiTheme="minorHAnsi" w:eastAsiaTheme="minorEastAsia" w:hAnsiTheme="minorHAnsi" w:cstheme="minorBidi"/>
              <w:smallCaps w:val="0"/>
              <w:noProof/>
              <w:sz w:val="24"/>
              <w:szCs w:val="24"/>
            </w:rPr>
          </w:pPr>
          <w:hyperlink w:anchor="_Toc111229096" w:history="1">
            <w:r w:rsidRPr="006617F2">
              <w:rPr>
                <w:rStyle w:val="Hyperlink"/>
                <w:noProof/>
              </w:rPr>
              <w:t>Market Value Measures</w:t>
            </w:r>
            <w:r>
              <w:rPr>
                <w:noProof/>
                <w:webHidden/>
              </w:rPr>
              <w:tab/>
            </w:r>
            <w:r>
              <w:rPr>
                <w:noProof/>
                <w:webHidden/>
              </w:rPr>
              <w:fldChar w:fldCharType="begin"/>
            </w:r>
            <w:r>
              <w:rPr>
                <w:noProof/>
                <w:webHidden/>
              </w:rPr>
              <w:instrText xml:space="preserve"> PAGEREF _Toc111229096 \h </w:instrText>
            </w:r>
            <w:r>
              <w:rPr>
                <w:noProof/>
                <w:webHidden/>
              </w:rPr>
            </w:r>
            <w:r>
              <w:rPr>
                <w:noProof/>
                <w:webHidden/>
              </w:rPr>
              <w:fldChar w:fldCharType="separate"/>
            </w:r>
            <w:r>
              <w:rPr>
                <w:noProof/>
                <w:webHidden/>
              </w:rPr>
              <w:t>20</w:t>
            </w:r>
            <w:r>
              <w:rPr>
                <w:noProof/>
                <w:webHidden/>
              </w:rPr>
              <w:fldChar w:fldCharType="end"/>
            </w:r>
          </w:hyperlink>
        </w:p>
        <w:p w14:paraId="33BB6289" w14:textId="2029F59A" w:rsidR="0048724B" w:rsidRDefault="0048724B">
          <w:pPr>
            <w:pStyle w:val="TOC3"/>
            <w:tabs>
              <w:tab w:val="right" w:leader="dot" w:pos="9350"/>
            </w:tabs>
            <w:rPr>
              <w:rFonts w:asciiTheme="minorHAnsi" w:eastAsiaTheme="minorEastAsia" w:hAnsiTheme="minorHAnsi" w:cstheme="minorBidi"/>
              <w:i w:val="0"/>
              <w:iCs w:val="0"/>
              <w:noProof/>
              <w:sz w:val="24"/>
              <w:szCs w:val="24"/>
            </w:rPr>
          </w:pPr>
          <w:hyperlink w:anchor="_Toc111229097" w:history="1">
            <w:r w:rsidRPr="006617F2">
              <w:rPr>
                <w:rStyle w:val="Hyperlink"/>
                <w:noProof/>
              </w:rPr>
              <w:t>Price-Earnings Ratio</w:t>
            </w:r>
            <w:r>
              <w:rPr>
                <w:noProof/>
                <w:webHidden/>
              </w:rPr>
              <w:tab/>
            </w:r>
            <w:r>
              <w:rPr>
                <w:noProof/>
                <w:webHidden/>
              </w:rPr>
              <w:fldChar w:fldCharType="begin"/>
            </w:r>
            <w:r>
              <w:rPr>
                <w:noProof/>
                <w:webHidden/>
              </w:rPr>
              <w:instrText xml:space="preserve"> PAGEREF _Toc111229097 \h </w:instrText>
            </w:r>
            <w:r>
              <w:rPr>
                <w:noProof/>
                <w:webHidden/>
              </w:rPr>
            </w:r>
            <w:r>
              <w:rPr>
                <w:noProof/>
                <w:webHidden/>
              </w:rPr>
              <w:fldChar w:fldCharType="separate"/>
            </w:r>
            <w:r>
              <w:rPr>
                <w:noProof/>
                <w:webHidden/>
              </w:rPr>
              <w:t>20</w:t>
            </w:r>
            <w:r>
              <w:rPr>
                <w:noProof/>
                <w:webHidden/>
              </w:rPr>
              <w:fldChar w:fldCharType="end"/>
            </w:r>
          </w:hyperlink>
        </w:p>
        <w:p w14:paraId="36BFF0BF" w14:textId="4CC78501" w:rsidR="0048724B" w:rsidRDefault="0048724B">
          <w:pPr>
            <w:pStyle w:val="TOC3"/>
            <w:tabs>
              <w:tab w:val="right" w:leader="dot" w:pos="9350"/>
            </w:tabs>
            <w:rPr>
              <w:rFonts w:asciiTheme="minorHAnsi" w:eastAsiaTheme="minorEastAsia" w:hAnsiTheme="minorHAnsi" w:cstheme="minorBidi"/>
              <w:i w:val="0"/>
              <w:iCs w:val="0"/>
              <w:noProof/>
              <w:sz w:val="24"/>
              <w:szCs w:val="24"/>
            </w:rPr>
          </w:pPr>
          <w:hyperlink w:anchor="_Toc111229098" w:history="1">
            <w:r w:rsidRPr="006617F2">
              <w:rPr>
                <w:rStyle w:val="Hyperlink"/>
                <w:noProof/>
              </w:rPr>
              <w:t>Price-to-Sales Ratio</w:t>
            </w:r>
            <w:r>
              <w:rPr>
                <w:noProof/>
                <w:webHidden/>
              </w:rPr>
              <w:tab/>
            </w:r>
            <w:r>
              <w:rPr>
                <w:noProof/>
                <w:webHidden/>
              </w:rPr>
              <w:fldChar w:fldCharType="begin"/>
            </w:r>
            <w:r>
              <w:rPr>
                <w:noProof/>
                <w:webHidden/>
              </w:rPr>
              <w:instrText xml:space="preserve"> PAGEREF _Toc111229098 \h </w:instrText>
            </w:r>
            <w:r>
              <w:rPr>
                <w:noProof/>
                <w:webHidden/>
              </w:rPr>
            </w:r>
            <w:r>
              <w:rPr>
                <w:noProof/>
                <w:webHidden/>
              </w:rPr>
              <w:fldChar w:fldCharType="separate"/>
            </w:r>
            <w:r>
              <w:rPr>
                <w:noProof/>
                <w:webHidden/>
              </w:rPr>
              <w:t>21</w:t>
            </w:r>
            <w:r>
              <w:rPr>
                <w:noProof/>
                <w:webHidden/>
              </w:rPr>
              <w:fldChar w:fldCharType="end"/>
            </w:r>
          </w:hyperlink>
        </w:p>
        <w:p w14:paraId="7C839418" w14:textId="79B7CAB4" w:rsidR="0048724B" w:rsidRDefault="0048724B">
          <w:pPr>
            <w:pStyle w:val="TOC1"/>
            <w:tabs>
              <w:tab w:val="right" w:leader="dot" w:pos="9350"/>
            </w:tabs>
            <w:rPr>
              <w:rFonts w:asciiTheme="minorHAnsi" w:eastAsiaTheme="minorEastAsia" w:hAnsiTheme="minorHAnsi" w:cstheme="minorBidi"/>
              <w:b w:val="0"/>
              <w:bCs w:val="0"/>
              <w:caps w:val="0"/>
              <w:noProof/>
              <w:sz w:val="24"/>
              <w:szCs w:val="24"/>
            </w:rPr>
          </w:pPr>
          <w:hyperlink w:anchor="_Toc111229099" w:history="1">
            <w:r w:rsidRPr="006617F2">
              <w:rPr>
                <w:rStyle w:val="Hyperlink"/>
                <w:noProof/>
              </w:rPr>
              <w:t>Dilla</w:t>
            </w:r>
            <w:r w:rsidRPr="006617F2">
              <w:rPr>
                <w:rStyle w:val="Hyperlink"/>
                <w:noProof/>
              </w:rPr>
              <w:t>r</w:t>
            </w:r>
            <w:r w:rsidRPr="006617F2">
              <w:rPr>
                <w:rStyle w:val="Hyperlink"/>
                <w:noProof/>
              </w:rPr>
              <w:t>d’s and Macy’s Inc Performance Summary</w:t>
            </w:r>
            <w:r>
              <w:rPr>
                <w:noProof/>
                <w:webHidden/>
              </w:rPr>
              <w:tab/>
            </w:r>
            <w:r>
              <w:rPr>
                <w:noProof/>
                <w:webHidden/>
              </w:rPr>
              <w:fldChar w:fldCharType="begin"/>
            </w:r>
            <w:r>
              <w:rPr>
                <w:noProof/>
                <w:webHidden/>
              </w:rPr>
              <w:instrText xml:space="preserve"> PAGEREF _Toc111229099 \h </w:instrText>
            </w:r>
            <w:r>
              <w:rPr>
                <w:noProof/>
                <w:webHidden/>
              </w:rPr>
            </w:r>
            <w:r>
              <w:rPr>
                <w:noProof/>
                <w:webHidden/>
              </w:rPr>
              <w:fldChar w:fldCharType="separate"/>
            </w:r>
            <w:r>
              <w:rPr>
                <w:noProof/>
                <w:webHidden/>
              </w:rPr>
              <w:t>23</w:t>
            </w:r>
            <w:r>
              <w:rPr>
                <w:noProof/>
                <w:webHidden/>
              </w:rPr>
              <w:fldChar w:fldCharType="end"/>
            </w:r>
          </w:hyperlink>
        </w:p>
        <w:p w14:paraId="5ED54C36" w14:textId="76C6FAEE" w:rsidR="0048724B" w:rsidRDefault="0048724B">
          <w:pPr>
            <w:pStyle w:val="TOC1"/>
            <w:tabs>
              <w:tab w:val="right" w:leader="dot" w:pos="9350"/>
            </w:tabs>
            <w:rPr>
              <w:rFonts w:asciiTheme="minorHAnsi" w:eastAsiaTheme="minorEastAsia" w:hAnsiTheme="minorHAnsi" w:cstheme="minorBidi"/>
              <w:b w:val="0"/>
              <w:bCs w:val="0"/>
              <w:caps w:val="0"/>
              <w:noProof/>
              <w:sz w:val="24"/>
              <w:szCs w:val="24"/>
            </w:rPr>
          </w:pPr>
          <w:hyperlink w:anchor="_Toc111229100" w:history="1">
            <w:r w:rsidRPr="006617F2">
              <w:rPr>
                <w:rStyle w:val="Hyperlink"/>
                <w:noProof/>
              </w:rPr>
              <w:t>References</w:t>
            </w:r>
            <w:r>
              <w:rPr>
                <w:noProof/>
                <w:webHidden/>
              </w:rPr>
              <w:tab/>
            </w:r>
            <w:r>
              <w:rPr>
                <w:noProof/>
                <w:webHidden/>
              </w:rPr>
              <w:fldChar w:fldCharType="begin"/>
            </w:r>
            <w:r>
              <w:rPr>
                <w:noProof/>
                <w:webHidden/>
              </w:rPr>
              <w:instrText xml:space="preserve"> PAGEREF _Toc111229100 \h </w:instrText>
            </w:r>
            <w:r>
              <w:rPr>
                <w:noProof/>
                <w:webHidden/>
              </w:rPr>
            </w:r>
            <w:r>
              <w:rPr>
                <w:noProof/>
                <w:webHidden/>
              </w:rPr>
              <w:fldChar w:fldCharType="separate"/>
            </w:r>
            <w:r>
              <w:rPr>
                <w:noProof/>
                <w:webHidden/>
              </w:rPr>
              <w:t>24</w:t>
            </w:r>
            <w:r>
              <w:rPr>
                <w:noProof/>
                <w:webHidden/>
              </w:rPr>
              <w:fldChar w:fldCharType="end"/>
            </w:r>
          </w:hyperlink>
        </w:p>
        <w:p w14:paraId="780E0F69" w14:textId="77777777" w:rsidR="0048724B" w:rsidRDefault="00D31EEE" w:rsidP="0048724B">
          <w:pPr>
            <w:spacing w:line="240" w:lineRule="auto"/>
            <w:rPr>
              <w:rFonts w:cs="Times New Roman"/>
              <w:b/>
              <w:noProof/>
            </w:rPr>
          </w:pPr>
          <w:r w:rsidRPr="00BE6B0B">
            <w:rPr>
              <w:rFonts w:cs="Times New Roman"/>
              <w:b/>
              <w:bCs/>
              <w:noProof/>
            </w:rPr>
            <w:fldChar w:fldCharType="end"/>
          </w:r>
        </w:p>
      </w:sdtContent>
    </w:sdt>
    <w:p w14:paraId="6C6C43AE" w14:textId="57E7F0CF" w:rsidR="00885037" w:rsidRDefault="00D31EEE" w:rsidP="0048724B">
      <w:pPr>
        <w:spacing w:line="240" w:lineRule="auto"/>
        <w:rPr>
          <w:rFonts w:cs="Times New Roman"/>
        </w:rPr>
      </w:pPr>
      <w:r>
        <w:rPr>
          <w:rFonts w:cs="Times New Roman"/>
        </w:rPr>
        <w:br w:type="page"/>
      </w:r>
    </w:p>
    <w:p w14:paraId="2DCB6256" w14:textId="415CA5FE" w:rsidR="00BC15B1" w:rsidRDefault="00BC15B1" w:rsidP="00122DB2">
      <w:pPr>
        <w:pStyle w:val="Heading1"/>
      </w:pPr>
      <w:bookmarkStart w:id="0" w:name="_Toc111229081"/>
      <w:r>
        <w:lastRenderedPageBreak/>
        <w:t>Company History</w:t>
      </w:r>
      <w:bookmarkEnd w:id="0"/>
    </w:p>
    <w:p w14:paraId="7F906E9F" w14:textId="49712D63" w:rsidR="00F04332" w:rsidRDefault="00885037" w:rsidP="00B92531">
      <w:pPr>
        <w:pStyle w:val="Heading2"/>
      </w:pPr>
      <w:bookmarkStart w:id="1" w:name="_Toc111229082"/>
      <w:r>
        <w:t>The History of Dillard</w:t>
      </w:r>
      <w:r w:rsidR="00F04332">
        <w:t>’</w:t>
      </w:r>
      <w:r>
        <w:t>s</w:t>
      </w:r>
      <w:r w:rsidR="00F04332">
        <w:t xml:space="preserve"> Inc</w:t>
      </w:r>
      <w:bookmarkEnd w:id="1"/>
    </w:p>
    <w:p w14:paraId="1707BD0D" w14:textId="6D01F8A4" w:rsidR="003910F4" w:rsidRDefault="00A37CDE" w:rsidP="003910F4">
      <w:pPr>
        <w:ind w:firstLine="720"/>
        <w:rPr>
          <w:rFonts w:cs="Times New Roman"/>
        </w:rPr>
      </w:pPr>
      <w:r>
        <w:rPr>
          <w:rFonts w:cs="Times New Roman"/>
        </w:rPr>
        <w:t>Dillard’s Inc</w:t>
      </w:r>
      <w:r w:rsidR="00260789">
        <w:rPr>
          <w:rFonts w:cs="Times New Roman"/>
        </w:rPr>
        <w:t>.</w:t>
      </w:r>
      <w:r>
        <w:rPr>
          <w:rFonts w:cs="Times New Roman"/>
        </w:rPr>
        <w:t xml:space="preserve"> is part</w:t>
      </w:r>
      <w:r w:rsidR="00C719D8">
        <w:rPr>
          <w:rFonts w:cs="Times New Roman"/>
        </w:rPr>
        <w:t xml:space="preserve"> of</w:t>
      </w:r>
      <w:r>
        <w:rPr>
          <w:rFonts w:cs="Times New Roman"/>
        </w:rPr>
        <w:t xml:space="preserve"> the department store</w:t>
      </w:r>
      <w:r w:rsidR="00AE6F41">
        <w:rPr>
          <w:rFonts w:cs="Times New Roman"/>
        </w:rPr>
        <w:t xml:space="preserve">, or retail, </w:t>
      </w:r>
      <w:r>
        <w:rPr>
          <w:rFonts w:cs="Times New Roman"/>
        </w:rPr>
        <w:t>industry. According to their official company website, “</w:t>
      </w:r>
      <w:r w:rsidRPr="00A37CDE">
        <w:rPr>
          <w:rFonts w:cs="Times New Roman"/>
        </w:rPr>
        <w:t>Dillard's, Inc. ranks among the nation's largest fashion retailers. The Company focuses on delivering style, service</w:t>
      </w:r>
      <w:r w:rsidR="006177F6">
        <w:rPr>
          <w:rFonts w:cs="Times New Roman"/>
        </w:rPr>
        <w:t>,</w:t>
      </w:r>
      <w:r w:rsidRPr="00A37CDE">
        <w:rPr>
          <w:rFonts w:cs="Times New Roman"/>
        </w:rPr>
        <w:t xml:space="preserve"> and value to its shoppers by offering compelling apparel, cosmetics and home selections complemented by exceptional customer care</w:t>
      </w:r>
      <w:r>
        <w:rPr>
          <w:rFonts w:cs="Times New Roman"/>
        </w:rPr>
        <w:t>”</w:t>
      </w:r>
      <w:r w:rsidR="003231B0">
        <w:rPr>
          <w:rFonts w:cs="Times New Roman"/>
        </w:rPr>
        <w:t xml:space="preserve"> (Dillard’s Inc., 2022).</w:t>
      </w:r>
      <w:r>
        <w:rPr>
          <w:rFonts w:cs="Times New Roman"/>
        </w:rPr>
        <w:t xml:space="preserve"> The company was founded in 1938</w:t>
      </w:r>
      <w:r w:rsidR="00A70938">
        <w:rPr>
          <w:rFonts w:cs="Times New Roman"/>
        </w:rPr>
        <w:t xml:space="preserve"> by William T. Dillard with an $8,000 loan in Nashville, Arkansas. Shortly after, Dillard volunteered for service in the Navy due to World War II</w:t>
      </w:r>
      <w:r w:rsidR="00D250B1">
        <w:rPr>
          <w:rFonts w:cs="Times New Roman"/>
        </w:rPr>
        <w:t>. H</w:t>
      </w:r>
      <w:r w:rsidR="00A70938">
        <w:rPr>
          <w:rFonts w:cs="Times New Roman"/>
        </w:rPr>
        <w:t>e sold his store merchandise to another store</w:t>
      </w:r>
      <w:r w:rsidR="003910F4">
        <w:rPr>
          <w:rFonts w:cs="Times New Roman"/>
        </w:rPr>
        <w:t>,</w:t>
      </w:r>
      <w:r w:rsidR="00D250B1">
        <w:rPr>
          <w:rFonts w:cs="Times New Roman"/>
        </w:rPr>
        <w:t xml:space="preserve"> but kept his company open in order to collect his sales in account</w:t>
      </w:r>
      <w:r w:rsidR="00DD4B2E">
        <w:rPr>
          <w:rFonts w:cs="Times New Roman"/>
        </w:rPr>
        <w:t>s</w:t>
      </w:r>
      <w:r w:rsidR="00D250B1">
        <w:rPr>
          <w:rFonts w:cs="Times New Roman"/>
        </w:rPr>
        <w:t xml:space="preserve"> receivable</w:t>
      </w:r>
      <w:r w:rsidR="003231B0">
        <w:rPr>
          <w:rFonts w:cs="Times New Roman"/>
        </w:rPr>
        <w:t xml:space="preserve"> (Reference for Business, 2022)</w:t>
      </w:r>
      <w:r w:rsidR="00D250B1">
        <w:rPr>
          <w:rFonts w:cs="Times New Roman"/>
        </w:rPr>
        <w:t>.</w:t>
      </w:r>
    </w:p>
    <w:p w14:paraId="1AB735CB" w14:textId="5EF23C89" w:rsidR="00B40F31" w:rsidRDefault="00D250B1" w:rsidP="00AE6F41">
      <w:pPr>
        <w:ind w:firstLine="720"/>
        <w:rPr>
          <w:rFonts w:cs="Times New Roman"/>
        </w:rPr>
      </w:pPr>
      <w:r>
        <w:rPr>
          <w:rFonts w:cs="Times New Roman"/>
        </w:rPr>
        <w:t>In 1944, Dillard and his wife reopened the store</w:t>
      </w:r>
      <w:r w:rsidR="00F036F5">
        <w:rPr>
          <w:rFonts w:cs="Times New Roman"/>
        </w:rPr>
        <w:t xml:space="preserve"> </w:t>
      </w:r>
      <w:r w:rsidR="00BE51BE">
        <w:rPr>
          <w:rFonts w:cs="Times New Roman"/>
        </w:rPr>
        <w:t>and</w:t>
      </w:r>
      <w:r w:rsidR="00F036F5">
        <w:rPr>
          <w:rFonts w:cs="Times New Roman"/>
        </w:rPr>
        <w:t xml:space="preserve">, </w:t>
      </w:r>
      <w:r w:rsidR="006177F6">
        <w:rPr>
          <w:rFonts w:cs="Times New Roman"/>
        </w:rPr>
        <w:t xml:space="preserve">within a year, </w:t>
      </w:r>
      <w:r w:rsidR="005167CC">
        <w:rPr>
          <w:rFonts w:cs="Times New Roman"/>
        </w:rPr>
        <w:t xml:space="preserve">it </w:t>
      </w:r>
      <w:r w:rsidR="00BE51BE">
        <w:rPr>
          <w:rFonts w:cs="Times New Roman"/>
        </w:rPr>
        <w:t>made record sales</w:t>
      </w:r>
      <w:r>
        <w:rPr>
          <w:rFonts w:cs="Times New Roman"/>
        </w:rPr>
        <w:t>.</w:t>
      </w:r>
      <w:r w:rsidR="00BE51BE">
        <w:rPr>
          <w:rFonts w:cs="Times New Roman"/>
        </w:rPr>
        <w:t xml:space="preserve"> </w:t>
      </w:r>
      <w:r w:rsidR="006177F6">
        <w:rPr>
          <w:rFonts w:cs="Times New Roman"/>
        </w:rPr>
        <w:t>Two years from the reopening</w:t>
      </w:r>
      <w:r w:rsidR="00BE51BE">
        <w:rPr>
          <w:rFonts w:cs="Times New Roman"/>
        </w:rPr>
        <w:t xml:space="preserve">, Dillard invested in Wooten’s Department Store in Texarkana. </w:t>
      </w:r>
      <w:r w:rsidR="006177F6">
        <w:rPr>
          <w:rFonts w:cs="Times New Roman"/>
        </w:rPr>
        <w:t>Consequently, i</w:t>
      </w:r>
      <w:r w:rsidR="00BE51BE">
        <w:rPr>
          <w:rFonts w:cs="Times New Roman"/>
        </w:rPr>
        <w:t xml:space="preserve">n </w:t>
      </w:r>
      <w:r w:rsidR="00502684">
        <w:rPr>
          <w:rFonts w:cs="Times New Roman"/>
        </w:rPr>
        <w:t>1948</w:t>
      </w:r>
      <w:r w:rsidR="00BE51BE">
        <w:rPr>
          <w:rFonts w:cs="Times New Roman"/>
        </w:rPr>
        <w:t xml:space="preserve">, Wooten asked </w:t>
      </w:r>
      <w:r w:rsidR="00C27D4A">
        <w:rPr>
          <w:rFonts w:cs="Times New Roman"/>
        </w:rPr>
        <w:t xml:space="preserve">Dillard </w:t>
      </w:r>
      <w:r w:rsidR="00BE51BE">
        <w:rPr>
          <w:rFonts w:cs="Times New Roman"/>
        </w:rPr>
        <w:t>to buy him out of his portion of their stores</w:t>
      </w:r>
      <w:r w:rsidR="005167CC">
        <w:rPr>
          <w:rFonts w:cs="Times New Roman"/>
        </w:rPr>
        <w:t>,</w:t>
      </w:r>
      <w:r w:rsidR="00BE51BE">
        <w:rPr>
          <w:rFonts w:cs="Times New Roman"/>
        </w:rPr>
        <w:t xml:space="preserve"> because they had lost money during the</w:t>
      </w:r>
      <w:r w:rsidR="003910F4">
        <w:rPr>
          <w:rFonts w:cs="Times New Roman"/>
        </w:rPr>
        <w:t xml:space="preserve"> first 6 months of business</w:t>
      </w:r>
      <w:r w:rsidR="003231B0">
        <w:rPr>
          <w:rFonts w:cs="Times New Roman"/>
        </w:rPr>
        <w:t xml:space="preserve"> </w:t>
      </w:r>
      <w:r w:rsidR="003231B0">
        <w:rPr>
          <w:rFonts w:cs="Times New Roman"/>
        </w:rPr>
        <w:t>(Reference for Business, 2022).</w:t>
      </w:r>
      <w:r w:rsidR="003231B0">
        <w:rPr>
          <w:rFonts w:cs="Times New Roman"/>
        </w:rPr>
        <w:t xml:space="preserve"> </w:t>
      </w:r>
      <w:r w:rsidR="003910F4">
        <w:rPr>
          <w:rFonts w:cs="Times New Roman"/>
        </w:rPr>
        <w:t xml:space="preserve">In an effort to expand his retail stores, Dillard acquired multiple stores and companies from the 1950s to the early 2000s. </w:t>
      </w:r>
      <w:r w:rsidR="006177F6">
        <w:rPr>
          <w:rFonts w:cs="Times New Roman"/>
        </w:rPr>
        <w:t>Subsequently, 1956 was the year that</w:t>
      </w:r>
      <w:r w:rsidR="003910F4">
        <w:rPr>
          <w:rFonts w:cs="Times New Roman"/>
        </w:rPr>
        <w:t xml:space="preserve"> Dillard acquired the </w:t>
      </w:r>
      <w:r w:rsidR="00C27D4A">
        <w:rPr>
          <w:rFonts w:cs="Times New Roman"/>
        </w:rPr>
        <w:t>Mayer and Schmidt Store in Tyler, Texas</w:t>
      </w:r>
      <w:r w:rsidR="003910F4">
        <w:rPr>
          <w:rFonts w:cs="Times New Roman"/>
        </w:rPr>
        <w:t>. By 1964, Dillard</w:t>
      </w:r>
      <w:r w:rsidR="00B40F31">
        <w:rPr>
          <w:rFonts w:cs="Times New Roman"/>
        </w:rPr>
        <w:t xml:space="preserve"> Department Stores Inc. Headquarters</w:t>
      </w:r>
      <w:r w:rsidR="003910F4">
        <w:rPr>
          <w:rFonts w:cs="Times New Roman"/>
        </w:rPr>
        <w:t xml:space="preserve"> was established in </w:t>
      </w:r>
      <w:r w:rsidR="00C27D4A">
        <w:rPr>
          <w:rFonts w:cs="Times New Roman"/>
        </w:rPr>
        <w:t>Little Rock, Arkansas</w:t>
      </w:r>
      <w:r w:rsidR="003910F4">
        <w:rPr>
          <w:rFonts w:cs="Times New Roman"/>
        </w:rPr>
        <w:t xml:space="preserve">. </w:t>
      </w:r>
      <w:r w:rsidR="00B40F31">
        <w:rPr>
          <w:rFonts w:cs="Times New Roman"/>
        </w:rPr>
        <w:t>In this year, the company also installed its first computer system</w:t>
      </w:r>
      <w:r w:rsidR="005167CC">
        <w:rPr>
          <w:rFonts w:cs="Times New Roman"/>
        </w:rPr>
        <w:t>,</w:t>
      </w:r>
      <w:r w:rsidR="00B40F31">
        <w:rPr>
          <w:rFonts w:cs="Times New Roman"/>
        </w:rPr>
        <w:t xml:space="preserve"> which marked the start of the </w:t>
      </w:r>
      <w:r w:rsidR="00AE6F41">
        <w:rPr>
          <w:rFonts w:cs="Times New Roman"/>
        </w:rPr>
        <w:t xml:space="preserve">retail industry’s most advanced tracking systems. Additionally, the company also </w:t>
      </w:r>
      <w:r w:rsidR="00B40F31">
        <w:rPr>
          <w:rFonts w:cs="Times New Roman"/>
        </w:rPr>
        <w:t>opened its first mall store</w:t>
      </w:r>
      <w:r w:rsidR="00721577">
        <w:rPr>
          <w:rFonts w:cs="Times New Roman"/>
        </w:rPr>
        <w:t>,</w:t>
      </w:r>
      <w:r w:rsidR="00AE6F41">
        <w:rPr>
          <w:rFonts w:cs="Times New Roman"/>
        </w:rPr>
        <w:t xml:space="preserve"> which marked the beginning of </w:t>
      </w:r>
      <w:r w:rsidR="00721577">
        <w:rPr>
          <w:rFonts w:cs="Times New Roman"/>
        </w:rPr>
        <w:t xml:space="preserve">the company’s </w:t>
      </w:r>
      <w:r w:rsidR="00AE6F41">
        <w:rPr>
          <w:rFonts w:cs="Times New Roman"/>
        </w:rPr>
        <w:t>move to the suburbs</w:t>
      </w:r>
      <w:r w:rsidR="003231B0">
        <w:rPr>
          <w:rFonts w:cs="Times New Roman"/>
        </w:rPr>
        <w:t xml:space="preserve"> </w:t>
      </w:r>
      <w:r w:rsidR="003231B0">
        <w:rPr>
          <w:rFonts w:cs="Times New Roman"/>
        </w:rPr>
        <w:t>(</w:t>
      </w:r>
      <w:proofErr w:type="spellStart"/>
      <w:r w:rsidR="003231B0">
        <w:rPr>
          <w:rFonts w:cs="Times New Roman"/>
        </w:rPr>
        <w:t>Zippia</w:t>
      </w:r>
      <w:proofErr w:type="spellEnd"/>
      <w:r w:rsidR="003231B0">
        <w:rPr>
          <w:rFonts w:cs="Times New Roman"/>
        </w:rPr>
        <w:t>, 2021)</w:t>
      </w:r>
      <w:r w:rsidR="00AE6F41">
        <w:rPr>
          <w:rFonts w:cs="Times New Roman"/>
        </w:rPr>
        <w:t>.</w:t>
      </w:r>
    </w:p>
    <w:p w14:paraId="5888E740" w14:textId="11A325C9" w:rsidR="00A61E52" w:rsidRDefault="003910F4" w:rsidP="00DE4079">
      <w:pPr>
        <w:ind w:firstLine="720"/>
        <w:rPr>
          <w:rFonts w:cs="Times New Roman"/>
        </w:rPr>
      </w:pPr>
      <w:r>
        <w:rPr>
          <w:rFonts w:cs="Times New Roman"/>
        </w:rPr>
        <w:t xml:space="preserve">In </w:t>
      </w:r>
      <w:r w:rsidR="00C27D4A">
        <w:rPr>
          <w:rFonts w:cs="Times New Roman"/>
        </w:rPr>
        <w:t>1969</w:t>
      </w:r>
      <w:r w:rsidR="00B40F31">
        <w:rPr>
          <w:rFonts w:cs="Times New Roman"/>
        </w:rPr>
        <w:t>,</w:t>
      </w:r>
      <w:r w:rsidR="00C27D4A">
        <w:rPr>
          <w:rFonts w:cs="Times New Roman"/>
        </w:rPr>
        <w:t xml:space="preserve"> Dillard’s </w:t>
      </w:r>
      <w:r w:rsidR="00721577">
        <w:rPr>
          <w:rFonts w:cs="Times New Roman"/>
        </w:rPr>
        <w:t xml:space="preserve">Inc. </w:t>
      </w:r>
      <w:r w:rsidR="00C27D4A">
        <w:rPr>
          <w:rFonts w:cs="Times New Roman"/>
        </w:rPr>
        <w:t>offered public trading</w:t>
      </w:r>
      <w:r w:rsidR="00AE6F41">
        <w:rPr>
          <w:rFonts w:cs="Times New Roman"/>
        </w:rPr>
        <w:t xml:space="preserve"> in the American Stock Exchange</w:t>
      </w:r>
      <w:r w:rsidR="005167CC">
        <w:rPr>
          <w:rFonts w:cs="Times New Roman"/>
        </w:rPr>
        <w:t xml:space="preserve"> for the first time</w:t>
      </w:r>
      <w:r w:rsidR="00AE6F41">
        <w:rPr>
          <w:rFonts w:cs="Times New Roman"/>
        </w:rPr>
        <w:t xml:space="preserve">. </w:t>
      </w:r>
      <w:r w:rsidR="006177F6">
        <w:rPr>
          <w:rFonts w:cs="Times New Roman"/>
        </w:rPr>
        <w:t>Not 10</w:t>
      </w:r>
      <w:r w:rsidR="00343F0F">
        <w:rPr>
          <w:rFonts w:cs="Times New Roman"/>
        </w:rPr>
        <w:t xml:space="preserve"> </w:t>
      </w:r>
      <w:r w:rsidR="006177F6">
        <w:rPr>
          <w:rFonts w:cs="Times New Roman"/>
        </w:rPr>
        <w:t xml:space="preserve">years later did </w:t>
      </w:r>
      <w:r w:rsidR="00343F0F">
        <w:rPr>
          <w:rFonts w:cs="Times New Roman"/>
        </w:rPr>
        <w:t xml:space="preserve">the company expand to Kansas and acquired </w:t>
      </w:r>
      <w:r w:rsidR="00C27D4A">
        <w:rPr>
          <w:rFonts w:cs="Times New Roman"/>
        </w:rPr>
        <w:t xml:space="preserve">5 Leonard’s </w:t>
      </w:r>
      <w:r w:rsidR="00C27D4A">
        <w:rPr>
          <w:rFonts w:cs="Times New Roman"/>
        </w:rPr>
        <w:lastRenderedPageBreak/>
        <w:t>Department Stores</w:t>
      </w:r>
      <w:r w:rsidR="00343F0F">
        <w:rPr>
          <w:rFonts w:cs="Times New Roman"/>
        </w:rPr>
        <w:t xml:space="preserve"> </w:t>
      </w:r>
      <w:r w:rsidR="00C27D4A">
        <w:rPr>
          <w:rFonts w:cs="Times New Roman"/>
        </w:rPr>
        <w:t>in Texas</w:t>
      </w:r>
      <w:r w:rsidR="003231B0">
        <w:rPr>
          <w:rFonts w:cs="Times New Roman"/>
        </w:rPr>
        <w:t xml:space="preserve"> (</w:t>
      </w:r>
      <w:proofErr w:type="spellStart"/>
      <w:r w:rsidR="003231B0">
        <w:rPr>
          <w:rFonts w:cs="Times New Roman"/>
        </w:rPr>
        <w:t>Zippia</w:t>
      </w:r>
      <w:proofErr w:type="spellEnd"/>
      <w:r w:rsidR="003231B0">
        <w:rPr>
          <w:rFonts w:cs="Times New Roman"/>
        </w:rPr>
        <w:t xml:space="preserve">, 2021). </w:t>
      </w:r>
      <w:r w:rsidR="006177F6">
        <w:rPr>
          <w:rFonts w:cs="Times New Roman"/>
        </w:rPr>
        <w:t>Moreover, f</w:t>
      </w:r>
      <w:r w:rsidR="00DD4B2E">
        <w:rPr>
          <w:rFonts w:cs="Times New Roman"/>
        </w:rPr>
        <w:t>rom 1983 to 1988, the company continued expanding by acquiring an additional 98 stores in the South and Midwest areas of the country.</w:t>
      </w:r>
      <w:r w:rsidR="00A8705D">
        <w:rPr>
          <w:rFonts w:cs="Times New Roman"/>
        </w:rPr>
        <w:t xml:space="preserve"> </w:t>
      </w:r>
      <w:r w:rsidR="006177F6">
        <w:rPr>
          <w:rFonts w:cs="Times New Roman"/>
        </w:rPr>
        <w:t>Two years after this success</w:t>
      </w:r>
      <w:r w:rsidR="00A8705D">
        <w:rPr>
          <w:rFonts w:cs="Times New Roman"/>
        </w:rPr>
        <w:t xml:space="preserve">, the company acquired Ivey’s stores in North and South Carolina as well as in Florida. </w:t>
      </w:r>
      <w:r w:rsidR="006177F6">
        <w:rPr>
          <w:rFonts w:cs="Times New Roman"/>
        </w:rPr>
        <w:t>Furthermore, i</w:t>
      </w:r>
      <w:r w:rsidR="00A8705D">
        <w:rPr>
          <w:rFonts w:cs="Times New Roman"/>
        </w:rPr>
        <w:t xml:space="preserve">n 1998, the company acquired Mercantile stores </w:t>
      </w:r>
      <w:r w:rsidR="00DE4079">
        <w:rPr>
          <w:rFonts w:cs="Times New Roman"/>
        </w:rPr>
        <w:t>nationwide and another 12 stores in 2001. Unfortunately, i</w:t>
      </w:r>
      <w:r w:rsidR="00A8705D">
        <w:rPr>
          <w:rFonts w:cs="Times New Roman"/>
        </w:rPr>
        <w:t xml:space="preserve">n 2002, the head and </w:t>
      </w:r>
      <w:r w:rsidR="00721577">
        <w:rPr>
          <w:rFonts w:cs="Times New Roman"/>
        </w:rPr>
        <w:t>founder</w:t>
      </w:r>
      <w:r w:rsidR="00A8705D">
        <w:rPr>
          <w:rFonts w:cs="Times New Roman"/>
        </w:rPr>
        <w:t xml:space="preserve"> of the company, William T. Dillard, passed away</w:t>
      </w:r>
      <w:r w:rsidR="00D05778">
        <w:rPr>
          <w:rFonts w:cs="Times New Roman"/>
        </w:rPr>
        <w:t xml:space="preserve"> </w:t>
      </w:r>
      <w:r w:rsidR="00D05778">
        <w:rPr>
          <w:rFonts w:cs="Times New Roman"/>
        </w:rPr>
        <w:t>(</w:t>
      </w:r>
      <w:proofErr w:type="spellStart"/>
      <w:r w:rsidR="00D05778">
        <w:rPr>
          <w:rFonts w:cs="Times New Roman"/>
        </w:rPr>
        <w:t>Zippia</w:t>
      </w:r>
      <w:proofErr w:type="spellEnd"/>
      <w:r w:rsidR="00D05778">
        <w:rPr>
          <w:rFonts w:cs="Times New Roman"/>
        </w:rPr>
        <w:t>, 2021)</w:t>
      </w:r>
      <w:r w:rsidR="00A8705D">
        <w:rPr>
          <w:rFonts w:cs="Times New Roman"/>
        </w:rPr>
        <w:t>.</w:t>
      </w:r>
      <w:r w:rsidR="00DE4079">
        <w:rPr>
          <w:rFonts w:cs="Times New Roman"/>
        </w:rPr>
        <w:t xml:space="preserve"> From then on, the company website states that </w:t>
      </w:r>
      <w:r w:rsidR="00721577">
        <w:rPr>
          <w:rFonts w:cs="Times New Roman"/>
        </w:rPr>
        <w:t>between</w:t>
      </w:r>
      <w:r w:rsidR="00DE4079">
        <w:rPr>
          <w:rFonts w:cs="Times New Roman"/>
        </w:rPr>
        <w:t xml:space="preserve"> </w:t>
      </w:r>
      <w:r w:rsidR="00721577">
        <w:rPr>
          <w:rFonts w:cs="Times New Roman"/>
        </w:rPr>
        <w:t xml:space="preserve">the years </w:t>
      </w:r>
      <w:r w:rsidR="00A61E52">
        <w:rPr>
          <w:rFonts w:cs="Times New Roman"/>
        </w:rPr>
        <w:t>2000</w:t>
      </w:r>
      <w:r w:rsidR="00DE4079">
        <w:rPr>
          <w:rFonts w:cs="Times New Roman"/>
        </w:rPr>
        <w:t xml:space="preserve"> to </w:t>
      </w:r>
      <w:r w:rsidR="00A61E52">
        <w:rPr>
          <w:rFonts w:cs="Times New Roman"/>
        </w:rPr>
        <w:t>2009</w:t>
      </w:r>
      <w:r w:rsidR="005167CC">
        <w:rPr>
          <w:rFonts w:cs="Times New Roman"/>
        </w:rPr>
        <w:t>, “</w:t>
      </w:r>
      <w:r w:rsidR="00DE4079">
        <w:rPr>
          <w:rFonts w:cs="Times New Roman"/>
        </w:rPr>
        <w:t>s</w:t>
      </w:r>
      <w:r w:rsidR="00A61E52">
        <w:rPr>
          <w:rFonts w:cs="Times New Roman"/>
        </w:rPr>
        <w:t>tore construction in key markets continued at a rapid pace</w:t>
      </w:r>
      <w:r w:rsidR="005167CC">
        <w:rPr>
          <w:rFonts w:cs="Times New Roman"/>
        </w:rPr>
        <w:t xml:space="preserve">” </w:t>
      </w:r>
      <w:r w:rsidR="00D05778">
        <w:rPr>
          <w:rFonts w:cs="Times New Roman"/>
        </w:rPr>
        <w:t>(Dillard’s Inc., 2022).</w:t>
      </w:r>
    </w:p>
    <w:p w14:paraId="279D76E8" w14:textId="4B6DE066" w:rsidR="00AA1894" w:rsidRDefault="005167CC" w:rsidP="004C6F19">
      <w:pPr>
        <w:ind w:firstLine="720"/>
        <w:rPr>
          <w:rFonts w:cs="Times New Roman"/>
        </w:rPr>
      </w:pPr>
      <w:r>
        <w:rPr>
          <w:rFonts w:cs="Times New Roman"/>
        </w:rPr>
        <w:t xml:space="preserve">Throughout the years, though Dillard’s Inc. was able to acquire </w:t>
      </w:r>
      <w:r w:rsidR="00F036F5">
        <w:rPr>
          <w:rFonts w:cs="Times New Roman"/>
        </w:rPr>
        <w:t>a multitude of</w:t>
      </w:r>
      <w:r>
        <w:rPr>
          <w:rFonts w:cs="Times New Roman"/>
        </w:rPr>
        <w:t xml:space="preserve"> </w:t>
      </w:r>
      <w:r w:rsidR="00F036F5">
        <w:rPr>
          <w:rFonts w:cs="Times New Roman"/>
        </w:rPr>
        <w:t xml:space="preserve">companies </w:t>
      </w:r>
      <w:r>
        <w:rPr>
          <w:rFonts w:cs="Times New Roman"/>
        </w:rPr>
        <w:t xml:space="preserve">and </w:t>
      </w:r>
      <w:r w:rsidR="00F036F5">
        <w:rPr>
          <w:rFonts w:cs="Times New Roman"/>
        </w:rPr>
        <w:t>stores</w:t>
      </w:r>
      <w:r>
        <w:rPr>
          <w:rFonts w:cs="Times New Roman"/>
        </w:rPr>
        <w:t xml:space="preserve">, </w:t>
      </w:r>
      <w:r w:rsidR="00A616FE">
        <w:rPr>
          <w:rFonts w:cs="Times New Roman"/>
        </w:rPr>
        <w:t>the company faced financial difficulties due to the economy and natural disasters</w:t>
      </w:r>
      <w:r w:rsidR="0094315D">
        <w:rPr>
          <w:rFonts w:cs="Times New Roman"/>
        </w:rPr>
        <w:t>, such as Hurricane Charley,</w:t>
      </w:r>
      <w:r w:rsidR="00A616FE">
        <w:rPr>
          <w:rFonts w:cs="Times New Roman"/>
        </w:rPr>
        <w:t xml:space="preserve"> in the early 2000s</w:t>
      </w:r>
      <w:r w:rsidR="00D05778">
        <w:rPr>
          <w:rFonts w:cs="Times New Roman"/>
        </w:rPr>
        <w:t xml:space="preserve"> </w:t>
      </w:r>
      <w:r w:rsidR="00D05778">
        <w:rPr>
          <w:rFonts w:cs="Times New Roman"/>
        </w:rPr>
        <w:t>(</w:t>
      </w:r>
      <w:proofErr w:type="spellStart"/>
      <w:r w:rsidR="00D05778">
        <w:rPr>
          <w:rFonts w:cs="Times New Roman"/>
        </w:rPr>
        <w:t>Zippia</w:t>
      </w:r>
      <w:proofErr w:type="spellEnd"/>
      <w:r w:rsidR="00D05778">
        <w:rPr>
          <w:rFonts w:cs="Times New Roman"/>
        </w:rPr>
        <w:t>, 2021)</w:t>
      </w:r>
      <w:r w:rsidR="00A616FE">
        <w:rPr>
          <w:rFonts w:cs="Times New Roman"/>
        </w:rPr>
        <w:t>.</w:t>
      </w:r>
      <w:r w:rsidR="0094315D">
        <w:rPr>
          <w:rFonts w:cs="Times New Roman"/>
        </w:rPr>
        <w:t xml:space="preserve"> </w:t>
      </w:r>
      <w:r w:rsidR="00A90DE1">
        <w:rPr>
          <w:rFonts w:cs="Times New Roman"/>
        </w:rPr>
        <w:t xml:space="preserve">Regardless, as of 2020, there </w:t>
      </w:r>
      <w:r w:rsidR="00D05778">
        <w:rPr>
          <w:rFonts w:cs="Times New Roman"/>
        </w:rPr>
        <w:t>were</w:t>
      </w:r>
      <w:r w:rsidR="00A90DE1">
        <w:rPr>
          <w:rFonts w:cs="Times New Roman"/>
        </w:rPr>
        <w:t xml:space="preserve"> 285 stores spanning 29 states and </w:t>
      </w:r>
      <w:r w:rsidR="00721577">
        <w:rPr>
          <w:rFonts w:cs="Times New Roman"/>
        </w:rPr>
        <w:t xml:space="preserve">they have </w:t>
      </w:r>
      <w:r w:rsidR="00A90DE1">
        <w:rPr>
          <w:rFonts w:cs="Times New Roman"/>
        </w:rPr>
        <w:t xml:space="preserve">a net sales of </w:t>
      </w:r>
      <w:r w:rsidR="00721577">
        <w:rPr>
          <w:rFonts w:cs="Times New Roman"/>
        </w:rPr>
        <w:t>$</w:t>
      </w:r>
      <w:r w:rsidR="00A90DE1">
        <w:rPr>
          <w:rFonts w:cs="Times New Roman"/>
        </w:rPr>
        <w:t xml:space="preserve">6.2 billion. </w:t>
      </w:r>
      <w:r w:rsidR="0094315D">
        <w:rPr>
          <w:rFonts w:cs="Times New Roman"/>
        </w:rPr>
        <w:t>According to the company</w:t>
      </w:r>
      <w:r w:rsidR="00E86C23">
        <w:rPr>
          <w:rFonts w:cs="Times New Roman"/>
        </w:rPr>
        <w:t>’s</w:t>
      </w:r>
      <w:r w:rsidR="0094315D">
        <w:rPr>
          <w:rFonts w:cs="Times New Roman"/>
        </w:rPr>
        <w:t xml:space="preserve"> </w:t>
      </w:r>
      <w:r w:rsidR="00E86C23">
        <w:rPr>
          <w:rFonts w:cs="Times New Roman"/>
        </w:rPr>
        <w:t>2021 financial report</w:t>
      </w:r>
      <w:r w:rsidR="0094315D">
        <w:rPr>
          <w:rFonts w:cs="Times New Roman"/>
        </w:rPr>
        <w:t>, the</w:t>
      </w:r>
      <w:r w:rsidR="00E86C23">
        <w:rPr>
          <w:rFonts w:cs="Times New Roman"/>
        </w:rPr>
        <w:t xml:space="preserve">y have </w:t>
      </w:r>
      <w:r w:rsidR="00A90DE1">
        <w:rPr>
          <w:rFonts w:cs="Times New Roman"/>
        </w:rPr>
        <w:t xml:space="preserve">recently </w:t>
      </w:r>
      <w:r w:rsidR="0094315D">
        <w:rPr>
          <w:rFonts w:cs="Times New Roman"/>
        </w:rPr>
        <w:t xml:space="preserve">faced financial difficulties due to </w:t>
      </w:r>
      <w:r w:rsidR="00E86C23">
        <w:rPr>
          <w:rFonts w:cs="Times New Roman"/>
        </w:rPr>
        <w:t>a variety of risks related to</w:t>
      </w:r>
      <w:r w:rsidR="00A90DE1">
        <w:rPr>
          <w:rFonts w:cs="Times New Roman"/>
        </w:rPr>
        <w:t>:</w:t>
      </w:r>
      <w:r w:rsidR="00E86C23">
        <w:rPr>
          <w:rFonts w:cs="Times New Roman"/>
        </w:rPr>
        <w:t xml:space="preserve"> the COVID-19 pandemic</w:t>
      </w:r>
      <w:r w:rsidR="00946636">
        <w:rPr>
          <w:rFonts w:cs="Times New Roman"/>
        </w:rPr>
        <w:t>;</w:t>
      </w:r>
      <w:r w:rsidR="00E86C23">
        <w:rPr>
          <w:rFonts w:cs="Times New Roman"/>
        </w:rPr>
        <w:t xml:space="preserve"> retail operations</w:t>
      </w:r>
      <w:r w:rsidR="00946636">
        <w:rPr>
          <w:rFonts w:cs="Times New Roman"/>
        </w:rPr>
        <w:t>;</w:t>
      </w:r>
      <w:r w:rsidR="00E86C23">
        <w:rPr>
          <w:rFonts w:cs="Times New Roman"/>
        </w:rPr>
        <w:t xml:space="preserve"> consumer demand</w:t>
      </w:r>
      <w:r w:rsidR="00946636">
        <w:rPr>
          <w:rFonts w:cs="Times New Roman"/>
        </w:rPr>
        <w:t>;</w:t>
      </w:r>
      <w:r w:rsidR="00E86C23">
        <w:rPr>
          <w:rFonts w:cs="Times New Roman"/>
        </w:rPr>
        <w:t xml:space="preserve"> brand and product offerings</w:t>
      </w:r>
      <w:r w:rsidR="00946636">
        <w:rPr>
          <w:rFonts w:cs="Times New Roman"/>
        </w:rPr>
        <w:t>;</w:t>
      </w:r>
      <w:r w:rsidR="00E86C23">
        <w:rPr>
          <w:rFonts w:cs="Times New Roman"/>
        </w:rPr>
        <w:t xml:space="preserve"> material sourcing and supply</w:t>
      </w:r>
      <w:r w:rsidR="00946636">
        <w:rPr>
          <w:rFonts w:cs="Times New Roman"/>
        </w:rPr>
        <w:t>;</w:t>
      </w:r>
      <w:r w:rsidR="00E86C23">
        <w:rPr>
          <w:rFonts w:cs="Times New Roman"/>
        </w:rPr>
        <w:t xml:space="preserve"> long-term marketing and servicing alliance</w:t>
      </w:r>
      <w:r w:rsidR="00721577">
        <w:rPr>
          <w:rFonts w:cs="Times New Roman"/>
        </w:rPr>
        <w:t xml:space="preserve"> risks</w:t>
      </w:r>
      <w:r w:rsidR="00946636">
        <w:rPr>
          <w:rFonts w:cs="Times New Roman"/>
        </w:rPr>
        <w:t>;</w:t>
      </w:r>
      <w:r w:rsidR="00E86C23">
        <w:rPr>
          <w:rFonts w:cs="Times New Roman"/>
        </w:rPr>
        <w:t xml:space="preserve"> information technology and information security</w:t>
      </w:r>
      <w:r w:rsidR="00946636">
        <w:rPr>
          <w:rFonts w:cs="Times New Roman"/>
        </w:rPr>
        <w:t>;</w:t>
      </w:r>
      <w:r w:rsidR="00E86C23">
        <w:rPr>
          <w:rFonts w:cs="Times New Roman"/>
        </w:rPr>
        <w:t xml:space="preserve"> legal and compliance</w:t>
      </w:r>
      <w:r w:rsidR="00A90DE1">
        <w:rPr>
          <w:rFonts w:cs="Times New Roman"/>
        </w:rPr>
        <w:t xml:space="preserve"> risks</w:t>
      </w:r>
      <w:r w:rsidR="00946636">
        <w:rPr>
          <w:rFonts w:cs="Times New Roman"/>
        </w:rPr>
        <w:t>;</w:t>
      </w:r>
      <w:r w:rsidR="00E86C23">
        <w:rPr>
          <w:rFonts w:cs="Times New Roman"/>
        </w:rPr>
        <w:t xml:space="preserve"> construction operations</w:t>
      </w:r>
      <w:r w:rsidR="00946636">
        <w:rPr>
          <w:rFonts w:cs="Times New Roman"/>
        </w:rPr>
        <w:t>;</w:t>
      </w:r>
      <w:r w:rsidR="00E86C23">
        <w:rPr>
          <w:rFonts w:cs="Times New Roman"/>
        </w:rPr>
        <w:t xml:space="preserve"> and employees</w:t>
      </w:r>
      <w:r w:rsidR="00D05778">
        <w:rPr>
          <w:rFonts w:cs="Times New Roman"/>
        </w:rPr>
        <w:t xml:space="preserve"> </w:t>
      </w:r>
      <w:r w:rsidR="00D05778">
        <w:rPr>
          <w:rFonts w:cs="Times New Roman"/>
        </w:rPr>
        <w:t>(Dillard’s Inc., 2022)</w:t>
      </w:r>
      <w:r w:rsidR="00E86C23">
        <w:rPr>
          <w:rFonts w:cs="Times New Roman"/>
        </w:rPr>
        <w:t>.</w:t>
      </w:r>
      <w:bookmarkStart w:id="2" w:name="OLE_LINK1"/>
    </w:p>
    <w:p w14:paraId="395CA55B" w14:textId="0047CBB8" w:rsidR="00482496" w:rsidRDefault="00AA1894" w:rsidP="00946636">
      <w:pPr>
        <w:ind w:firstLine="720"/>
        <w:rPr>
          <w:rFonts w:cs="Times New Roman"/>
        </w:rPr>
      </w:pPr>
      <w:r>
        <w:rPr>
          <w:rFonts w:cs="Times New Roman"/>
        </w:rPr>
        <w:t xml:space="preserve">For the purpose of this report, data was extracted for the fiscal years </w:t>
      </w:r>
      <w:r w:rsidR="00424D47">
        <w:rPr>
          <w:rFonts w:cs="Times New Roman"/>
        </w:rPr>
        <w:t xml:space="preserve">of </w:t>
      </w:r>
      <w:r>
        <w:rPr>
          <w:rFonts w:cs="Times New Roman"/>
        </w:rPr>
        <w:t xml:space="preserve">2016 to 2021 from the </w:t>
      </w:r>
      <w:r w:rsidR="00B2058F">
        <w:rPr>
          <w:rFonts w:cs="Times New Roman"/>
        </w:rPr>
        <w:t>University of Pennsylvania</w:t>
      </w:r>
      <w:r w:rsidR="00946636">
        <w:rPr>
          <w:rFonts w:cs="Times New Roman"/>
        </w:rPr>
        <w:t>’s</w:t>
      </w:r>
      <w:r w:rsidR="00B2058F">
        <w:rPr>
          <w:rFonts w:cs="Times New Roman"/>
        </w:rPr>
        <w:t xml:space="preserve"> database, </w:t>
      </w:r>
      <w:r w:rsidR="00B2058F">
        <w:t>Wharton Research Data Services</w:t>
      </w:r>
      <w:r w:rsidR="00CD2ECA">
        <w:t xml:space="preserve"> (WRDS)</w:t>
      </w:r>
      <w:r w:rsidR="00B2058F">
        <w:t>. A variety of financial ratios were calculated, using such data, and were recorded in Table 1 and Table 2.</w:t>
      </w:r>
      <w:r w:rsidR="00B2058F">
        <w:rPr>
          <w:rFonts w:cs="Times New Roman"/>
        </w:rPr>
        <w:t xml:space="preserve"> After reviewing a brief summary of the history of Macy’s Inc</w:t>
      </w:r>
      <w:r w:rsidR="00A90DE1">
        <w:rPr>
          <w:rFonts w:cs="Times New Roman"/>
        </w:rPr>
        <w:t xml:space="preserve">, the </w:t>
      </w:r>
      <w:r w:rsidR="004C6F19">
        <w:rPr>
          <w:rFonts w:cs="Times New Roman"/>
        </w:rPr>
        <w:t xml:space="preserve">Dillard’s Inc. financial </w:t>
      </w:r>
      <w:r w:rsidR="00A90DE1">
        <w:rPr>
          <w:rFonts w:cs="Times New Roman"/>
        </w:rPr>
        <w:t>ratios</w:t>
      </w:r>
      <w:r w:rsidR="004947C9">
        <w:rPr>
          <w:rFonts w:cs="Times New Roman"/>
        </w:rPr>
        <w:t xml:space="preserve"> </w:t>
      </w:r>
      <w:r w:rsidR="00A90DE1">
        <w:rPr>
          <w:rFonts w:cs="Times New Roman"/>
        </w:rPr>
        <w:t xml:space="preserve">throughout </w:t>
      </w:r>
      <w:r w:rsidR="00B2058F">
        <w:rPr>
          <w:rFonts w:cs="Times New Roman"/>
        </w:rPr>
        <w:t>the past 6 years</w:t>
      </w:r>
      <w:r w:rsidR="00A90DE1">
        <w:rPr>
          <w:rFonts w:cs="Times New Roman"/>
        </w:rPr>
        <w:t xml:space="preserve"> </w:t>
      </w:r>
      <w:r w:rsidR="004947C9">
        <w:rPr>
          <w:rFonts w:cs="Times New Roman"/>
        </w:rPr>
        <w:t xml:space="preserve">will be analyzed </w:t>
      </w:r>
      <w:r w:rsidR="00A90DE1">
        <w:rPr>
          <w:rFonts w:cs="Times New Roman"/>
        </w:rPr>
        <w:t>and</w:t>
      </w:r>
      <w:r w:rsidR="00B2058F">
        <w:rPr>
          <w:rFonts w:cs="Times New Roman"/>
        </w:rPr>
        <w:t xml:space="preserve"> </w:t>
      </w:r>
      <w:r w:rsidR="00A90DE1">
        <w:rPr>
          <w:rFonts w:cs="Times New Roman"/>
        </w:rPr>
        <w:t xml:space="preserve">compared to </w:t>
      </w:r>
      <w:r w:rsidR="004C6F19">
        <w:rPr>
          <w:rFonts w:cs="Times New Roman"/>
        </w:rPr>
        <w:t>the</w:t>
      </w:r>
      <w:r w:rsidR="00F036F5">
        <w:rPr>
          <w:rFonts w:cs="Times New Roman"/>
        </w:rPr>
        <w:t xml:space="preserve">ir </w:t>
      </w:r>
      <w:r w:rsidR="00F036F5">
        <w:rPr>
          <w:rFonts w:cs="Times New Roman"/>
        </w:rPr>
        <w:t>Macy’s Inc.</w:t>
      </w:r>
      <w:r w:rsidR="004C6F19">
        <w:rPr>
          <w:rFonts w:cs="Times New Roman"/>
        </w:rPr>
        <w:t xml:space="preserve"> corresponding ratios</w:t>
      </w:r>
      <w:bookmarkEnd w:id="2"/>
      <w:r w:rsidR="00F036F5">
        <w:rPr>
          <w:rFonts w:cs="Times New Roman"/>
        </w:rPr>
        <w:t>.</w:t>
      </w:r>
      <w:r w:rsidR="00482496">
        <w:rPr>
          <w:rFonts w:cs="Times New Roman"/>
        </w:rPr>
        <w:br w:type="page"/>
      </w:r>
    </w:p>
    <w:p w14:paraId="27906596" w14:textId="2E31AAFE" w:rsidR="00885037" w:rsidRDefault="00F04332" w:rsidP="00B92531">
      <w:pPr>
        <w:pStyle w:val="Heading2"/>
      </w:pPr>
      <w:bookmarkStart w:id="3" w:name="_Toc111229083"/>
      <w:r>
        <w:lastRenderedPageBreak/>
        <w:t>The History of Macy’s Inc</w:t>
      </w:r>
      <w:bookmarkEnd w:id="3"/>
    </w:p>
    <w:p w14:paraId="3E9E187D" w14:textId="081806A9" w:rsidR="00395594" w:rsidRDefault="009E724F" w:rsidP="009E724F">
      <w:pPr>
        <w:ind w:firstLine="720"/>
      </w:pPr>
      <w:r>
        <w:t>Macy</w:t>
      </w:r>
      <w:r w:rsidRPr="009E724F">
        <w:t>’s Inc is part of the department store, or retail, industry. According to their official company website,</w:t>
      </w:r>
      <w:r>
        <w:t xml:space="preserve"> “</w:t>
      </w:r>
      <w:r w:rsidRPr="009E724F">
        <w:t>Headquartered in New York City, we operate one of retail’s largest e-commerce businesses integrated with a nationwide footprint to deliver the most convenient and seamless shopping experience. Our purpose is </w:t>
      </w:r>
      <w:r w:rsidRPr="009E724F">
        <w:rPr>
          <w:i/>
          <w:iCs/>
        </w:rPr>
        <w:t>to</w:t>
      </w:r>
      <w:r w:rsidRPr="009E724F">
        <w:t> </w:t>
      </w:r>
      <w:r w:rsidRPr="009E724F">
        <w:rPr>
          <w:i/>
          <w:iCs/>
        </w:rPr>
        <w:t>create a brighter future with bold representation</w:t>
      </w:r>
      <w:r w:rsidRPr="009E724F">
        <w:t> – so we can realize the full potential of every one of us</w:t>
      </w:r>
      <w:r>
        <w:t>”</w:t>
      </w:r>
      <w:r w:rsidR="00D05778">
        <w:t xml:space="preserve"> </w:t>
      </w:r>
      <w:r w:rsidR="00D05778">
        <w:rPr>
          <w:rFonts w:cs="Times New Roman"/>
        </w:rPr>
        <w:t>(</w:t>
      </w:r>
      <w:r w:rsidR="00D05778">
        <w:rPr>
          <w:rFonts w:cs="Times New Roman"/>
        </w:rPr>
        <w:t>Macy</w:t>
      </w:r>
      <w:r w:rsidR="00D05778">
        <w:rPr>
          <w:rFonts w:cs="Times New Roman"/>
        </w:rPr>
        <w:t>’s Inc., 2022).</w:t>
      </w:r>
      <w:r w:rsidR="00260789">
        <w:t xml:space="preserve"> </w:t>
      </w:r>
      <w:r w:rsidR="00395594">
        <w:t>The Macy’s we know today was expanded by the acquisition of multiple department stores</w:t>
      </w:r>
      <w:r w:rsidR="00E31459">
        <w:t xml:space="preserve"> while simultaneously holding community</w:t>
      </w:r>
      <w:r w:rsidR="00A271E1">
        <w:t xml:space="preserve"> </w:t>
      </w:r>
      <w:r w:rsidR="00E31459">
        <w:t>events</w:t>
      </w:r>
      <w:r w:rsidR="00395594">
        <w:t>. In order to elaborate on the expansion of the company, many department st</w:t>
      </w:r>
      <w:r w:rsidR="006F58EF">
        <w:t>o</w:t>
      </w:r>
      <w:r w:rsidR="00395594">
        <w:t>res and companies will be introduced in this report.</w:t>
      </w:r>
    </w:p>
    <w:p w14:paraId="1C749869" w14:textId="5E513D77" w:rsidR="009E724F" w:rsidRDefault="006F58EF" w:rsidP="00501282">
      <w:pPr>
        <w:ind w:firstLine="720"/>
      </w:pPr>
      <w:r>
        <w:t xml:space="preserve">John </w:t>
      </w:r>
      <w:proofErr w:type="spellStart"/>
      <w:r>
        <w:t>Shillito</w:t>
      </w:r>
      <w:proofErr w:type="spellEnd"/>
      <w:r w:rsidR="00260789">
        <w:t xml:space="preserve"> founded </w:t>
      </w:r>
      <w:proofErr w:type="spellStart"/>
      <w:r>
        <w:t>Shillito’s</w:t>
      </w:r>
      <w:proofErr w:type="spellEnd"/>
      <w:r>
        <w:t xml:space="preserve">, </w:t>
      </w:r>
      <w:r w:rsidR="001E4D06">
        <w:t>Cincinnati</w:t>
      </w:r>
      <w:r>
        <w:t>’s first department store</w:t>
      </w:r>
      <w:r w:rsidR="00096CAF">
        <w:t xml:space="preserve"> in 1830</w:t>
      </w:r>
      <w:r w:rsidR="001E4D06">
        <w:t>.</w:t>
      </w:r>
      <w:r w:rsidR="00501282">
        <w:t xml:space="preserve"> </w:t>
      </w:r>
      <w:proofErr w:type="spellStart"/>
      <w:r w:rsidR="00A25238">
        <w:t>Eben</w:t>
      </w:r>
      <w:proofErr w:type="spellEnd"/>
      <w:r w:rsidR="00A25238">
        <w:t xml:space="preserve"> Jordan and Benjamin L. Marsh open</w:t>
      </w:r>
      <w:r w:rsidR="002D5698">
        <w:t>ed</w:t>
      </w:r>
      <w:r w:rsidR="00A25238">
        <w:t xml:space="preserve"> Jordan Marsh</w:t>
      </w:r>
      <w:r w:rsidR="00003518">
        <w:t>, a department store chain,</w:t>
      </w:r>
      <w:r w:rsidR="00A25238">
        <w:t xml:space="preserve"> in Boston</w:t>
      </w:r>
      <w:r w:rsidR="00096CAF">
        <w:t xml:space="preserve"> in 1841</w:t>
      </w:r>
      <w:r w:rsidR="00D05778">
        <w:t xml:space="preserve"> </w:t>
      </w:r>
      <w:r w:rsidR="00D05778">
        <w:rPr>
          <w:rFonts w:cs="Times New Roman"/>
        </w:rPr>
        <w:t>(</w:t>
      </w:r>
      <w:r w:rsidR="00D05778">
        <w:rPr>
          <w:rFonts w:cs="Times New Roman"/>
        </w:rPr>
        <w:t>Macy</w:t>
      </w:r>
      <w:r w:rsidR="00D05778">
        <w:rPr>
          <w:rFonts w:cs="Times New Roman"/>
        </w:rPr>
        <w:t>’s Inc., 2022)</w:t>
      </w:r>
      <w:r w:rsidR="00003518">
        <w:t xml:space="preserve">. </w:t>
      </w:r>
      <w:r w:rsidR="00A25238">
        <w:t xml:space="preserve">F&amp;R Lazarus &amp; Company </w:t>
      </w:r>
      <w:r w:rsidR="002D5698">
        <w:t>was</w:t>
      </w:r>
      <w:r w:rsidR="00A25238">
        <w:t xml:space="preserve"> founded </w:t>
      </w:r>
      <w:r w:rsidR="00977FB6">
        <w:t xml:space="preserve">by Simon Lazarus </w:t>
      </w:r>
      <w:r w:rsidR="00A25238">
        <w:t>in Columbus</w:t>
      </w:r>
      <w:r w:rsidR="00977FB6">
        <w:t>, Ohio in the year 1851</w:t>
      </w:r>
      <w:r w:rsidR="001E4D06">
        <w:t>.</w:t>
      </w:r>
      <w:r w:rsidR="00395594">
        <w:t xml:space="preserve"> </w:t>
      </w:r>
      <w:r w:rsidR="00003518">
        <w:t>In 18</w:t>
      </w:r>
      <w:r w:rsidR="00395594">
        <w:t>58, R</w:t>
      </w:r>
      <w:r>
        <w:t>.</w:t>
      </w:r>
      <w:r w:rsidR="00395594">
        <w:t>H</w:t>
      </w:r>
      <w:r>
        <w:t>.</w:t>
      </w:r>
      <w:r w:rsidR="00395594">
        <w:t xml:space="preserve"> Macy &amp; Co.</w:t>
      </w:r>
      <w:r w:rsidR="00977FB6">
        <w:t xml:space="preserve">, </w:t>
      </w:r>
      <w:r w:rsidR="00395594">
        <w:t xml:space="preserve">a small dry goods shop in New York </w:t>
      </w:r>
      <w:r>
        <w:t>C</w:t>
      </w:r>
      <w:r w:rsidR="00395594">
        <w:t>ity</w:t>
      </w:r>
      <w:r w:rsidR="00977FB6">
        <w:t>, was opened by Rowland H. Macy</w:t>
      </w:r>
      <w:r w:rsidR="00D05778">
        <w:t xml:space="preserve"> </w:t>
      </w:r>
      <w:r w:rsidR="00D05778">
        <w:rPr>
          <w:rFonts w:cs="Times New Roman"/>
        </w:rPr>
        <w:t>(Macy’s Inc., 2022)</w:t>
      </w:r>
      <w:r w:rsidR="00395594">
        <w:t xml:space="preserve">. </w:t>
      </w:r>
      <w:r w:rsidR="00424D47">
        <w:t>Seven years later</w:t>
      </w:r>
      <w:r>
        <w:t>,</w:t>
      </w:r>
      <w:r w:rsidR="00977FB6">
        <w:t xml:space="preserve"> Abraham and Joseph Wechsler established </w:t>
      </w:r>
      <w:r>
        <w:t xml:space="preserve">Wechsler &amp; Abraham in Brooklyn, New York. </w:t>
      </w:r>
      <w:r w:rsidR="002D5698">
        <w:t xml:space="preserve">In 1867, </w:t>
      </w:r>
      <w:r>
        <w:t xml:space="preserve">Morris </w:t>
      </w:r>
      <w:r w:rsidR="002D5698">
        <w:t xml:space="preserve">Rich founded Rich’s in Atlanta and Isaac, Louis and Benjamin Stern founded Stern Brothers in New York City. </w:t>
      </w:r>
      <w:r w:rsidR="00981090">
        <w:t xml:space="preserve">Goldsmith’s was founded in </w:t>
      </w:r>
      <w:r w:rsidR="00424D47">
        <w:t>1870</w:t>
      </w:r>
      <w:r w:rsidR="00D84BDE">
        <w:t xml:space="preserve"> in </w:t>
      </w:r>
      <w:r w:rsidR="00981090">
        <w:t xml:space="preserve">Memphis by Jacob and Isaac Goldsmith. In 1872, Bloomindale Brothers Inc. was founded by Lyman and Joseph Bloomingdale in New York City. </w:t>
      </w:r>
      <w:proofErr w:type="spellStart"/>
      <w:r w:rsidR="00981090">
        <w:t>Meler</w:t>
      </w:r>
      <w:proofErr w:type="spellEnd"/>
      <w:r w:rsidR="00981090">
        <w:t xml:space="preserve"> &amp; Frank’s, a dry good store</w:t>
      </w:r>
      <w:r w:rsidR="009C78FF">
        <w:t xml:space="preserve"> in Portland</w:t>
      </w:r>
      <w:r w:rsidR="00981090">
        <w:t xml:space="preserve">, </w:t>
      </w:r>
      <w:r w:rsidR="009C78FF">
        <w:t>was</w:t>
      </w:r>
      <w:r w:rsidR="00981090">
        <w:t xml:space="preserve"> founded by Emil Frank and Aaron </w:t>
      </w:r>
      <w:proofErr w:type="spellStart"/>
      <w:r w:rsidR="00981090">
        <w:t>Meler</w:t>
      </w:r>
      <w:proofErr w:type="spellEnd"/>
      <w:r w:rsidR="00981090">
        <w:t xml:space="preserve"> in 1873.</w:t>
      </w:r>
      <w:r w:rsidR="009C78FF">
        <w:t xml:space="preserve"> </w:t>
      </w:r>
      <w:r w:rsidR="00501282">
        <w:t xml:space="preserve">The Bon Marche </w:t>
      </w:r>
      <w:r w:rsidR="00D84BDE">
        <w:t>was</w:t>
      </w:r>
      <w:r w:rsidR="00501282">
        <w:t xml:space="preserve"> founded in Seattle in 1890 by Edward and Josephine </w:t>
      </w:r>
      <w:proofErr w:type="spellStart"/>
      <w:r w:rsidR="00501282">
        <w:t>Nordoff</w:t>
      </w:r>
      <w:proofErr w:type="spellEnd"/>
      <w:r w:rsidR="009D324D">
        <w:t xml:space="preserve"> </w:t>
      </w:r>
      <w:r w:rsidR="009D324D">
        <w:rPr>
          <w:rFonts w:cs="Times New Roman"/>
        </w:rPr>
        <w:t>(Macy’s Inc., 2022)</w:t>
      </w:r>
      <w:r w:rsidR="00501282">
        <w:t xml:space="preserve">. </w:t>
      </w:r>
      <w:r w:rsidR="00D84BDE">
        <w:t xml:space="preserve">Additionally, </w:t>
      </w:r>
      <w:r w:rsidR="00501282">
        <w:t xml:space="preserve">Burdines </w:t>
      </w:r>
      <w:r w:rsidR="00D84BDE">
        <w:t>was</w:t>
      </w:r>
      <w:r w:rsidR="00501282">
        <w:t xml:space="preserve"> established in 1898 in Miami by Henry Payne and William M. Burdine.</w:t>
      </w:r>
    </w:p>
    <w:p w14:paraId="4F309C62" w14:textId="04D723B6" w:rsidR="00B968BE" w:rsidRDefault="00D84BDE" w:rsidP="00501282">
      <w:pPr>
        <w:ind w:firstLine="720"/>
      </w:pPr>
      <w:r>
        <w:lastRenderedPageBreak/>
        <w:t>To expand consumerism, i</w:t>
      </w:r>
      <w:r w:rsidR="00DB71FD">
        <w:t>n 1902, Macy’s moved its location to Herald Square in New York City</w:t>
      </w:r>
      <w:r w:rsidR="009D324D">
        <w:t xml:space="preserve"> </w:t>
      </w:r>
      <w:r w:rsidR="009D324D">
        <w:rPr>
          <w:rFonts w:cs="Times New Roman"/>
        </w:rPr>
        <w:t>(Macy’s Inc., 2022)</w:t>
      </w:r>
      <w:r w:rsidR="00DB71FD">
        <w:t xml:space="preserve">. Another company named Bullock’s was founded in 1907 in Los Angeles by John Bullock and P.G. </w:t>
      </w:r>
      <w:proofErr w:type="spellStart"/>
      <w:r w:rsidR="00DB71FD">
        <w:t>VVinnett</w:t>
      </w:r>
      <w:proofErr w:type="spellEnd"/>
      <w:r w:rsidR="00DB71FD">
        <w:t xml:space="preserve">. </w:t>
      </w:r>
      <w:r>
        <w:t>T</w:t>
      </w:r>
      <w:r w:rsidR="00DB71FD">
        <w:t xml:space="preserve">he Macy’s Herald Square location </w:t>
      </w:r>
      <w:r w:rsidR="00CE6B21">
        <w:t>became the largest store in the world</w:t>
      </w:r>
      <w:r>
        <w:t xml:space="preserve"> in 1924</w:t>
      </w:r>
      <w:r w:rsidR="00CE6B21">
        <w:t>. That same year, 10,000 people attended Macy’s first parade, now known as the Macy’s Thanksgiving Day Parade</w:t>
      </w:r>
      <w:r w:rsidR="009D324D">
        <w:t xml:space="preserve"> </w:t>
      </w:r>
      <w:r w:rsidR="009D324D">
        <w:rPr>
          <w:rFonts w:cs="Times New Roman"/>
        </w:rPr>
        <w:t>(Macy’s Inc., 2022)</w:t>
      </w:r>
      <w:r w:rsidR="00CE6B21">
        <w:t>. Finally, in 1929, the Federated Department Stores, Inc.</w:t>
      </w:r>
      <w:r w:rsidR="00836B10">
        <w:t xml:space="preserve"> </w:t>
      </w:r>
      <w:r w:rsidR="00326436">
        <w:t>was</w:t>
      </w:r>
      <w:r w:rsidR="00CE6B21">
        <w:t xml:space="preserve"> formed as a holding company </w:t>
      </w:r>
      <w:r w:rsidR="00326436">
        <w:t>for</w:t>
      </w:r>
      <w:r w:rsidR="00CE6B21">
        <w:t xml:space="preserve"> several of the family-</w:t>
      </w:r>
      <w:r w:rsidR="00326436">
        <w:t>owned</w:t>
      </w:r>
      <w:r w:rsidR="00CE6B21">
        <w:t xml:space="preserve"> department stores previously mentioned. The department stores included were: Abraham &amp; Straus, F&amp;R Lazarus, </w:t>
      </w:r>
      <w:proofErr w:type="spellStart"/>
      <w:r w:rsidR="00CE6B21">
        <w:t>Shillito’s</w:t>
      </w:r>
      <w:proofErr w:type="spellEnd"/>
      <w:r w:rsidR="00CE6B21">
        <w:t xml:space="preserve">, which had been acquired by F&amp;R Lazarus, and </w:t>
      </w:r>
      <w:r w:rsidR="00326436">
        <w:t>Filene’s, a Boston company. A year later, Bloomingdale’s also joined Federated Department Stores Inc..</w:t>
      </w:r>
    </w:p>
    <w:p w14:paraId="6C5E498A" w14:textId="476FEB00" w:rsidR="00DB71FD" w:rsidRDefault="00D84BDE" w:rsidP="00501282">
      <w:pPr>
        <w:ind w:firstLine="720"/>
      </w:pPr>
      <w:r>
        <w:t>I</w:t>
      </w:r>
      <w:r w:rsidR="00326436">
        <w:t>nspired by Persian merchandisers</w:t>
      </w:r>
      <w:r w:rsidR="00B968BE">
        <w:t>,</w:t>
      </w:r>
      <w:r>
        <w:t xml:space="preserve"> Fred Lazarus</w:t>
      </w:r>
      <w:r>
        <w:t xml:space="preserve"> </w:t>
      </w:r>
      <w:r w:rsidR="00B968BE">
        <w:t>was the first to arrange clothing by size rather than style in American stores</w:t>
      </w:r>
      <w:r w:rsidR="009D324D">
        <w:t xml:space="preserve"> </w:t>
      </w:r>
      <w:r>
        <w:t xml:space="preserve">in 1934 </w:t>
      </w:r>
      <w:r w:rsidR="009D324D">
        <w:rPr>
          <w:rFonts w:cs="Times New Roman"/>
        </w:rPr>
        <w:t>(Macy’s Inc., 2022)</w:t>
      </w:r>
      <w:r w:rsidR="00B968BE">
        <w:t xml:space="preserve">. In order to acclimate to the economic crisis during 1939, Federated Department Stores </w:t>
      </w:r>
      <w:r w:rsidR="00AF6206">
        <w:t xml:space="preserve">and Allied Stores Corporation </w:t>
      </w:r>
      <w:r w:rsidR="00B968BE">
        <w:t xml:space="preserve">began to offer sales based on credit. This began their reputation </w:t>
      </w:r>
      <w:r w:rsidR="00B77754">
        <w:t>for community involvement in times of need. In 1946, the Macy’s Flower Show debuted as a fragrance festival at the San Francisco Union Square store</w:t>
      </w:r>
      <w:r w:rsidR="009D324D">
        <w:t xml:space="preserve"> </w:t>
      </w:r>
      <w:r w:rsidR="009D324D">
        <w:rPr>
          <w:rFonts w:cs="Times New Roman"/>
        </w:rPr>
        <w:t>(Macy’s Inc., 2022)</w:t>
      </w:r>
      <w:r w:rsidR="00B77754">
        <w:t xml:space="preserve">. </w:t>
      </w:r>
      <w:r>
        <w:t>A decade later</w:t>
      </w:r>
      <w:r w:rsidR="00B77754">
        <w:t xml:space="preserve">, Burdines became a division of the company and </w:t>
      </w:r>
      <w:r w:rsidR="00365B15">
        <w:t xml:space="preserve">the company </w:t>
      </w:r>
      <w:r w:rsidR="009A5FB9">
        <w:t>continued to expand by</w:t>
      </w:r>
      <w:r w:rsidR="00B77754">
        <w:t xml:space="preserve"> acquir</w:t>
      </w:r>
      <w:r w:rsidR="009A5FB9">
        <w:t>ing</w:t>
      </w:r>
      <w:r w:rsidR="00B77754">
        <w:t xml:space="preserve"> Dayton, </w:t>
      </w:r>
      <w:proofErr w:type="spellStart"/>
      <w:r w:rsidR="00B77754">
        <w:t>Rike’s</w:t>
      </w:r>
      <w:proofErr w:type="spellEnd"/>
      <w:r w:rsidR="00B77754">
        <w:t xml:space="preserve">, Goldsmith’s, and Hecht’s in 1959. </w:t>
      </w:r>
      <w:r w:rsidR="00E31459">
        <w:t>In 1976, the company held their first Macy’s 4</w:t>
      </w:r>
      <w:r w:rsidR="00E31459" w:rsidRPr="00E31459">
        <w:rPr>
          <w:vertAlign w:val="superscript"/>
        </w:rPr>
        <w:t>th</w:t>
      </w:r>
      <w:r w:rsidR="00E31459">
        <w:t xml:space="preserve"> of July Fireworks show.</w:t>
      </w:r>
    </w:p>
    <w:p w14:paraId="51502568" w14:textId="7F67FED1" w:rsidR="00A271E1" w:rsidRDefault="00A271E1" w:rsidP="00501282">
      <w:pPr>
        <w:ind w:firstLine="720"/>
      </w:pPr>
      <w:r>
        <w:t xml:space="preserve">The company continued expanding </w:t>
      </w:r>
      <w:r w:rsidR="00AF6206">
        <w:t xml:space="preserve">from the 1980s to the early 2000s. </w:t>
      </w:r>
      <w:r w:rsidR="009A5FB9">
        <w:t>Accordingly, i</w:t>
      </w:r>
      <w:r w:rsidR="00AF6206">
        <w:t xml:space="preserve">n 1988, the company acquired Bullock’s and I. </w:t>
      </w:r>
      <w:proofErr w:type="spellStart"/>
      <w:r w:rsidR="00AF6206">
        <w:t>Magnin</w:t>
      </w:r>
      <w:proofErr w:type="spellEnd"/>
      <w:r w:rsidR="00AF6206">
        <w:t xml:space="preserve"> from Campeau Corporation. </w:t>
      </w:r>
      <w:r w:rsidR="009A5FB9">
        <w:t>Four years later</w:t>
      </w:r>
      <w:r w:rsidR="00836B10">
        <w:t>, the Allied Stores Corporation merged into Federation Department Stores Inc.</w:t>
      </w:r>
      <w:r w:rsidR="009D324D" w:rsidRPr="009D324D">
        <w:rPr>
          <w:rFonts w:cs="Times New Roman"/>
        </w:rPr>
        <w:t xml:space="preserve"> </w:t>
      </w:r>
      <w:r w:rsidR="009D324D">
        <w:rPr>
          <w:rFonts w:cs="Times New Roman"/>
        </w:rPr>
        <w:t>(Macy’s Inc., 2022)</w:t>
      </w:r>
      <w:r w:rsidR="00836B10">
        <w:t xml:space="preserve">. </w:t>
      </w:r>
      <w:r w:rsidR="009A5FB9">
        <w:t>During this time</w:t>
      </w:r>
      <w:r w:rsidR="00836B10">
        <w:t xml:space="preserve">, the company had 220 department stores in 26 states and annual sales of approximately $7 billion. </w:t>
      </w:r>
      <w:r w:rsidR="009A5FB9">
        <w:t>The</w:t>
      </w:r>
      <w:r w:rsidR="005B1914">
        <w:t xml:space="preserve"> company acquired Joseph Home Co. of Pittsburgh</w:t>
      </w:r>
      <w:r w:rsidR="009A5FB9">
        <w:t xml:space="preserve"> in 1994</w:t>
      </w:r>
      <w:r w:rsidR="005B1914">
        <w:t xml:space="preserve">, which </w:t>
      </w:r>
      <w:r w:rsidR="009A5FB9">
        <w:t xml:space="preserve">consequently </w:t>
      </w:r>
      <w:r w:rsidR="005B1914">
        <w:t xml:space="preserve">added 10 stores in Pennsylvania to its Lazarus division. Later that year, the </w:t>
      </w:r>
      <w:r w:rsidR="005B1914">
        <w:lastRenderedPageBreak/>
        <w:t>company acquired R.H. Macy &amp; Co., making it the largest department store retailer in the nation</w:t>
      </w:r>
      <w:r w:rsidR="009D324D">
        <w:t xml:space="preserve"> </w:t>
      </w:r>
      <w:r w:rsidR="009D324D">
        <w:rPr>
          <w:rFonts w:cs="Times New Roman"/>
        </w:rPr>
        <w:t>(Macy’s Inc., 2022)</w:t>
      </w:r>
      <w:r w:rsidR="005B1914">
        <w:t>. Within the same year, Macy’s East, which was headquarte</w:t>
      </w:r>
      <w:r w:rsidR="00E25BDD">
        <w:t>re</w:t>
      </w:r>
      <w:r w:rsidR="005B1914">
        <w:t xml:space="preserve">d in New York City, merged with A&amp;S/Jordan Marsh to form a $4 billion </w:t>
      </w:r>
      <w:r w:rsidR="00E25BDD">
        <w:t xml:space="preserve">retailing division. </w:t>
      </w:r>
      <w:r w:rsidR="009A5FB9">
        <w:t>Growing steadily, i</w:t>
      </w:r>
      <w:r w:rsidR="00E25BDD">
        <w:t>n 1995, the company acquired Broadway Stores Inc., and in 1996 they launched Macys.com, an online shopping website.</w:t>
      </w:r>
      <w:r w:rsidR="009F0179">
        <w:t xml:space="preserve"> Three years later, the company launche</w:t>
      </w:r>
      <w:r w:rsidR="009A5FB9">
        <w:t>d</w:t>
      </w:r>
      <w:r w:rsidR="009F0179">
        <w:t xml:space="preserve"> a new Macy’s by mail catalog and re-launche</w:t>
      </w:r>
      <w:r w:rsidR="00365B15">
        <w:t>d</w:t>
      </w:r>
      <w:r w:rsidR="009F0179">
        <w:t xml:space="preserve"> their shopping website. Macy’s bec</w:t>
      </w:r>
      <w:r w:rsidR="009A5FB9">
        <w:t>ame</w:t>
      </w:r>
      <w:r w:rsidR="009F0179">
        <w:t xml:space="preserve"> a national brand </w:t>
      </w:r>
      <w:r w:rsidR="009A5FB9">
        <w:t xml:space="preserve">in 2006 </w:t>
      </w:r>
      <w:r w:rsidR="009F0179">
        <w:t>as the company change</w:t>
      </w:r>
      <w:r w:rsidR="009A5FB9">
        <w:t>d</w:t>
      </w:r>
      <w:r w:rsidR="009F0179">
        <w:t xml:space="preserve"> the name of its 400 stores</w:t>
      </w:r>
      <w:r w:rsidR="009D324D">
        <w:t xml:space="preserve"> </w:t>
      </w:r>
      <w:r w:rsidR="009D324D">
        <w:rPr>
          <w:rFonts w:cs="Times New Roman"/>
        </w:rPr>
        <w:t>(Macy’s Inc., 2022)</w:t>
      </w:r>
      <w:r w:rsidR="009F0179">
        <w:t xml:space="preserve">. </w:t>
      </w:r>
      <w:r w:rsidR="000007EA">
        <w:t xml:space="preserve">Federated Department Stores, Inc officially changed its name to </w:t>
      </w:r>
      <w:r w:rsidR="009A5FB9">
        <w:t>“</w:t>
      </w:r>
      <w:r w:rsidR="000007EA">
        <w:t>Macy’s Inc.</w:t>
      </w:r>
      <w:r w:rsidR="009A5FB9">
        <w:t>”</w:t>
      </w:r>
      <w:r w:rsidR="000007EA">
        <w:t xml:space="preserve"> in 2007. The following year, Macy’s Inc. celebrated its 150</w:t>
      </w:r>
      <w:r w:rsidR="000007EA" w:rsidRPr="000007EA">
        <w:rPr>
          <w:vertAlign w:val="superscript"/>
        </w:rPr>
        <w:t>th</w:t>
      </w:r>
      <w:r w:rsidR="000007EA">
        <w:t xml:space="preserve"> birthday and expand</w:t>
      </w:r>
      <w:r w:rsidR="009A5FB9">
        <w:t>ed</w:t>
      </w:r>
      <w:r w:rsidR="000007EA">
        <w:t xml:space="preserve"> its global reach in 2011 by offering international shipping on the company’s shopping website.</w:t>
      </w:r>
    </w:p>
    <w:p w14:paraId="1BBD9649" w14:textId="38FB9410" w:rsidR="00595943" w:rsidRDefault="00595943" w:rsidP="00501282">
      <w:pPr>
        <w:ind w:firstLine="720"/>
      </w:pPr>
      <w:r>
        <w:t xml:space="preserve">The company gradually expanded </w:t>
      </w:r>
      <w:r w:rsidR="00112586">
        <w:t xml:space="preserve">for over a century through department store acquisitions and gained the public’s favorability through its community involvement. </w:t>
      </w:r>
      <w:r w:rsidR="0002674D">
        <w:rPr>
          <w:rFonts w:cs="Times New Roman"/>
        </w:rPr>
        <w:t>According to the company’s 2021 financial report, they have recently faced financial difficulties due to a variety of risks related to: the COVID-19 pandemic</w:t>
      </w:r>
      <w:r w:rsidR="00365B15">
        <w:rPr>
          <w:rFonts w:cs="Times New Roman"/>
        </w:rPr>
        <w:t>;</w:t>
      </w:r>
      <w:r w:rsidR="0002674D">
        <w:rPr>
          <w:rFonts w:cs="Times New Roman"/>
        </w:rPr>
        <w:t xml:space="preserve"> strategic, operational and competitive risks</w:t>
      </w:r>
      <w:r w:rsidR="00365B15">
        <w:rPr>
          <w:rFonts w:cs="Times New Roman"/>
        </w:rPr>
        <w:t>;</w:t>
      </w:r>
      <w:r w:rsidR="0002674D">
        <w:rPr>
          <w:rFonts w:cs="Times New Roman"/>
        </w:rPr>
        <w:t xml:space="preserve"> infrastructure</w:t>
      </w:r>
      <w:r w:rsidR="00365B15">
        <w:rPr>
          <w:rFonts w:cs="Times New Roman"/>
        </w:rPr>
        <w:t>;</w:t>
      </w:r>
      <w:r w:rsidR="0002674D">
        <w:rPr>
          <w:rFonts w:cs="Times New Roman"/>
        </w:rPr>
        <w:t xml:space="preserve"> information security</w:t>
      </w:r>
      <w:r w:rsidR="00365B15">
        <w:rPr>
          <w:rFonts w:cs="Times New Roman"/>
        </w:rPr>
        <w:t>,</w:t>
      </w:r>
      <w:r w:rsidR="0002674D">
        <w:rPr>
          <w:rFonts w:cs="Times New Roman"/>
        </w:rPr>
        <w:t xml:space="preserve"> cybersecurity, privacy and data management</w:t>
      </w:r>
      <w:r w:rsidR="00365B15">
        <w:rPr>
          <w:rFonts w:cs="Times New Roman"/>
        </w:rPr>
        <w:t>;</w:t>
      </w:r>
      <w:r w:rsidR="0002674D">
        <w:rPr>
          <w:rFonts w:cs="Times New Roman"/>
        </w:rPr>
        <w:t xml:space="preserve"> supply chain and third-party risks</w:t>
      </w:r>
      <w:r w:rsidR="00365B15">
        <w:rPr>
          <w:rFonts w:cs="Times New Roman"/>
        </w:rPr>
        <w:t>;</w:t>
      </w:r>
      <w:r w:rsidR="0002674D">
        <w:rPr>
          <w:rFonts w:cs="Times New Roman"/>
        </w:rPr>
        <w:t xml:space="preserve"> economic, global, legal and external risks</w:t>
      </w:r>
      <w:r w:rsidR="00365B15">
        <w:rPr>
          <w:rFonts w:cs="Times New Roman"/>
        </w:rPr>
        <w:t>;</w:t>
      </w:r>
      <w:r w:rsidR="0002674D">
        <w:rPr>
          <w:rFonts w:cs="Times New Roman"/>
        </w:rPr>
        <w:t xml:space="preserve"> climate change</w:t>
      </w:r>
      <w:r w:rsidR="00365B15">
        <w:rPr>
          <w:rFonts w:cs="Times New Roman"/>
        </w:rPr>
        <w:t>;</w:t>
      </w:r>
      <w:r w:rsidR="0002674D">
        <w:rPr>
          <w:rFonts w:cs="Times New Roman"/>
        </w:rPr>
        <w:t xml:space="preserve"> and financial risks</w:t>
      </w:r>
      <w:r w:rsidR="00C475D1">
        <w:rPr>
          <w:rFonts w:cs="Times New Roman"/>
        </w:rPr>
        <w:t xml:space="preserve"> </w:t>
      </w:r>
      <w:r w:rsidR="00C475D1">
        <w:rPr>
          <w:rFonts w:cs="Times New Roman"/>
        </w:rPr>
        <w:t>(Macy’s Inc., 2022)</w:t>
      </w:r>
      <w:r w:rsidR="0002674D">
        <w:rPr>
          <w:rFonts w:cs="Times New Roman"/>
        </w:rPr>
        <w:t>.</w:t>
      </w:r>
      <w:r w:rsidR="004947C9">
        <w:rPr>
          <w:rFonts w:cs="Times New Roman"/>
        </w:rPr>
        <w:t xml:space="preserve"> The rest of this report will focus on the effects some of the risks mentioned above had on the company’s performance as well as how it compared to Dillard’s Inc. company performance.</w:t>
      </w:r>
    </w:p>
    <w:p w14:paraId="24F0794B" w14:textId="1CB2D1CB" w:rsidR="00B92531" w:rsidRPr="00B92531" w:rsidRDefault="00482496" w:rsidP="00482496">
      <w:pPr>
        <w:spacing w:line="240" w:lineRule="auto"/>
      </w:pPr>
      <w:r>
        <w:br w:type="page"/>
      </w:r>
    </w:p>
    <w:p w14:paraId="43FE6B7C" w14:textId="5095B678" w:rsidR="00BC15B1" w:rsidRDefault="00E66779" w:rsidP="00122DB2">
      <w:pPr>
        <w:pStyle w:val="Heading1"/>
      </w:pPr>
      <w:bookmarkStart w:id="4" w:name="_Toc111229084"/>
      <w:r>
        <w:lastRenderedPageBreak/>
        <w:t xml:space="preserve">Comparative </w:t>
      </w:r>
      <w:r w:rsidR="00BC15B1">
        <w:t>Ratio Analysis</w:t>
      </w:r>
      <w:bookmarkEnd w:id="4"/>
    </w:p>
    <w:p w14:paraId="07CDEC9A" w14:textId="1D0F7355" w:rsidR="00786C63" w:rsidRDefault="00786C63" w:rsidP="00786C63">
      <w:pPr>
        <w:spacing w:line="240" w:lineRule="auto"/>
        <w:jc w:val="center"/>
        <w:rPr>
          <w:b/>
          <w:sz w:val="20"/>
          <w:szCs w:val="20"/>
        </w:rPr>
      </w:pPr>
      <w:r>
        <w:rPr>
          <w:b/>
          <w:sz w:val="20"/>
          <w:szCs w:val="20"/>
        </w:rPr>
        <w:t>Table 1</w:t>
      </w:r>
    </w:p>
    <w:p w14:paraId="1A85ECC4" w14:textId="2CD267A1" w:rsidR="001D6C0A" w:rsidRDefault="00786C63" w:rsidP="00786C63">
      <w:pPr>
        <w:spacing w:line="240" w:lineRule="auto"/>
        <w:rPr>
          <w:b/>
          <w:sz w:val="20"/>
          <w:szCs w:val="20"/>
        </w:rPr>
      </w:pPr>
      <w:r w:rsidRPr="00786C63">
        <w:rPr>
          <w:b/>
          <w:sz w:val="20"/>
          <w:szCs w:val="20"/>
        </w:rPr>
        <w:t>Liquidity, financial levera</w:t>
      </w:r>
      <w:r w:rsidR="00905703">
        <w:rPr>
          <w:b/>
          <w:sz w:val="20"/>
          <w:szCs w:val="20"/>
        </w:rPr>
        <w:t>g</w:t>
      </w:r>
      <w:r w:rsidRPr="00786C63">
        <w:rPr>
          <w:b/>
          <w:sz w:val="20"/>
          <w:szCs w:val="20"/>
        </w:rPr>
        <w:t xml:space="preserve">e, and asset utilization ratios for </w:t>
      </w:r>
      <w:bookmarkStart w:id="5" w:name="_Hlk85483754"/>
      <w:bookmarkStart w:id="6" w:name="_Hlk108772171"/>
      <w:r w:rsidRPr="00786C63">
        <w:rPr>
          <w:b/>
          <w:sz w:val="20"/>
          <w:szCs w:val="20"/>
        </w:rPr>
        <w:t>Dillard’s Inc. (DDS</w:t>
      </w:r>
      <w:bookmarkEnd w:id="5"/>
      <w:r w:rsidRPr="00786C63">
        <w:rPr>
          <w:b/>
          <w:sz w:val="20"/>
          <w:szCs w:val="20"/>
        </w:rPr>
        <w:t>) and Macy’s Inc. (M)</w:t>
      </w:r>
      <w:bookmarkEnd w:id="6"/>
    </w:p>
    <w:p w14:paraId="2465F4BE" w14:textId="77777777" w:rsidR="00905703" w:rsidRPr="00786C63" w:rsidRDefault="00905703" w:rsidP="00786C63">
      <w:pPr>
        <w:spacing w:line="240" w:lineRule="auto"/>
        <w:rPr>
          <w:sz w:val="20"/>
          <w:szCs w:val="20"/>
        </w:rPr>
      </w:pPr>
    </w:p>
    <w:tbl>
      <w:tblPr>
        <w:tblStyle w:val="TableGrid"/>
        <w:tblW w:w="11088" w:type="dxa"/>
        <w:tblInd w:w="-876" w:type="dxa"/>
        <w:tblLayout w:type="fixed"/>
        <w:tblLook w:val="04A0" w:firstRow="1" w:lastRow="0" w:firstColumn="1" w:lastColumn="0" w:noHBand="0" w:noVBand="1"/>
      </w:tblPr>
      <w:tblGrid>
        <w:gridCol w:w="1008"/>
        <w:gridCol w:w="1008"/>
        <w:gridCol w:w="1008"/>
        <w:gridCol w:w="1008"/>
        <w:gridCol w:w="1008"/>
        <w:gridCol w:w="1008"/>
        <w:gridCol w:w="1008"/>
        <w:gridCol w:w="1008"/>
        <w:gridCol w:w="1008"/>
        <w:gridCol w:w="1008"/>
        <w:gridCol w:w="1008"/>
      </w:tblGrid>
      <w:tr w:rsidR="001D6C0A" w14:paraId="55F4827B" w14:textId="46E5B57A" w:rsidTr="001D6C0A">
        <w:tc>
          <w:tcPr>
            <w:tcW w:w="1008" w:type="dxa"/>
          </w:tcPr>
          <w:p w14:paraId="6BED33F9" w14:textId="77777777" w:rsidR="00905703" w:rsidRDefault="00905703" w:rsidP="001D6C0A">
            <w:pPr>
              <w:spacing w:line="240" w:lineRule="auto"/>
              <w:jc w:val="center"/>
              <w:rPr>
                <w:rFonts w:cs="Times New Roman"/>
                <w:sz w:val="20"/>
                <w:szCs w:val="20"/>
              </w:rPr>
            </w:pPr>
          </w:p>
          <w:p w14:paraId="211282D0" w14:textId="4EF6C4EA" w:rsidR="001D6C0A" w:rsidRPr="001D6C0A" w:rsidRDefault="001D6C0A" w:rsidP="001D6C0A">
            <w:pPr>
              <w:spacing w:line="240" w:lineRule="auto"/>
              <w:jc w:val="center"/>
              <w:rPr>
                <w:rFonts w:cs="Times New Roman"/>
                <w:sz w:val="20"/>
                <w:szCs w:val="20"/>
              </w:rPr>
            </w:pPr>
            <w:r w:rsidRPr="001D6C0A">
              <w:rPr>
                <w:rFonts w:cs="Times New Roman"/>
                <w:sz w:val="20"/>
                <w:szCs w:val="20"/>
              </w:rPr>
              <w:t>Fiscal Year</w:t>
            </w:r>
          </w:p>
        </w:tc>
        <w:tc>
          <w:tcPr>
            <w:tcW w:w="1008" w:type="dxa"/>
          </w:tcPr>
          <w:p w14:paraId="77C9F6D9" w14:textId="77777777" w:rsidR="00905703" w:rsidRDefault="001D6C0A" w:rsidP="00905703">
            <w:pPr>
              <w:spacing w:line="240" w:lineRule="auto"/>
              <w:jc w:val="center"/>
              <w:rPr>
                <w:rFonts w:cs="Times New Roman"/>
                <w:sz w:val="20"/>
                <w:szCs w:val="20"/>
              </w:rPr>
            </w:pPr>
            <w:r>
              <w:rPr>
                <w:rFonts w:cs="Times New Roman"/>
                <w:sz w:val="20"/>
                <w:szCs w:val="20"/>
              </w:rPr>
              <w:t>DDS</w:t>
            </w:r>
          </w:p>
          <w:p w14:paraId="5E312AA5" w14:textId="7D1DB587" w:rsidR="001D6C0A" w:rsidRPr="001D6C0A" w:rsidRDefault="001D6C0A" w:rsidP="00905703">
            <w:pPr>
              <w:spacing w:line="240" w:lineRule="auto"/>
              <w:jc w:val="center"/>
              <w:rPr>
                <w:rFonts w:cs="Times New Roman"/>
                <w:sz w:val="20"/>
                <w:szCs w:val="20"/>
              </w:rPr>
            </w:pPr>
            <w:r>
              <w:rPr>
                <w:rFonts w:cs="Times New Roman"/>
                <w:sz w:val="20"/>
                <w:szCs w:val="20"/>
              </w:rPr>
              <w:t>Quick Ratio (x)</w:t>
            </w:r>
          </w:p>
        </w:tc>
        <w:tc>
          <w:tcPr>
            <w:tcW w:w="1008" w:type="dxa"/>
          </w:tcPr>
          <w:p w14:paraId="56F01BFE" w14:textId="77777777" w:rsidR="00905703" w:rsidRDefault="001D6C0A" w:rsidP="00905703">
            <w:pPr>
              <w:spacing w:line="240" w:lineRule="auto"/>
              <w:jc w:val="center"/>
              <w:rPr>
                <w:rFonts w:cs="Times New Roman"/>
                <w:sz w:val="20"/>
                <w:szCs w:val="20"/>
              </w:rPr>
            </w:pPr>
            <w:r>
              <w:rPr>
                <w:rFonts w:cs="Times New Roman"/>
                <w:sz w:val="20"/>
                <w:szCs w:val="20"/>
              </w:rPr>
              <w:t>M</w:t>
            </w:r>
          </w:p>
          <w:p w14:paraId="1F3DE7EA" w14:textId="6CDC3527" w:rsidR="001D6C0A" w:rsidRPr="001D6C0A" w:rsidRDefault="001D6C0A" w:rsidP="00905703">
            <w:pPr>
              <w:spacing w:line="240" w:lineRule="auto"/>
              <w:jc w:val="center"/>
              <w:rPr>
                <w:rFonts w:cs="Times New Roman"/>
                <w:sz w:val="20"/>
                <w:szCs w:val="20"/>
              </w:rPr>
            </w:pPr>
            <w:r>
              <w:rPr>
                <w:rFonts w:cs="Times New Roman"/>
                <w:sz w:val="20"/>
                <w:szCs w:val="20"/>
              </w:rPr>
              <w:t>Quick Ratio (x)</w:t>
            </w:r>
          </w:p>
        </w:tc>
        <w:tc>
          <w:tcPr>
            <w:tcW w:w="1008" w:type="dxa"/>
          </w:tcPr>
          <w:p w14:paraId="49F8BD55" w14:textId="77777777" w:rsidR="00905703" w:rsidRDefault="00786C63" w:rsidP="00905703">
            <w:pPr>
              <w:spacing w:line="240" w:lineRule="auto"/>
              <w:jc w:val="center"/>
              <w:rPr>
                <w:rFonts w:cs="Times New Roman"/>
                <w:sz w:val="20"/>
                <w:szCs w:val="20"/>
              </w:rPr>
            </w:pPr>
            <w:r>
              <w:rPr>
                <w:rFonts w:cs="Times New Roman"/>
                <w:sz w:val="20"/>
                <w:szCs w:val="20"/>
              </w:rPr>
              <w:t>DDS</w:t>
            </w:r>
          </w:p>
          <w:p w14:paraId="24F6CC09" w14:textId="379AD561" w:rsidR="001D6C0A" w:rsidRPr="001D6C0A" w:rsidRDefault="00786C63" w:rsidP="00905703">
            <w:pPr>
              <w:spacing w:line="240" w:lineRule="auto"/>
              <w:jc w:val="center"/>
              <w:rPr>
                <w:rFonts w:cs="Times New Roman"/>
                <w:sz w:val="20"/>
                <w:szCs w:val="20"/>
              </w:rPr>
            </w:pPr>
            <w:r>
              <w:rPr>
                <w:rFonts w:cs="Times New Roman"/>
                <w:sz w:val="20"/>
                <w:szCs w:val="20"/>
              </w:rPr>
              <w:t>Cash Ratio (x)</w:t>
            </w:r>
          </w:p>
        </w:tc>
        <w:tc>
          <w:tcPr>
            <w:tcW w:w="1008" w:type="dxa"/>
          </w:tcPr>
          <w:p w14:paraId="04E07DBF" w14:textId="77777777" w:rsidR="00905703" w:rsidRDefault="00786C63" w:rsidP="00905703">
            <w:pPr>
              <w:spacing w:line="240" w:lineRule="auto"/>
              <w:jc w:val="center"/>
              <w:rPr>
                <w:rFonts w:cs="Times New Roman"/>
                <w:sz w:val="20"/>
                <w:szCs w:val="20"/>
              </w:rPr>
            </w:pPr>
            <w:r>
              <w:rPr>
                <w:rFonts w:cs="Times New Roman"/>
                <w:sz w:val="20"/>
                <w:szCs w:val="20"/>
              </w:rPr>
              <w:t>M</w:t>
            </w:r>
          </w:p>
          <w:p w14:paraId="2AFE2872" w14:textId="7D140A6A" w:rsidR="001D6C0A" w:rsidRPr="001D6C0A" w:rsidRDefault="00786C63" w:rsidP="00905703">
            <w:pPr>
              <w:spacing w:line="240" w:lineRule="auto"/>
              <w:jc w:val="center"/>
              <w:rPr>
                <w:rFonts w:cs="Times New Roman"/>
                <w:sz w:val="20"/>
                <w:szCs w:val="20"/>
              </w:rPr>
            </w:pPr>
            <w:r>
              <w:rPr>
                <w:rFonts w:cs="Times New Roman"/>
                <w:sz w:val="20"/>
                <w:szCs w:val="20"/>
              </w:rPr>
              <w:t>Cash Ratio (x)</w:t>
            </w:r>
          </w:p>
        </w:tc>
        <w:tc>
          <w:tcPr>
            <w:tcW w:w="1008" w:type="dxa"/>
          </w:tcPr>
          <w:p w14:paraId="6A13B414" w14:textId="77777777" w:rsidR="00905703" w:rsidRDefault="00786C63" w:rsidP="00905703">
            <w:pPr>
              <w:spacing w:line="240" w:lineRule="auto"/>
              <w:jc w:val="center"/>
              <w:rPr>
                <w:rFonts w:cs="Times New Roman"/>
                <w:sz w:val="20"/>
                <w:szCs w:val="20"/>
              </w:rPr>
            </w:pPr>
            <w:r>
              <w:rPr>
                <w:rFonts w:cs="Times New Roman"/>
                <w:sz w:val="20"/>
                <w:szCs w:val="20"/>
              </w:rPr>
              <w:t>DDS</w:t>
            </w:r>
          </w:p>
          <w:p w14:paraId="73627993" w14:textId="6E5265AE" w:rsidR="001D6C0A" w:rsidRPr="001D6C0A" w:rsidRDefault="00786C63" w:rsidP="00905703">
            <w:pPr>
              <w:spacing w:line="240" w:lineRule="auto"/>
              <w:jc w:val="center"/>
              <w:rPr>
                <w:rFonts w:cs="Times New Roman"/>
                <w:sz w:val="20"/>
                <w:szCs w:val="20"/>
              </w:rPr>
            </w:pPr>
            <w:r>
              <w:rPr>
                <w:rFonts w:cs="Times New Roman"/>
                <w:sz w:val="20"/>
                <w:szCs w:val="20"/>
              </w:rPr>
              <w:t>Debt-to-Equity Ratio (x)</w:t>
            </w:r>
          </w:p>
        </w:tc>
        <w:tc>
          <w:tcPr>
            <w:tcW w:w="1008" w:type="dxa"/>
          </w:tcPr>
          <w:p w14:paraId="54AAFF5B" w14:textId="77777777" w:rsidR="00905703" w:rsidRDefault="00786C63" w:rsidP="00905703">
            <w:pPr>
              <w:spacing w:line="240" w:lineRule="auto"/>
              <w:jc w:val="center"/>
              <w:rPr>
                <w:rFonts w:cs="Times New Roman"/>
                <w:sz w:val="20"/>
                <w:szCs w:val="20"/>
              </w:rPr>
            </w:pPr>
            <w:r>
              <w:rPr>
                <w:rFonts w:cs="Times New Roman"/>
                <w:sz w:val="20"/>
                <w:szCs w:val="20"/>
              </w:rPr>
              <w:t>M</w:t>
            </w:r>
          </w:p>
          <w:p w14:paraId="23DEE647" w14:textId="6C7EB9CE" w:rsidR="001D6C0A" w:rsidRPr="001D6C0A" w:rsidRDefault="00786C63" w:rsidP="00905703">
            <w:pPr>
              <w:spacing w:line="240" w:lineRule="auto"/>
              <w:jc w:val="center"/>
              <w:rPr>
                <w:rFonts w:cs="Times New Roman"/>
                <w:sz w:val="20"/>
                <w:szCs w:val="20"/>
              </w:rPr>
            </w:pPr>
            <w:r>
              <w:rPr>
                <w:rFonts w:cs="Times New Roman"/>
                <w:sz w:val="20"/>
                <w:szCs w:val="20"/>
              </w:rPr>
              <w:t>Debt-to-Equity Ratio (x)</w:t>
            </w:r>
          </w:p>
        </w:tc>
        <w:tc>
          <w:tcPr>
            <w:tcW w:w="1008" w:type="dxa"/>
          </w:tcPr>
          <w:p w14:paraId="016A61BA" w14:textId="77777777" w:rsidR="00905703" w:rsidRDefault="00786C63" w:rsidP="00905703">
            <w:pPr>
              <w:spacing w:line="240" w:lineRule="auto"/>
              <w:jc w:val="center"/>
              <w:rPr>
                <w:rFonts w:cs="Times New Roman"/>
                <w:sz w:val="20"/>
                <w:szCs w:val="20"/>
              </w:rPr>
            </w:pPr>
            <w:r>
              <w:rPr>
                <w:rFonts w:cs="Times New Roman"/>
                <w:sz w:val="20"/>
                <w:szCs w:val="20"/>
              </w:rPr>
              <w:t>DDS</w:t>
            </w:r>
          </w:p>
          <w:p w14:paraId="3934FE98" w14:textId="5F8160C5" w:rsidR="001D6C0A" w:rsidRPr="001D6C0A" w:rsidRDefault="00786C63" w:rsidP="00905703">
            <w:pPr>
              <w:spacing w:line="240" w:lineRule="auto"/>
              <w:jc w:val="center"/>
              <w:rPr>
                <w:rFonts w:cs="Times New Roman"/>
                <w:sz w:val="20"/>
                <w:szCs w:val="20"/>
              </w:rPr>
            </w:pPr>
            <w:r>
              <w:rPr>
                <w:rFonts w:cs="Times New Roman"/>
                <w:sz w:val="20"/>
                <w:szCs w:val="20"/>
              </w:rPr>
              <w:t>Days in Receivables (days)</w:t>
            </w:r>
          </w:p>
        </w:tc>
        <w:tc>
          <w:tcPr>
            <w:tcW w:w="1008" w:type="dxa"/>
          </w:tcPr>
          <w:p w14:paraId="680940F6" w14:textId="77777777" w:rsidR="00905703" w:rsidRDefault="00786C63" w:rsidP="00905703">
            <w:pPr>
              <w:spacing w:line="240" w:lineRule="auto"/>
              <w:jc w:val="center"/>
              <w:rPr>
                <w:rFonts w:cs="Times New Roman"/>
                <w:sz w:val="20"/>
                <w:szCs w:val="20"/>
              </w:rPr>
            </w:pPr>
            <w:r>
              <w:rPr>
                <w:rFonts w:cs="Times New Roman"/>
                <w:sz w:val="20"/>
                <w:szCs w:val="20"/>
              </w:rPr>
              <w:t>M</w:t>
            </w:r>
          </w:p>
          <w:p w14:paraId="4117EE07" w14:textId="03A18F75" w:rsidR="001D6C0A" w:rsidRPr="001D6C0A" w:rsidRDefault="00786C63" w:rsidP="00905703">
            <w:pPr>
              <w:spacing w:line="240" w:lineRule="auto"/>
              <w:jc w:val="center"/>
              <w:rPr>
                <w:rFonts w:cs="Times New Roman"/>
                <w:sz w:val="20"/>
                <w:szCs w:val="20"/>
              </w:rPr>
            </w:pPr>
            <w:r>
              <w:rPr>
                <w:rFonts w:cs="Times New Roman"/>
                <w:sz w:val="20"/>
                <w:szCs w:val="20"/>
              </w:rPr>
              <w:t>Days in Receivables (days)</w:t>
            </w:r>
          </w:p>
        </w:tc>
        <w:tc>
          <w:tcPr>
            <w:tcW w:w="1008" w:type="dxa"/>
          </w:tcPr>
          <w:p w14:paraId="2FD8D045" w14:textId="77777777" w:rsidR="00905703" w:rsidRDefault="00905703" w:rsidP="00905703">
            <w:pPr>
              <w:spacing w:line="240" w:lineRule="auto"/>
              <w:jc w:val="center"/>
              <w:rPr>
                <w:rFonts w:cs="Times New Roman"/>
                <w:sz w:val="20"/>
                <w:szCs w:val="20"/>
              </w:rPr>
            </w:pPr>
          </w:p>
          <w:p w14:paraId="1F7B6F2B" w14:textId="77777777" w:rsidR="00905703" w:rsidRDefault="00786C63" w:rsidP="00905703">
            <w:pPr>
              <w:spacing w:line="240" w:lineRule="auto"/>
              <w:jc w:val="center"/>
              <w:rPr>
                <w:rFonts w:cs="Times New Roman"/>
                <w:sz w:val="20"/>
                <w:szCs w:val="20"/>
              </w:rPr>
            </w:pPr>
            <w:r>
              <w:rPr>
                <w:rFonts w:cs="Times New Roman"/>
                <w:sz w:val="20"/>
                <w:szCs w:val="20"/>
              </w:rPr>
              <w:t>DDS</w:t>
            </w:r>
          </w:p>
          <w:p w14:paraId="4E135018" w14:textId="230204B6" w:rsidR="001D6C0A" w:rsidRPr="001D6C0A" w:rsidRDefault="00786C63" w:rsidP="00905703">
            <w:pPr>
              <w:spacing w:line="240" w:lineRule="auto"/>
              <w:jc w:val="center"/>
              <w:rPr>
                <w:rFonts w:cs="Times New Roman"/>
                <w:sz w:val="20"/>
                <w:szCs w:val="20"/>
              </w:rPr>
            </w:pPr>
            <w:r>
              <w:rPr>
                <w:rFonts w:cs="Times New Roman"/>
                <w:sz w:val="20"/>
                <w:szCs w:val="20"/>
              </w:rPr>
              <w:t>ROA (%)</w:t>
            </w:r>
          </w:p>
        </w:tc>
        <w:tc>
          <w:tcPr>
            <w:tcW w:w="1008" w:type="dxa"/>
          </w:tcPr>
          <w:p w14:paraId="3470AE02" w14:textId="77777777" w:rsidR="00905703" w:rsidRDefault="00905703" w:rsidP="00905703">
            <w:pPr>
              <w:spacing w:line="240" w:lineRule="auto"/>
              <w:jc w:val="center"/>
              <w:rPr>
                <w:rFonts w:cs="Times New Roman"/>
                <w:sz w:val="20"/>
                <w:szCs w:val="20"/>
              </w:rPr>
            </w:pPr>
          </w:p>
          <w:p w14:paraId="1ABFB3D4" w14:textId="77777777" w:rsidR="00905703" w:rsidRDefault="00786C63" w:rsidP="00905703">
            <w:pPr>
              <w:spacing w:line="240" w:lineRule="auto"/>
              <w:jc w:val="center"/>
              <w:rPr>
                <w:rFonts w:cs="Times New Roman"/>
                <w:sz w:val="20"/>
                <w:szCs w:val="20"/>
              </w:rPr>
            </w:pPr>
            <w:r>
              <w:rPr>
                <w:rFonts w:cs="Times New Roman"/>
                <w:sz w:val="20"/>
                <w:szCs w:val="20"/>
              </w:rPr>
              <w:t>M</w:t>
            </w:r>
          </w:p>
          <w:p w14:paraId="756FD12C" w14:textId="75D580EB" w:rsidR="001D6C0A" w:rsidRPr="001D6C0A" w:rsidRDefault="00786C63" w:rsidP="00905703">
            <w:pPr>
              <w:spacing w:line="240" w:lineRule="auto"/>
              <w:jc w:val="center"/>
              <w:rPr>
                <w:rFonts w:cs="Times New Roman"/>
                <w:sz w:val="20"/>
                <w:szCs w:val="20"/>
              </w:rPr>
            </w:pPr>
            <w:r>
              <w:rPr>
                <w:rFonts w:cs="Times New Roman"/>
                <w:sz w:val="20"/>
                <w:szCs w:val="20"/>
              </w:rPr>
              <w:t>ROA (%)</w:t>
            </w:r>
          </w:p>
        </w:tc>
      </w:tr>
      <w:tr w:rsidR="00784AB4" w14:paraId="2DE9CDB4" w14:textId="5DB88C9A" w:rsidTr="0002641F">
        <w:tc>
          <w:tcPr>
            <w:tcW w:w="1008" w:type="dxa"/>
          </w:tcPr>
          <w:p w14:paraId="203E99C1" w14:textId="610E987C" w:rsidR="00784AB4" w:rsidRPr="001D6C0A" w:rsidRDefault="00784AB4" w:rsidP="00784AB4">
            <w:pPr>
              <w:spacing w:line="240" w:lineRule="auto"/>
              <w:jc w:val="center"/>
              <w:rPr>
                <w:rFonts w:cs="Times New Roman"/>
                <w:sz w:val="20"/>
                <w:szCs w:val="20"/>
              </w:rPr>
            </w:pPr>
            <w:r>
              <w:rPr>
                <w:rFonts w:cs="Times New Roman"/>
                <w:sz w:val="20"/>
                <w:szCs w:val="20"/>
              </w:rPr>
              <w:t>2016</w:t>
            </w:r>
          </w:p>
        </w:tc>
        <w:tc>
          <w:tcPr>
            <w:tcW w:w="1008" w:type="dxa"/>
            <w:vAlign w:val="bottom"/>
          </w:tcPr>
          <w:p w14:paraId="1C9D3843" w14:textId="3FF9631B"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0.40</w:t>
            </w:r>
          </w:p>
        </w:tc>
        <w:tc>
          <w:tcPr>
            <w:tcW w:w="1008" w:type="dxa"/>
            <w:vAlign w:val="bottom"/>
          </w:tcPr>
          <w:p w14:paraId="56843030" w14:textId="5D5BCA37"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0.33</w:t>
            </w:r>
          </w:p>
        </w:tc>
        <w:tc>
          <w:tcPr>
            <w:tcW w:w="1008" w:type="dxa"/>
            <w:vAlign w:val="bottom"/>
          </w:tcPr>
          <w:p w14:paraId="28399714" w14:textId="25697DCB"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0.36</w:t>
            </w:r>
          </w:p>
        </w:tc>
        <w:tc>
          <w:tcPr>
            <w:tcW w:w="1008" w:type="dxa"/>
            <w:vAlign w:val="bottom"/>
          </w:tcPr>
          <w:p w14:paraId="4465947C" w14:textId="5B0B981B"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0.23</w:t>
            </w:r>
          </w:p>
        </w:tc>
        <w:tc>
          <w:tcPr>
            <w:tcW w:w="1008" w:type="dxa"/>
            <w:vAlign w:val="bottom"/>
          </w:tcPr>
          <w:p w14:paraId="07FE380F" w14:textId="66D728F6"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1.26</w:t>
            </w:r>
          </w:p>
        </w:tc>
        <w:tc>
          <w:tcPr>
            <w:tcW w:w="1008" w:type="dxa"/>
            <w:vAlign w:val="bottom"/>
          </w:tcPr>
          <w:p w14:paraId="3EB95737" w14:textId="674B4772"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3.59</w:t>
            </w:r>
          </w:p>
        </w:tc>
        <w:tc>
          <w:tcPr>
            <w:tcW w:w="1008" w:type="dxa"/>
            <w:vAlign w:val="bottom"/>
          </w:tcPr>
          <w:p w14:paraId="6753A28F" w14:textId="4E00D7B3"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2.74</w:t>
            </w:r>
          </w:p>
        </w:tc>
        <w:tc>
          <w:tcPr>
            <w:tcW w:w="1008" w:type="dxa"/>
            <w:vAlign w:val="bottom"/>
          </w:tcPr>
          <w:p w14:paraId="0E903007" w14:textId="115FCE77"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7.39</w:t>
            </w:r>
          </w:p>
        </w:tc>
        <w:tc>
          <w:tcPr>
            <w:tcW w:w="1008" w:type="dxa"/>
            <w:vAlign w:val="bottom"/>
          </w:tcPr>
          <w:p w14:paraId="4C8F3B7B" w14:textId="238055F1"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0.04</w:t>
            </w:r>
          </w:p>
        </w:tc>
        <w:tc>
          <w:tcPr>
            <w:tcW w:w="1008" w:type="dxa"/>
            <w:vAlign w:val="bottom"/>
          </w:tcPr>
          <w:p w14:paraId="0BF6E776" w14:textId="0D6DC68F"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0.03</w:t>
            </w:r>
          </w:p>
        </w:tc>
      </w:tr>
      <w:tr w:rsidR="00784AB4" w14:paraId="28CA3BC3" w14:textId="1A1A427B" w:rsidTr="0002641F">
        <w:tc>
          <w:tcPr>
            <w:tcW w:w="1008" w:type="dxa"/>
          </w:tcPr>
          <w:p w14:paraId="7D853B11" w14:textId="11AC4F38" w:rsidR="00784AB4" w:rsidRPr="001D6C0A" w:rsidRDefault="00784AB4" w:rsidP="00784AB4">
            <w:pPr>
              <w:spacing w:line="240" w:lineRule="auto"/>
              <w:jc w:val="center"/>
              <w:rPr>
                <w:rFonts w:cs="Times New Roman"/>
                <w:sz w:val="20"/>
                <w:szCs w:val="20"/>
              </w:rPr>
            </w:pPr>
            <w:r>
              <w:rPr>
                <w:rFonts w:cs="Times New Roman"/>
                <w:sz w:val="20"/>
                <w:szCs w:val="20"/>
              </w:rPr>
              <w:t>2017</w:t>
            </w:r>
          </w:p>
        </w:tc>
        <w:tc>
          <w:tcPr>
            <w:tcW w:w="1008" w:type="dxa"/>
            <w:vAlign w:val="bottom"/>
          </w:tcPr>
          <w:p w14:paraId="7B3802B8" w14:textId="476724C8"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0.22</w:t>
            </w:r>
          </w:p>
        </w:tc>
        <w:tc>
          <w:tcPr>
            <w:tcW w:w="1008" w:type="dxa"/>
            <w:vAlign w:val="bottom"/>
          </w:tcPr>
          <w:p w14:paraId="2ECD3D50" w14:textId="5AFAD569"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0.37</w:t>
            </w:r>
          </w:p>
        </w:tc>
        <w:tc>
          <w:tcPr>
            <w:tcW w:w="1008" w:type="dxa"/>
            <w:vAlign w:val="bottom"/>
          </w:tcPr>
          <w:p w14:paraId="12B5F245" w14:textId="63DA054B"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0.18</w:t>
            </w:r>
          </w:p>
        </w:tc>
        <w:tc>
          <w:tcPr>
            <w:tcW w:w="1008" w:type="dxa"/>
            <w:vAlign w:val="bottom"/>
          </w:tcPr>
          <w:p w14:paraId="691BEA20" w14:textId="3E09FA85"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0.29</w:t>
            </w:r>
          </w:p>
        </w:tc>
        <w:tc>
          <w:tcPr>
            <w:tcW w:w="1008" w:type="dxa"/>
            <w:vAlign w:val="bottom"/>
          </w:tcPr>
          <w:p w14:paraId="6EF1BC24" w14:textId="1FDC85DA"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1.15</w:t>
            </w:r>
          </w:p>
        </w:tc>
        <w:tc>
          <w:tcPr>
            <w:tcW w:w="1008" w:type="dxa"/>
            <w:vAlign w:val="bottom"/>
          </w:tcPr>
          <w:p w14:paraId="4ACBAE35" w14:textId="6A07C540"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2.42</w:t>
            </w:r>
          </w:p>
        </w:tc>
        <w:tc>
          <w:tcPr>
            <w:tcW w:w="1008" w:type="dxa"/>
            <w:vAlign w:val="bottom"/>
          </w:tcPr>
          <w:p w14:paraId="02E70E49" w14:textId="472705E9"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2.25</w:t>
            </w:r>
          </w:p>
        </w:tc>
        <w:tc>
          <w:tcPr>
            <w:tcW w:w="1008" w:type="dxa"/>
            <w:vAlign w:val="bottom"/>
          </w:tcPr>
          <w:p w14:paraId="751BB0A0" w14:textId="3F1A976F"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5.33</w:t>
            </w:r>
          </w:p>
        </w:tc>
        <w:tc>
          <w:tcPr>
            <w:tcW w:w="1008" w:type="dxa"/>
            <w:vAlign w:val="bottom"/>
          </w:tcPr>
          <w:p w14:paraId="4253ED7A" w14:textId="7A30445A"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0.06</w:t>
            </w:r>
          </w:p>
        </w:tc>
        <w:tc>
          <w:tcPr>
            <w:tcW w:w="1008" w:type="dxa"/>
            <w:vAlign w:val="bottom"/>
          </w:tcPr>
          <w:p w14:paraId="7C752D64" w14:textId="28BB3864"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0.08</w:t>
            </w:r>
          </w:p>
        </w:tc>
      </w:tr>
      <w:tr w:rsidR="00784AB4" w14:paraId="4873FA5A" w14:textId="365B44D3" w:rsidTr="0002641F">
        <w:tc>
          <w:tcPr>
            <w:tcW w:w="1008" w:type="dxa"/>
          </w:tcPr>
          <w:p w14:paraId="71636487" w14:textId="0507434A" w:rsidR="00784AB4" w:rsidRPr="001D6C0A" w:rsidRDefault="00784AB4" w:rsidP="00784AB4">
            <w:pPr>
              <w:spacing w:line="240" w:lineRule="auto"/>
              <w:jc w:val="center"/>
              <w:rPr>
                <w:rFonts w:cs="Times New Roman"/>
                <w:sz w:val="20"/>
                <w:szCs w:val="20"/>
              </w:rPr>
            </w:pPr>
            <w:r>
              <w:rPr>
                <w:rFonts w:cs="Times New Roman"/>
                <w:sz w:val="20"/>
                <w:szCs w:val="20"/>
              </w:rPr>
              <w:t>2018</w:t>
            </w:r>
          </w:p>
        </w:tc>
        <w:tc>
          <w:tcPr>
            <w:tcW w:w="1008" w:type="dxa"/>
            <w:vAlign w:val="bottom"/>
          </w:tcPr>
          <w:p w14:paraId="0D149432" w14:textId="316F2C5F"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0.19</w:t>
            </w:r>
          </w:p>
        </w:tc>
        <w:tc>
          <w:tcPr>
            <w:tcW w:w="1008" w:type="dxa"/>
            <w:vAlign w:val="bottom"/>
          </w:tcPr>
          <w:p w14:paraId="6985ED19" w14:textId="1105FC66"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0.31</w:t>
            </w:r>
          </w:p>
        </w:tc>
        <w:tc>
          <w:tcPr>
            <w:tcW w:w="1008" w:type="dxa"/>
            <w:vAlign w:val="bottom"/>
          </w:tcPr>
          <w:p w14:paraId="51E5B4FE" w14:textId="2DB09E43"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0.13</w:t>
            </w:r>
          </w:p>
        </w:tc>
        <w:tc>
          <w:tcPr>
            <w:tcW w:w="1008" w:type="dxa"/>
            <w:vAlign w:val="bottom"/>
          </w:tcPr>
          <w:p w14:paraId="745D571A" w14:textId="6BB43592"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0.22</w:t>
            </w:r>
          </w:p>
        </w:tc>
        <w:tc>
          <w:tcPr>
            <w:tcW w:w="1008" w:type="dxa"/>
            <w:vAlign w:val="bottom"/>
          </w:tcPr>
          <w:p w14:paraId="3BE370B0" w14:textId="7B781BF2"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1.04</w:t>
            </w:r>
          </w:p>
        </w:tc>
        <w:tc>
          <w:tcPr>
            <w:tcW w:w="1008" w:type="dxa"/>
            <w:vAlign w:val="bottom"/>
          </w:tcPr>
          <w:p w14:paraId="1F66EDAD" w14:textId="49D50122"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1.98</w:t>
            </w:r>
          </w:p>
        </w:tc>
        <w:tc>
          <w:tcPr>
            <w:tcW w:w="1008" w:type="dxa"/>
            <w:vAlign w:val="bottom"/>
          </w:tcPr>
          <w:p w14:paraId="4AB8C23D" w14:textId="0B9956B0"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2.86</w:t>
            </w:r>
          </w:p>
        </w:tc>
        <w:tc>
          <w:tcPr>
            <w:tcW w:w="1008" w:type="dxa"/>
            <w:vAlign w:val="bottom"/>
          </w:tcPr>
          <w:p w14:paraId="2D008770" w14:textId="149F4F8B"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5.67</w:t>
            </w:r>
          </w:p>
        </w:tc>
        <w:tc>
          <w:tcPr>
            <w:tcW w:w="1008" w:type="dxa"/>
            <w:vAlign w:val="bottom"/>
          </w:tcPr>
          <w:p w14:paraId="08588F09" w14:textId="3EBB446A"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0.05</w:t>
            </w:r>
          </w:p>
        </w:tc>
        <w:tc>
          <w:tcPr>
            <w:tcW w:w="1008" w:type="dxa"/>
            <w:vAlign w:val="bottom"/>
          </w:tcPr>
          <w:p w14:paraId="666C10EA" w14:textId="313C63D6"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0.06</w:t>
            </w:r>
          </w:p>
        </w:tc>
      </w:tr>
      <w:tr w:rsidR="00784AB4" w14:paraId="11019202" w14:textId="5AD1DF09" w:rsidTr="0002641F">
        <w:tc>
          <w:tcPr>
            <w:tcW w:w="1008" w:type="dxa"/>
          </w:tcPr>
          <w:p w14:paraId="24581D5F" w14:textId="342F7AC6" w:rsidR="00784AB4" w:rsidRPr="001D6C0A" w:rsidRDefault="00784AB4" w:rsidP="00784AB4">
            <w:pPr>
              <w:spacing w:line="240" w:lineRule="auto"/>
              <w:jc w:val="center"/>
              <w:rPr>
                <w:rFonts w:cs="Times New Roman"/>
                <w:sz w:val="20"/>
                <w:szCs w:val="20"/>
              </w:rPr>
            </w:pPr>
            <w:r>
              <w:rPr>
                <w:rFonts w:cs="Times New Roman"/>
                <w:sz w:val="20"/>
                <w:szCs w:val="20"/>
              </w:rPr>
              <w:t>2019</w:t>
            </w:r>
          </w:p>
        </w:tc>
        <w:tc>
          <w:tcPr>
            <w:tcW w:w="1008" w:type="dxa"/>
            <w:vAlign w:val="bottom"/>
          </w:tcPr>
          <w:p w14:paraId="636B94B6" w14:textId="74CECD99"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0.35</w:t>
            </w:r>
          </w:p>
        </w:tc>
        <w:tc>
          <w:tcPr>
            <w:tcW w:w="1008" w:type="dxa"/>
            <w:vAlign w:val="bottom"/>
          </w:tcPr>
          <w:p w14:paraId="3134E3BC" w14:textId="3CB26403"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0.20</w:t>
            </w:r>
          </w:p>
        </w:tc>
        <w:tc>
          <w:tcPr>
            <w:tcW w:w="1008" w:type="dxa"/>
            <w:vAlign w:val="bottom"/>
          </w:tcPr>
          <w:p w14:paraId="55116010" w14:textId="22B3A3A1"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0.30</w:t>
            </w:r>
          </w:p>
        </w:tc>
        <w:tc>
          <w:tcPr>
            <w:tcW w:w="1008" w:type="dxa"/>
            <w:vAlign w:val="bottom"/>
          </w:tcPr>
          <w:p w14:paraId="169F2B91" w14:textId="6099177A"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0.12</w:t>
            </w:r>
          </w:p>
        </w:tc>
        <w:tc>
          <w:tcPr>
            <w:tcW w:w="1008" w:type="dxa"/>
            <w:vAlign w:val="bottom"/>
          </w:tcPr>
          <w:p w14:paraId="735726C6" w14:textId="6C2681CD"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1.11</w:t>
            </w:r>
          </w:p>
        </w:tc>
        <w:tc>
          <w:tcPr>
            <w:tcW w:w="1008" w:type="dxa"/>
            <w:vAlign w:val="bottom"/>
          </w:tcPr>
          <w:p w14:paraId="7177769C" w14:textId="1C4E978D"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2.32</w:t>
            </w:r>
          </w:p>
        </w:tc>
        <w:tc>
          <w:tcPr>
            <w:tcW w:w="1008" w:type="dxa"/>
            <w:vAlign w:val="bottom"/>
          </w:tcPr>
          <w:p w14:paraId="0F0E221B" w14:textId="0E18BC4A"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2.78</w:t>
            </w:r>
          </w:p>
        </w:tc>
        <w:tc>
          <w:tcPr>
            <w:tcW w:w="1008" w:type="dxa"/>
            <w:vAlign w:val="bottom"/>
          </w:tcPr>
          <w:p w14:paraId="2C3F1AC9" w14:textId="65FC21F8"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5.89</w:t>
            </w:r>
          </w:p>
        </w:tc>
        <w:tc>
          <w:tcPr>
            <w:tcW w:w="1008" w:type="dxa"/>
            <w:vAlign w:val="bottom"/>
          </w:tcPr>
          <w:p w14:paraId="0BF3549C" w14:textId="14B0250D"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0.03</w:t>
            </w:r>
          </w:p>
        </w:tc>
        <w:tc>
          <w:tcPr>
            <w:tcW w:w="1008" w:type="dxa"/>
            <w:vAlign w:val="bottom"/>
          </w:tcPr>
          <w:p w14:paraId="40664A0A" w14:textId="448A2429"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0.03</w:t>
            </w:r>
          </w:p>
        </w:tc>
      </w:tr>
      <w:tr w:rsidR="00784AB4" w14:paraId="28F1B6D4" w14:textId="2F333F72" w:rsidTr="0002641F">
        <w:tc>
          <w:tcPr>
            <w:tcW w:w="1008" w:type="dxa"/>
          </w:tcPr>
          <w:p w14:paraId="044B0616" w14:textId="1898B38E" w:rsidR="00784AB4" w:rsidRPr="001D6C0A" w:rsidRDefault="00784AB4" w:rsidP="00784AB4">
            <w:pPr>
              <w:spacing w:line="240" w:lineRule="auto"/>
              <w:jc w:val="center"/>
              <w:rPr>
                <w:rFonts w:cs="Times New Roman"/>
                <w:sz w:val="20"/>
                <w:szCs w:val="20"/>
              </w:rPr>
            </w:pPr>
            <w:r>
              <w:rPr>
                <w:rFonts w:cs="Times New Roman"/>
                <w:sz w:val="20"/>
                <w:szCs w:val="20"/>
              </w:rPr>
              <w:t>2020</w:t>
            </w:r>
          </w:p>
        </w:tc>
        <w:tc>
          <w:tcPr>
            <w:tcW w:w="1008" w:type="dxa"/>
            <w:vAlign w:val="bottom"/>
          </w:tcPr>
          <w:p w14:paraId="4D3525AD" w14:textId="029A1AD4"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0.67</w:t>
            </w:r>
          </w:p>
        </w:tc>
        <w:tc>
          <w:tcPr>
            <w:tcW w:w="1008" w:type="dxa"/>
            <w:vAlign w:val="bottom"/>
          </w:tcPr>
          <w:p w14:paraId="0AF333B8" w14:textId="6D03FA00"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0.37</w:t>
            </w:r>
          </w:p>
        </w:tc>
        <w:tc>
          <w:tcPr>
            <w:tcW w:w="1008" w:type="dxa"/>
            <w:vAlign w:val="bottom"/>
          </w:tcPr>
          <w:p w14:paraId="2F13D377" w14:textId="4C9ABAAD"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0.47</w:t>
            </w:r>
          </w:p>
        </w:tc>
        <w:tc>
          <w:tcPr>
            <w:tcW w:w="1008" w:type="dxa"/>
            <w:vAlign w:val="bottom"/>
          </w:tcPr>
          <w:p w14:paraId="26A449DC" w14:textId="66F8662C"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0.31</w:t>
            </w:r>
          </w:p>
        </w:tc>
        <w:tc>
          <w:tcPr>
            <w:tcW w:w="1008" w:type="dxa"/>
            <w:vAlign w:val="bottom"/>
          </w:tcPr>
          <w:p w14:paraId="07B2374B" w14:textId="62749254"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1.15</w:t>
            </w:r>
          </w:p>
        </w:tc>
        <w:tc>
          <w:tcPr>
            <w:tcW w:w="1008" w:type="dxa"/>
            <w:vAlign w:val="bottom"/>
          </w:tcPr>
          <w:p w14:paraId="5AFFFED4" w14:textId="2D1E9362"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5.94</w:t>
            </w:r>
          </w:p>
        </w:tc>
        <w:tc>
          <w:tcPr>
            <w:tcW w:w="1008" w:type="dxa"/>
            <w:vAlign w:val="bottom"/>
          </w:tcPr>
          <w:p w14:paraId="29DFE8E7" w14:textId="0908DB8A"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12.81</w:t>
            </w:r>
          </w:p>
        </w:tc>
        <w:tc>
          <w:tcPr>
            <w:tcW w:w="1008" w:type="dxa"/>
            <w:vAlign w:val="bottom"/>
          </w:tcPr>
          <w:p w14:paraId="0DF6B040" w14:textId="33DAF4CE"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5.57</w:t>
            </w:r>
          </w:p>
        </w:tc>
        <w:tc>
          <w:tcPr>
            <w:tcW w:w="1008" w:type="dxa"/>
            <w:vAlign w:val="bottom"/>
          </w:tcPr>
          <w:p w14:paraId="4BD441EB" w14:textId="71EE5B19"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-0.02</w:t>
            </w:r>
          </w:p>
        </w:tc>
        <w:tc>
          <w:tcPr>
            <w:tcW w:w="1008" w:type="dxa"/>
            <w:vAlign w:val="bottom"/>
          </w:tcPr>
          <w:p w14:paraId="5C15BBC6" w14:textId="6029CD3C"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-0.22</w:t>
            </w:r>
          </w:p>
        </w:tc>
      </w:tr>
      <w:tr w:rsidR="00784AB4" w14:paraId="67979790" w14:textId="48D18015" w:rsidTr="00784AB4">
        <w:tc>
          <w:tcPr>
            <w:tcW w:w="1008" w:type="dxa"/>
          </w:tcPr>
          <w:p w14:paraId="5BFFB06A" w14:textId="75EBB42D" w:rsidR="00784AB4" w:rsidRPr="001D6C0A" w:rsidRDefault="00784AB4" w:rsidP="00784AB4">
            <w:pPr>
              <w:spacing w:line="240" w:lineRule="auto"/>
              <w:jc w:val="center"/>
              <w:rPr>
                <w:rFonts w:cs="Times New Roman"/>
                <w:sz w:val="20"/>
                <w:szCs w:val="20"/>
              </w:rPr>
            </w:pPr>
            <w:r>
              <w:rPr>
                <w:rFonts w:cs="Times New Roman"/>
                <w:sz w:val="20"/>
                <w:szCs w:val="20"/>
              </w:rPr>
              <w:t>2021</w:t>
            </w:r>
          </w:p>
        </w:tc>
        <w:tc>
          <w:tcPr>
            <w:tcW w:w="1008" w:type="dxa"/>
            <w:vAlign w:val="bottom"/>
          </w:tcPr>
          <w:p w14:paraId="7B1FC4B2" w14:textId="3EB35A14"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0.79</w:t>
            </w:r>
          </w:p>
        </w:tc>
        <w:tc>
          <w:tcPr>
            <w:tcW w:w="1008" w:type="dxa"/>
            <w:vAlign w:val="bottom"/>
          </w:tcPr>
          <w:p w14:paraId="0CC9D9FA" w14:textId="01937E99"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0.37</w:t>
            </w:r>
          </w:p>
        </w:tc>
        <w:tc>
          <w:tcPr>
            <w:tcW w:w="1008" w:type="dxa"/>
            <w:vAlign w:val="bottom"/>
          </w:tcPr>
          <w:p w14:paraId="36BC024B" w14:textId="126C5215"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0.74</w:t>
            </w:r>
          </w:p>
        </w:tc>
        <w:tc>
          <w:tcPr>
            <w:tcW w:w="1008" w:type="dxa"/>
            <w:shd w:val="clear" w:color="auto" w:fill="FFFF00"/>
            <w:vAlign w:val="bottom"/>
          </w:tcPr>
          <w:p w14:paraId="65B0D31B" w14:textId="6095A055"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NA</w:t>
            </w:r>
          </w:p>
        </w:tc>
        <w:tc>
          <w:tcPr>
            <w:tcW w:w="1008" w:type="dxa"/>
            <w:vAlign w:val="bottom"/>
          </w:tcPr>
          <w:p w14:paraId="4B9FA72C" w14:textId="6734C4C4"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1.24</w:t>
            </w:r>
          </w:p>
        </w:tc>
        <w:tc>
          <w:tcPr>
            <w:tcW w:w="1008" w:type="dxa"/>
            <w:vAlign w:val="bottom"/>
          </w:tcPr>
          <w:p w14:paraId="46DD2032" w14:textId="6E6D7A4D"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3.86</w:t>
            </w:r>
          </w:p>
        </w:tc>
        <w:tc>
          <w:tcPr>
            <w:tcW w:w="1008" w:type="dxa"/>
            <w:vAlign w:val="bottom"/>
          </w:tcPr>
          <w:p w14:paraId="2C28F682" w14:textId="78F9D9C6"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2.35</w:t>
            </w:r>
          </w:p>
        </w:tc>
        <w:tc>
          <w:tcPr>
            <w:tcW w:w="1008" w:type="dxa"/>
            <w:vAlign w:val="bottom"/>
          </w:tcPr>
          <w:p w14:paraId="3A85929F" w14:textId="2424803C"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4.29</w:t>
            </w:r>
          </w:p>
        </w:tc>
        <w:tc>
          <w:tcPr>
            <w:tcW w:w="1008" w:type="dxa"/>
            <w:vAlign w:val="bottom"/>
          </w:tcPr>
          <w:p w14:paraId="3156BCD9" w14:textId="275848A7"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0.27</w:t>
            </w:r>
          </w:p>
        </w:tc>
        <w:tc>
          <w:tcPr>
            <w:tcW w:w="1008" w:type="dxa"/>
            <w:vAlign w:val="bottom"/>
          </w:tcPr>
          <w:p w14:paraId="282B87B6" w14:textId="00E7F3C2"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0.08</w:t>
            </w:r>
          </w:p>
        </w:tc>
      </w:tr>
    </w:tbl>
    <w:p w14:paraId="789A7D14" w14:textId="1EDE693A" w:rsidR="00DC451B" w:rsidRDefault="00DC451B" w:rsidP="00DC451B"/>
    <w:p w14:paraId="25E22E48" w14:textId="77777777" w:rsidR="004E47E2" w:rsidRPr="004E47E2" w:rsidRDefault="004E47E2" w:rsidP="004E47E2">
      <w:pPr>
        <w:spacing w:line="240" w:lineRule="auto"/>
        <w:jc w:val="center"/>
        <w:rPr>
          <w:b/>
          <w:sz w:val="20"/>
          <w:szCs w:val="20"/>
        </w:rPr>
      </w:pPr>
      <w:r w:rsidRPr="004E47E2">
        <w:rPr>
          <w:b/>
          <w:sz w:val="20"/>
          <w:szCs w:val="20"/>
        </w:rPr>
        <w:t>Table 2</w:t>
      </w:r>
    </w:p>
    <w:p w14:paraId="71164DEE" w14:textId="2B54A9AA" w:rsidR="004E47E2" w:rsidRDefault="004E47E2" w:rsidP="004E47E2">
      <w:pPr>
        <w:spacing w:line="240" w:lineRule="auto"/>
        <w:jc w:val="center"/>
        <w:rPr>
          <w:b/>
          <w:sz w:val="20"/>
          <w:szCs w:val="20"/>
        </w:rPr>
      </w:pPr>
      <w:r w:rsidRPr="004E47E2">
        <w:rPr>
          <w:b/>
          <w:sz w:val="20"/>
          <w:szCs w:val="20"/>
        </w:rPr>
        <w:t>Profitability and market value ratios for Dillard’s Inc. (DDS) and Macy’s Inc. (M)</w:t>
      </w:r>
    </w:p>
    <w:p w14:paraId="69FDA304" w14:textId="77777777" w:rsidR="004E47E2" w:rsidRPr="004E47E2" w:rsidRDefault="004E47E2" w:rsidP="004E47E2">
      <w:pPr>
        <w:spacing w:line="240" w:lineRule="auto"/>
        <w:jc w:val="center"/>
        <w:rPr>
          <w:b/>
          <w:sz w:val="20"/>
          <w:szCs w:val="20"/>
        </w:rPr>
      </w:pPr>
    </w:p>
    <w:tbl>
      <w:tblPr>
        <w:tblStyle w:val="TableGrid"/>
        <w:tblW w:w="10368" w:type="dxa"/>
        <w:tblInd w:w="-516" w:type="dxa"/>
        <w:tblLayout w:type="fixed"/>
        <w:tblLook w:val="04A0" w:firstRow="1" w:lastRow="0" w:firstColumn="1" w:lastColumn="0" w:noHBand="0" w:noVBand="1"/>
      </w:tblPr>
      <w:tblGrid>
        <w:gridCol w:w="1152"/>
        <w:gridCol w:w="1152"/>
        <w:gridCol w:w="1152"/>
        <w:gridCol w:w="1152"/>
        <w:gridCol w:w="1152"/>
        <w:gridCol w:w="1152"/>
        <w:gridCol w:w="1152"/>
        <w:gridCol w:w="1152"/>
        <w:gridCol w:w="1152"/>
      </w:tblGrid>
      <w:tr w:rsidR="00A35712" w:rsidRPr="004E47E2" w14:paraId="7FAD2EB8" w14:textId="77777777" w:rsidTr="00A35712">
        <w:tc>
          <w:tcPr>
            <w:tcW w:w="1152" w:type="dxa"/>
          </w:tcPr>
          <w:p w14:paraId="6724ACAD" w14:textId="77777777" w:rsidR="00A35712" w:rsidRDefault="00A35712" w:rsidP="00A35712">
            <w:pPr>
              <w:spacing w:line="240" w:lineRule="auto"/>
              <w:jc w:val="center"/>
              <w:rPr>
                <w:rFonts w:cs="Times New Roman"/>
                <w:sz w:val="20"/>
                <w:szCs w:val="20"/>
              </w:rPr>
            </w:pPr>
          </w:p>
          <w:p w14:paraId="442BC95A" w14:textId="77777777" w:rsidR="00A35712" w:rsidRPr="004E47E2" w:rsidRDefault="00A35712" w:rsidP="00A35712">
            <w:pPr>
              <w:spacing w:line="240" w:lineRule="auto"/>
              <w:jc w:val="center"/>
              <w:rPr>
                <w:rFonts w:cs="Times New Roman"/>
                <w:sz w:val="20"/>
                <w:szCs w:val="20"/>
              </w:rPr>
            </w:pPr>
            <w:r w:rsidRPr="001D6C0A">
              <w:rPr>
                <w:rFonts w:cs="Times New Roman"/>
                <w:sz w:val="20"/>
                <w:szCs w:val="20"/>
              </w:rPr>
              <w:t>Fiscal Year</w:t>
            </w:r>
          </w:p>
        </w:tc>
        <w:tc>
          <w:tcPr>
            <w:tcW w:w="1152" w:type="dxa"/>
          </w:tcPr>
          <w:p w14:paraId="2C80CA74" w14:textId="77777777" w:rsidR="00A35712" w:rsidRDefault="00A35712" w:rsidP="00A35712">
            <w:pPr>
              <w:spacing w:line="240" w:lineRule="auto"/>
              <w:jc w:val="center"/>
              <w:rPr>
                <w:rFonts w:cs="Times New Roman"/>
                <w:sz w:val="20"/>
                <w:szCs w:val="20"/>
              </w:rPr>
            </w:pPr>
            <w:r>
              <w:rPr>
                <w:rFonts w:cs="Times New Roman"/>
                <w:sz w:val="20"/>
                <w:szCs w:val="20"/>
              </w:rPr>
              <w:t>DDS</w:t>
            </w:r>
          </w:p>
          <w:p w14:paraId="508E1512" w14:textId="42C3D6A9" w:rsidR="00A35712" w:rsidRPr="004E47E2" w:rsidRDefault="00A35712" w:rsidP="00A35712">
            <w:pPr>
              <w:spacing w:line="240" w:lineRule="auto"/>
              <w:jc w:val="center"/>
              <w:rPr>
                <w:rFonts w:cs="Times New Roman"/>
                <w:sz w:val="20"/>
                <w:szCs w:val="20"/>
              </w:rPr>
            </w:pPr>
            <w:r>
              <w:rPr>
                <w:rFonts w:cs="Times New Roman"/>
                <w:sz w:val="20"/>
                <w:szCs w:val="20"/>
              </w:rPr>
              <w:t>Profit Margin Ratio (%)</w:t>
            </w:r>
          </w:p>
        </w:tc>
        <w:tc>
          <w:tcPr>
            <w:tcW w:w="1152" w:type="dxa"/>
          </w:tcPr>
          <w:p w14:paraId="72E376AF" w14:textId="77777777" w:rsidR="00A35712" w:rsidRDefault="00A35712" w:rsidP="00A35712">
            <w:pPr>
              <w:spacing w:line="240" w:lineRule="auto"/>
              <w:jc w:val="center"/>
              <w:rPr>
                <w:rFonts w:cs="Times New Roman"/>
                <w:sz w:val="20"/>
                <w:szCs w:val="20"/>
              </w:rPr>
            </w:pPr>
            <w:r>
              <w:rPr>
                <w:rFonts w:cs="Times New Roman"/>
                <w:sz w:val="20"/>
                <w:szCs w:val="20"/>
              </w:rPr>
              <w:t>M</w:t>
            </w:r>
          </w:p>
          <w:p w14:paraId="75CB450D" w14:textId="56E984E4" w:rsidR="00A35712" w:rsidRPr="004E47E2" w:rsidRDefault="00A35712" w:rsidP="00A35712">
            <w:pPr>
              <w:spacing w:line="240" w:lineRule="auto"/>
              <w:jc w:val="center"/>
              <w:rPr>
                <w:rFonts w:cs="Times New Roman"/>
                <w:sz w:val="20"/>
                <w:szCs w:val="20"/>
              </w:rPr>
            </w:pPr>
            <w:r>
              <w:rPr>
                <w:rFonts w:cs="Times New Roman"/>
                <w:sz w:val="20"/>
                <w:szCs w:val="20"/>
              </w:rPr>
              <w:t>Profit Margin Ratio (%)</w:t>
            </w:r>
          </w:p>
        </w:tc>
        <w:tc>
          <w:tcPr>
            <w:tcW w:w="1152" w:type="dxa"/>
          </w:tcPr>
          <w:p w14:paraId="0D18AB19" w14:textId="77777777" w:rsidR="00A35712" w:rsidRDefault="00A35712" w:rsidP="00A35712">
            <w:pPr>
              <w:spacing w:line="240" w:lineRule="auto"/>
              <w:jc w:val="center"/>
              <w:rPr>
                <w:rFonts w:cs="Times New Roman"/>
                <w:sz w:val="20"/>
                <w:szCs w:val="20"/>
              </w:rPr>
            </w:pPr>
          </w:p>
          <w:p w14:paraId="354EA526" w14:textId="12A633AA" w:rsidR="00A35712" w:rsidRDefault="00A35712" w:rsidP="00A35712">
            <w:pPr>
              <w:spacing w:line="240" w:lineRule="auto"/>
              <w:jc w:val="center"/>
              <w:rPr>
                <w:rFonts w:cs="Times New Roman"/>
                <w:sz w:val="20"/>
                <w:szCs w:val="20"/>
              </w:rPr>
            </w:pPr>
            <w:r>
              <w:rPr>
                <w:rFonts w:cs="Times New Roman"/>
                <w:sz w:val="20"/>
                <w:szCs w:val="20"/>
              </w:rPr>
              <w:t>DDS</w:t>
            </w:r>
          </w:p>
          <w:p w14:paraId="12250B0C" w14:textId="25227467" w:rsidR="00A35712" w:rsidRPr="004E47E2" w:rsidRDefault="00A35712" w:rsidP="00A35712">
            <w:pPr>
              <w:spacing w:line="240" w:lineRule="auto"/>
              <w:jc w:val="center"/>
              <w:rPr>
                <w:rFonts w:cs="Times New Roman"/>
                <w:sz w:val="20"/>
                <w:szCs w:val="20"/>
              </w:rPr>
            </w:pPr>
            <w:r>
              <w:rPr>
                <w:rFonts w:cs="Times New Roman"/>
                <w:sz w:val="20"/>
                <w:szCs w:val="20"/>
              </w:rPr>
              <w:t>ROE (%)</w:t>
            </w:r>
          </w:p>
        </w:tc>
        <w:tc>
          <w:tcPr>
            <w:tcW w:w="1152" w:type="dxa"/>
          </w:tcPr>
          <w:p w14:paraId="727FE552" w14:textId="77777777" w:rsidR="00A35712" w:rsidRDefault="00A35712" w:rsidP="00A35712">
            <w:pPr>
              <w:spacing w:line="240" w:lineRule="auto"/>
              <w:jc w:val="center"/>
              <w:rPr>
                <w:rFonts w:cs="Times New Roman"/>
                <w:sz w:val="20"/>
                <w:szCs w:val="20"/>
              </w:rPr>
            </w:pPr>
          </w:p>
          <w:p w14:paraId="35D865D7" w14:textId="06688340" w:rsidR="00A35712" w:rsidRDefault="00A35712" w:rsidP="00A35712">
            <w:pPr>
              <w:spacing w:line="240" w:lineRule="auto"/>
              <w:jc w:val="center"/>
              <w:rPr>
                <w:rFonts w:cs="Times New Roman"/>
                <w:sz w:val="20"/>
                <w:szCs w:val="20"/>
              </w:rPr>
            </w:pPr>
            <w:r>
              <w:rPr>
                <w:rFonts w:cs="Times New Roman"/>
                <w:sz w:val="20"/>
                <w:szCs w:val="20"/>
              </w:rPr>
              <w:t>M</w:t>
            </w:r>
          </w:p>
          <w:p w14:paraId="322580A2" w14:textId="49C7BB74" w:rsidR="00A35712" w:rsidRPr="004E47E2" w:rsidRDefault="00A35712" w:rsidP="00A35712">
            <w:pPr>
              <w:spacing w:line="240" w:lineRule="auto"/>
              <w:jc w:val="center"/>
              <w:rPr>
                <w:rFonts w:cs="Times New Roman"/>
                <w:sz w:val="20"/>
                <w:szCs w:val="20"/>
              </w:rPr>
            </w:pPr>
            <w:r>
              <w:rPr>
                <w:rFonts w:cs="Times New Roman"/>
                <w:sz w:val="20"/>
                <w:szCs w:val="20"/>
              </w:rPr>
              <w:t>ROE (%)</w:t>
            </w:r>
          </w:p>
        </w:tc>
        <w:tc>
          <w:tcPr>
            <w:tcW w:w="1152" w:type="dxa"/>
          </w:tcPr>
          <w:p w14:paraId="17D3422B" w14:textId="77777777" w:rsidR="00A35712" w:rsidRDefault="00A35712" w:rsidP="00A35712">
            <w:pPr>
              <w:spacing w:line="240" w:lineRule="auto"/>
              <w:jc w:val="center"/>
              <w:rPr>
                <w:rFonts w:cs="Times New Roman"/>
                <w:sz w:val="20"/>
                <w:szCs w:val="20"/>
              </w:rPr>
            </w:pPr>
            <w:r>
              <w:rPr>
                <w:rFonts w:cs="Times New Roman"/>
                <w:sz w:val="20"/>
                <w:szCs w:val="20"/>
              </w:rPr>
              <w:t>DDS</w:t>
            </w:r>
          </w:p>
          <w:p w14:paraId="63C4A64F" w14:textId="5121C6C5" w:rsidR="00A35712" w:rsidRPr="004E47E2" w:rsidRDefault="00A35712" w:rsidP="00A35712">
            <w:pPr>
              <w:spacing w:line="240" w:lineRule="auto"/>
              <w:jc w:val="center"/>
              <w:rPr>
                <w:rFonts w:cs="Times New Roman"/>
                <w:sz w:val="20"/>
                <w:szCs w:val="20"/>
              </w:rPr>
            </w:pPr>
            <w:r>
              <w:rPr>
                <w:rFonts w:cs="Times New Roman"/>
                <w:sz w:val="20"/>
                <w:szCs w:val="20"/>
              </w:rPr>
              <w:t>P/E Ratio (x)</w:t>
            </w:r>
          </w:p>
        </w:tc>
        <w:tc>
          <w:tcPr>
            <w:tcW w:w="1152" w:type="dxa"/>
          </w:tcPr>
          <w:p w14:paraId="56BD2741" w14:textId="63F94C78" w:rsidR="00A35712" w:rsidRDefault="00A35712" w:rsidP="00A35712">
            <w:pPr>
              <w:spacing w:line="240" w:lineRule="auto"/>
              <w:jc w:val="center"/>
              <w:rPr>
                <w:rFonts w:cs="Times New Roman"/>
                <w:sz w:val="20"/>
                <w:szCs w:val="20"/>
              </w:rPr>
            </w:pPr>
            <w:r>
              <w:rPr>
                <w:rFonts w:cs="Times New Roman"/>
                <w:sz w:val="20"/>
                <w:szCs w:val="20"/>
              </w:rPr>
              <w:t>M</w:t>
            </w:r>
          </w:p>
          <w:p w14:paraId="0A2D0E47" w14:textId="3197CA52" w:rsidR="00A35712" w:rsidRPr="004E47E2" w:rsidRDefault="00A35712" w:rsidP="00A35712">
            <w:pPr>
              <w:spacing w:line="240" w:lineRule="auto"/>
              <w:jc w:val="center"/>
              <w:rPr>
                <w:rFonts w:cs="Times New Roman"/>
                <w:sz w:val="20"/>
                <w:szCs w:val="20"/>
              </w:rPr>
            </w:pPr>
            <w:r>
              <w:rPr>
                <w:rFonts w:cs="Times New Roman"/>
                <w:sz w:val="20"/>
                <w:szCs w:val="20"/>
              </w:rPr>
              <w:t>P/E Ratio (x)</w:t>
            </w:r>
          </w:p>
        </w:tc>
        <w:tc>
          <w:tcPr>
            <w:tcW w:w="1152" w:type="dxa"/>
          </w:tcPr>
          <w:p w14:paraId="3BD0053C" w14:textId="77777777" w:rsidR="00A35712" w:rsidRDefault="00A35712" w:rsidP="00A35712">
            <w:pPr>
              <w:spacing w:line="240" w:lineRule="auto"/>
              <w:jc w:val="center"/>
              <w:rPr>
                <w:rFonts w:cs="Times New Roman"/>
                <w:sz w:val="20"/>
                <w:szCs w:val="20"/>
              </w:rPr>
            </w:pPr>
            <w:r>
              <w:rPr>
                <w:rFonts w:cs="Times New Roman"/>
                <w:sz w:val="20"/>
                <w:szCs w:val="20"/>
              </w:rPr>
              <w:t>DDS</w:t>
            </w:r>
          </w:p>
          <w:p w14:paraId="7D896AA5" w14:textId="7FABA14F" w:rsidR="00A35712" w:rsidRPr="004E47E2" w:rsidRDefault="00A35712" w:rsidP="00A35712">
            <w:pPr>
              <w:spacing w:line="240" w:lineRule="auto"/>
              <w:jc w:val="center"/>
              <w:rPr>
                <w:rFonts w:cs="Times New Roman"/>
                <w:sz w:val="20"/>
                <w:szCs w:val="20"/>
              </w:rPr>
            </w:pPr>
            <w:r>
              <w:rPr>
                <w:rFonts w:cs="Times New Roman"/>
                <w:sz w:val="20"/>
                <w:szCs w:val="20"/>
              </w:rPr>
              <w:t>Price-to-Sales Ratio (x)</w:t>
            </w:r>
          </w:p>
        </w:tc>
        <w:tc>
          <w:tcPr>
            <w:tcW w:w="1152" w:type="dxa"/>
          </w:tcPr>
          <w:p w14:paraId="70CC2E0C" w14:textId="739412E8" w:rsidR="00A35712" w:rsidRDefault="00A35712" w:rsidP="00A35712">
            <w:pPr>
              <w:spacing w:line="240" w:lineRule="auto"/>
              <w:jc w:val="center"/>
              <w:rPr>
                <w:rFonts w:cs="Times New Roman"/>
                <w:sz w:val="20"/>
                <w:szCs w:val="20"/>
              </w:rPr>
            </w:pPr>
            <w:r>
              <w:rPr>
                <w:rFonts w:cs="Times New Roman"/>
                <w:sz w:val="20"/>
                <w:szCs w:val="20"/>
              </w:rPr>
              <w:t>M</w:t>
            </w:r>
          </w:p>
          <w:p w14:paraId="1BCD2644" w14:textId="640F797E" w:rsidR="00A35712" w:rsidRPr="004E47E2" w:rsidRDefault="00A35712" w:rsidP="00A35712">
            <w:pPr>
              <w:spacing w:line="240" w:lineRule="auto"/>
              <w:jc w:val="center"/>
              <w:rPr>
                <w:rFonts w:cs="Times New Roman"/>
                <w:sz w:val="20"/>
                <w:szCs w:val="20"/>
              </w:rPr>
            </w:pPr>
            <w:r>
              <w:rPr>
                <w:rFonts w:cs="Times New Roman"/>
                <w:sz w:val="20"/>
                <w:szCs w:val="20"/>
              </w:rPr>
              <w:t>Price-to-Sales Ratio (x)</w:t>
            </w:r>
          </w:p>
        </w:tc>
      </w:tr>
      <w:tr w:rsidR="00784AB4" w:rsidRPr="004E47E2" w14:paraId="347C0BC6" w14:textId="77777777" w:rsidTr="005072E2">
        <w:tc>
          <w:tcPr>
            <w:tcW w:w="1152" w:type="dxa"/>
          </w:tcPr>
          <w:p w14:paraId="2F1992FA" w14:textId="1F7048B2" w:rsidR="00784AB4" w:rsidRPr="004E47E2" w:rsidRDefault="00784AB4" w:rsidP="00784AB4">
            <w:pPr>
              <w:spacing w:line="240" w:lineRule="auto"/>
              <w:jc w:val="center"/>
              <w:rPr>
                <w:rFonts w:cs="Times New Roman"/>
                <w:sz w:val="20"/>
                <w:szCs w:val="20"/>
              </w:rPr>
            </w:pPr>
            <w:r>
              <w:rPr>
                <w:rFonts w:cs="Times New Roman"/>
                <w:sz w:val="20"/>
                <w:szCs w:val="20"/>
              </w:rPr>
              <w:t>2016</w:t>
            </w:r>
          </w:p>
        </w:tc>
        <w:tc>
          <w:tcPr>
            <w:tcW w:w="1152" w:type="dxa"/>
            <w:vAlign w:val="bottom"/>
          </w:tcPr>
          <w:p w14:paraId="31E63F02" w14:textId="264D5D0B"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0.03</w:t>
            </w:r>
          </w:p>
        </w:tc>
        <w:tc>
          <w:tcPr>
            <w:tcW w:w="1152" w:type="dxa"/>
            <w:vAlign w:val="bottom"/>
          </w:tcPr>
          <w:p w14:paraId="690BF46F" w14:textId="00F74073"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0.02</w:t>
            </w:r>
          </w:p>
        </w:tc>
        <w:tc>
          <w:tcPr>
            <w:tcW w:w="1152" w:type="dxa"/>
            <w:vAlign w:val="bottom"/>
          </w:tcPr>
          <w:p w14:paraId="0AAD35D2" w14:textId="287019E6"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0.10</w:t>
            </w:r>
          </w:p>
        </w:tc>
        <w:tc>
          <w:tcPr>
            <w:tcW w:w="1152" w:type="dxa"/>
            <w:vAlign w:val="bottom"/>
          </w:tcPr>
          <w:p w14:paraId="31F6778E" w14:textId="6F9E6724"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0.14</w:t>
            </w:r>
          </w:p>
        </w:tc>
        <w:tc>
          <w:tcPr>
            <w:tcW w:w="1152" w:type="dxa"/>
            <w:vAlign w:val="bottom"/>
          </w:tcPr>
          <w:p w14:paraId="57555A40" w14:textId="2AE7CC93"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11.45</w:t>
            </w:r>
          </w:p>
        </w:tc>
        <w:tc>
          <w:tcPr>
            <w:tcW w:w="1152" w:type="dxa"/>
            <w:vAlign w:val="bottom"/>
          </w:tcPr>
          <w:p w14:paraId="00743706" w14:textId="199FE245"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14.70</w:t>
            </w:r>
          </w:p>
        </w:tc>
        <w:tc>
          <w:tcPr>
            <w:tcW w:w="1152" w:type="dxa"/>
            <w:vAlign w:val="bottom"/>
          </w:tcPr>
          <w:p w14:paraId="056F98A1" w14:textId="25B833C1"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0.28</w:t>
            </w:r>
          </w:p>
        </w:tc>
        <w:tc>
          <w:tcPr>
            <w:tcW w:w="1152" w:type="dxa"/>
            <w:vAlign w:val="bottom"/>
          </w:tcPr>
          <w:p w14:paraId="253F1BDA" w14:textId="26A63FEB"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0.35</w:t>
            </w:r>
          </w:p>
        </w:tc>
      </w:tr>
      <w:tr w:rsidR="00784AB4" w:rsidRPr="004E47E2" w14:paraId="19647AAA" w14:textId="77777777" w:rsidTr="005072E2">
        <w:tc>
          <w:tcPr>
            <w:tcW w:w="1152" w:type="dxa"/>
          </w:tcPr>
          <w:p w14:paraId="39510EF0" w14:textId="31A1878B" w:rsidR="00784AB4" w:rsidRPr="004E47E2" w:rsidRDefault="00784AB4" w:rsidP="00784AB4">
            <w:pPr>
              <w:spacing w:line="240" w:lineRule="auto"/>
              <w:jc w:val="center"/>
              <w:rPr>
                <w:rFonts w:cs="Times New Roman"/>
                <w:sz w:val="20"/>
                <w:szCs w:val="20"/>
              </w:rPr>
            </w:pPr>
            <w:r>
              <w:rPr>
                <w:rFonts w:cs="Times New Roman"/>
                <w:sz w:val="20"/>
                <w:szCs w:val="20"/>
              </w:rPr>
              <w:t>2017</w:t>
            </w:r>
          </w:p>
        </w:tc>
        <w:tc>
          <w:tcPr>
            <w:tcW w:w="1152" w:type="dxa"/>
            <w:vAlign w:val="bottom"/>
          </w:tcPr>
          <w:p w14:paraId="15DC680A" w14:textId="52EED4D0"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0.03</w:t>
            </w:r>
          </w:p>
        </w:tc>
        <w:tc>
          <w:tcPr>
            <w:tcW w:w="1152" w:type="dxa"/>
            <w:vAlign w:val="bottom"/>
          </w:tcPr>
          <w:p w14:paraId="438FF856" w14:textId="2F67237A"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0.06</w:t>
            </w:r>
          </w:p>
        </w:tc>
        <w:tc>
          <w:tcPr>
            <w:tcW w:w="1152" w:type="dxa"/>
            <w:vAlign w:val="bottom"/>
          </w:tcPr>
          <w:p w14:paraId="0536D7A2" w14:textId="22C8D916"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0.13</w:t>
            </w:r>
          </w:p>
        </w:tc>
        <w:tc>
          <w:tcPr>
            <w:tcW w:w="1152" w:type="dxa"/>
            <w:vAlign w:val="bottom"/>
          </w:tcPr>
          <w:p w14:paraId="23FB13E8" w14:textId="0E3CEBB3"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0.27</w:t>
            </w:r>
          </w:p>
        </w:tc>
        <w:tc>
          <w:tcPr>
            <w:tcW w:w="1152" w:type="dxa"/>
            <w:vAlign w:val="bottom"/>
          </w:tcPr>
          <w:p w14:paraId="72376BA4" w14:textId="522AE92C"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9.00</w:t>
            </w:r>
          </w:p>
        </w:tc>
        <w:tc>
          <w:tcPr>
            <w:tcW w:w="1152" w:type="dxa"/>
            <w:vAlign w:val="bottom"/>
          </w:tcPr>
          <w:p w14:paraId="532973E7" w14:textId="53403133"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5.12</w:t>
            </w:r>
          </w:p>
        </w:tc>
        <w:tc>
          <w:tcPr>
            <w:tcW w:w="1152" w:type="dxa"/>
            <w:vAlign w:val="bottom"/>
          </w:tcPr>
          <w:p w14:paraId="78505289" w14:textId="60AC40CD"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0.30</w:t>
            </w:r>
          </w:p>
        </w:tc>
        <w:tc>
          <w:tcPr>
            <w:tcW w:w="1152" w:type="dxa"/>
            <w:vAlign w:val="bottom"/>
          </w:tcPr>
          <w:p w14:paraId="3C7B4802" w14:textId="4B3ED90E"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0.32</w:t>
            </w:r>
          </w:p>
        </w:tc>
      </w:tr>
      <w:tr w:rsidR="00784AB4" w:rsidRPr="004E47E2" w14:paraId="39F0E967" w14:textId="77777777" w:rsidTr="005072E2">
        <w:tc>
          <w:tcPr>
            <w:tcW w:w="1152" w:type="dxa"/>
          </w:tcPr>
          <w:p w14:paraId="014EC850" w14:textId="1CD99FC9" w:rsidR="00784AB4" w:rsidRPr="004E47E2" w:rsidRDefault="00784AB4" w:rsidP="00784AB4">
            <w:pPr>
              <w:spacing w:line="240" w:lineRule="auto"/>
              <w:jc w:val="center"/>
              <w:rPr>
                <w:rFonts w:cs="Times New Roman"/>
                <w:sz w:val="20"/>
                <w:szCs w:val="20"/>
              </w:rPr>
            </w:pPr>
            <w:r>
              <w:rPr>
                <w:rFonts w:cs="Times New Roman"/>
                <w:sz w:val="20"/>
                <w:szCs w:val="20"/>
              </w:rPr>
              <w:t>2018</w:t>
            </w:r>
          </w:p>
        </w:tc>
        <w:tc>
          <w:tcPr>
            <w:tcW w:w="1152" w:type="dxa"/>
            <w:vAlign w:val="bottom"/>
          </w:tcPr>
          <w:p w14:paraId="3EC28647" w14:textId="4519CD18"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0.03</w:t>
            </w:r>
          </w:p>
        </w:tc>
        <w:tc>
          <w:tcPr>
            <w:tcW w:w="1152" w:type="dxa"/>
            <w:vAlign w:val="bottom"/>
          </w:tcPr>
          <w:p w14:paraId="47A62650" w14:textId="09DDF7DA"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0.04</w:t>
            </w:r>
          </w:p>
        </w:tc>
        <w:tc>
          <w:tcPr>
            <w:tcW w:w="1152" w:type="dxa"/>
            <w:vAlign w:val="bottom"/>
          </w:tcPr>
          <w:p w14:paraId="4C18A0B5" w14:textId="237A096A"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0.10</w:t>
            </w:r>
          </w:p>
        </w:tc>
        <w:tc>
          <w:tcPr>
            <w:tcW w:w="1152" w:type="dxa"/>
            <w:vAlign w:val="bottom"/>
          </w:tcPr>
          <w:p w14:paraId="67DA0AD4" w14:textId="1BC7E939"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0.17</w:t>
            </w:r>
          </w:p>
        </w:tc>
        <w:tc>
          <w:tcPr>
            <w:tcW w:w="1152" w:type="dxa"/>
            <w:vAlign w:val="bottom"/>
          </w:tcPr>
          <w:p w14:paraId="32DE675E" w14:textId="5F4AEEA5"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10.72</w:t>
            </w:r>
          </w:p>
        </w:tc>
        <w:tc>
          <w:tcPr>
            <w:tcW w:w="1152" w:type="dxa"/>
            <w:vAlign w:val="bottom"/>
          </w:tcPr>
          <w:p w14:paraId="193060C2" w14:textId="58B21FF5"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7.31</w:t>
            </w:r>
          </w:p>
        </w:tc>
        <w:tc>
          <w:tcPr>
            <w:tcW w:w="1152" w:type="dxa"/>
            <w:vAlign w:val="bottom"/>
          </w:tcPr>
          <w:p w14:paraId="6FFCC39F" w14:textId="4480E90C"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0.27</w:t>
            </w:r>
          </w:p>
        </w:tc>
        <w:tc>
          <w:tcPr>
            <w:tcW w:w="1152" w:type="dxa"/>
            <w:vAlign w:val="bottom"/>
          </w:tcPr>
          <w:p w14:paraId="4EE9A019" w14:textId="2079528B"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0.31</w:t>
            </w:r>
          </w:p>
        </w:tc>
      </w:tr>
      <w:tr w:rsidR="00784AB4" w:rsidRPr="004E47E2" w14:paraId="5A3F3C6C" w14:textId="77777777" w:rsidTr="005072E2">
        <w:tc>
          <w:tcPr>
            <w:tcW w:w="1152" w:type="dxa"/>
          </w:tcPr>
          <w:p w14:paraId="060CF430" w14:textId="63D3B603" w:rsidR="00784AB4" w:rsidRPr="004E47E2" w:rsidRDefault="00784AB4" w:rsidP="00784AB4">
            <w:pPr>
              <w:spacing w:line="240" w:lineRule="auto"/>
              <w:jc w:val="center"/>
              <w:rPr>
                <w:rFonts w:cs="Times New Roman"/>
                <w:sz w:val="20"/>
                <w:szCs w:val="20"/>
              </w:rPr>
            </w:pPr>
            <w:r>
              <w:rPr>
                <w:rFonts w:cs="Times New Roman"/>
                <w:sz w:val="20"/>
                <w:szCs w:val="20"/>
              </w:rPr>
              <w:t>2019</w:t>
            </w:r>
          </w:p>
        </w:tc>
        <w:tc>
          <w:tcPr>
            <w:tcW w:w="1152" w:type="dxa"/>
            <w:vAlign w:val="bottom"/>
          </w:tcPr>
          <w:p w14:paraId="6A36F0F4" w14:textId="69606886"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0.02</w:t>
            </w:r>
          </w:p>
        </w:tc>
        <w:tc>
          <w:tcPr>
            <w:tcW w:w="1152" w:type="dxa"/>
            <w:vAlign w:val="bottom"/>
          </w:tcPr>
          <w:p w14:paraId="58C6A6FE" w14:textId="3296C834"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0.02</w:t>
            </w:r>
          </w:p>
        </w:tc>
        <w:tc>
          <w:tcPr>
            <w:tcW w:w="1152" w:type="dxa"/>
            <w:vAlign w:val="bottom"/>
          </w:tcPr>
          <w:p w14:paraId="58013CC2" w14:textId="5D8B3F77"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0.07</w:t>
            </w:r>
          </w:p>
        </w:tc>
        <w:tc>
          <w:tcPr>
            <w:tcW w:w="1152" w:type="dxa"/>
            <w:vAlign w:val="bottom"/>
          </w:tcPr>
          <w:p w14:paraId="4284BA30" w14:textId="420EAA7F"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0.09</w:t>
            </w:r>
          </w:p>
        </w:tc>
        <w:tc>
          <w:tcPr>
            <w:tcW w:w="1152" w:type="dxa"/>
            <w:vAlign w:val="bottom"/>
          </w:tcPr>
          <w:p w14:paraId="78E7A9DC" w14:textId="47AFA40D"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13.86</w:t>
            </w:r>
          </w:p>
        </w:tc>
        <w:tc>
          <w:tcPr>
            <w:tcW w:w="1152" w:type="dxa"/>
            <w:vAlign w:val="bottom"/>
          </w:tcPr>
          <w:p w14:paraId="6A6C68BC" w14:textId="38355F5D"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8.76</w:t>
            </w:r>
          </w:p>
        </w:tc>
        <w:tc>
          <w:tcPr>
            <w:tcW w:w="1152" w:type="dxa"/>
            <w:vAlign w:val="bottom"/>
          </w:tcPr>
          <w:p w14:paraId="5BFAF266" w14:textId="7298480D"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0.23</w:t>
            </w:r>
          </w:p>
        </w:tc>
        <w:tc>
          <w:tcPr>
            <w:tcW w:w="1152" w:type="dxa"/>
            <w:vAlign w:val="bottom"/>
          </w:tcPr>
          <w:p w14:paraId="453227CB" w14:textId="57110FAF"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0.19</w:t>
            </w:r>
          </w:p>
        </w:tc>
      </w:tr>
      <w:tr w:rsidR="00784AB4" w:rsidRPr="004E47E2" w14:paraId="50EEB865" w14:textId="77777777" w:rsidTr="00784AB4">
        <w:tc>
          <w:tcPr>
            <w:tcW w:w="1152" w:type="dxa"/>
          </w:tcPr>
          <w:p w14:paraId="432C5830" w14:textId="4BFA82AE" w:rsidR="00784AB4" w:rsidRPr="004E47E2" w:rsidRDefault="00784AB4" w:rsidP="00784AB4">
            <w:pPr>
              <w:spacing w:line="240" w:lineRule="auto"/>
              <w:jc w:val="center"/>
              <w:rPr>
                <w:rFonts w:cs="Times New Roman"/>
                <w:sz w:val="20"/>
                <w:szCs w:val="20"/>
              </w:rPr>
            </w:pPr>
            <w:r>
              <w:rPr>
                <w:rFonts w:cs="Times New Roman"/>
                <w:sz w:val="20"/>
                <w:szCs w:val="20"/>
              </w:rPr>
              <w:t>2020</w:t>
            </w:r>
          </w:p>
        </w:tc>
        <w:tc>
          <w:tcPr>
            <w:tcW w:w="1152" w:type="dxa"/>
            <w:vAlign w:val="bottom"/>
          </w:tcPr>
          <w:p w14:paraId="46FDDCDE" w14:textId="44939B3E"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-0.02</w:t>
            </w:r>
          </w:p>
        </w:tc>
        <w:tc>
          <w:tcPr>
            <w:tcW w:w="1152" w:type="dxa"/>
            <w:vAlign w:val="bottom"/>
          </w:tcPr>
          <w:p w14:paraId="140EFE21" w14:textId="6DB77E39"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-0.22</w:t>
            </w:r>
          </w:p>
        </w:tc>
        <w:tc>
          <w:tcPr>
            <w:tcW w:w="1152" w:type="dxa"/>
            <w:vAlign w:val="bottom"/>
          </w:tcPr>
          <w:p w14:paraId="1E37E46C" w14:textId="337255B5"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-0.05</w:t>
            </w:r>
          </w:p>
        </w:tc>
        <w:tc>
          <w:tcPr>
            <w:tcW w:w="1152" w:type="dxa"/>
            <w:vAlign w:val="bottom"/>
          </w:tcPr>
          <w:p w14:paraId="6142D20F" w14:textId="444EC41D"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-1.54</w:t>
            </w:r>
          </w:p>
        </w:tc>
        <w:tc>
          <w:tcPr>
            <w:tcW w:w="1152" w:type="dxa"/>
            <w:shd w:val="clear" w:color="auto" w:fill="FFFF00"/>
            <w:vAlign w:val="bottom"/>
          </w:tcPr>
          <w:p w14:paraId="5B816695" w14:textId="3116EEBB" w:rsidR="00784AB4" w:rsidRPr="00784AB4" w:rsidRDefault="00784AB4" w:rsidP="00784AB4">
            <w:pPr>
              <w:spacing w:line="240" w:lineRule="auto"/>
              <w:jc w:val="center"/>
              <w:rPr>
                <w:rFonts w:cs="Times New Roman"/>
                <w:sz w:val="20"/>
                <w:szCs w:val="20"/>
              </w:rPr>
            </w:pPr>
            <w:r>
              <w:rPr>
                <w:rFonts w:cs="Times New Roman"/>
                <w:color w:val="000000"/>
                <w:sz w:val="20"/>
                <w:szCs w:val="20"/>
              </w:rPr>
              <w:t>NA</w:t>
            </w:r>
          </w:p>
        </w:tc>
        <w:tc>
          <w:tcPr>
            <w:tcW w:w="1152" w:type="dxa"/>
            <w:shd w:val="clear" w:color="auto" w:fill="FFFF00"/>
            <w:vAlign w:val="bottom"/>
          </w:tcPr>
          <w:p w14:paraId="0E4959DE" w14:textId="6FA1F773" w:rsidR="00784AB4" w:rsidRPr="00784AB4" w:rsidRDefault="00784AB4" w:rsidP="00784AB4">
            <w:pPr>
              <w:spacing w:line="240" w:lineRule="auto"/>
              <w:jc w:val="center"/>
              <w:rPr>
                <w:rFonts w:cs="Times New Roman"/>
                <w:sz w:val="20"/>
                <w:szCs w:val="20"/>
              </w:rPr>
            </w:pPr>
            <w:r>
              <w:rPr>
                <w:rFonts w:cs="Times New Roman"/>
                <w:color w:val="000000"/>
                <w:sz w:val="20"/>
                <w:szCs w:val="20"/>
              </w:rPr>
              <w:t>NA</w:t>
            </w:r>
          </w:p>
        </w:tc>
        <w:tc>
          <w:tcPr>
            <w:tcW w:w="1152" w:type="dxa"/>
            <w:vAlign w:val="bottom"/>
          </w:tcPr>
          <w:p w14:paraId="2F09572A" w14:textId="345843BD"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0.44</w:t>
            </w:r>
          </w:p>
        </w:tc>
        <w:tc>
          <w:tcPr>
            <w:tcW w:w="1152" w:type="dxa"/>
            <w:vAlign w:val="bottom"/>
          </w:tcPr>
          <w:p w14:paraId="1461C4F8" w14:textId="392B8A18"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0.26</w:t>
            </w:r>
          </w:p>
        </w:tc>
      </w:tr>
      <w:tr w:rsidR="00784AB4" w:rsidRPr="004E47E2" w14:paraId="6B18A3E6" w14:textId="77777777" w:rsidTr="005072E2">
        <w:tc>
          <w:tcPr>
            <w:tcW w:w="1152" w:type="dxa"/>
          </w:tcPr>
          <w:p w14:paraId="0BA5852B" w14:textId="64743522" w:rsidR="00784AB4" w:rsidRPr="004E47E2" w:rsidRDefault="00784AB4" w:rsidP="00784AB4">
            <w:pPr>
              <w:spacing w:line="240" w:lineRule="auto"/>
              <w:jc w:val="center"/>
              <w:rPr>
                <w:rFonts w:cs="Times New Roman"/>
                <w:sz w:val="20"/>
                <w:szCs w:val="20"/>
              </w:rPr>
            </w:pPr>
            <w:r>
              <w:rPr>
                <w:rFonts w:cs="Times New Roman"/>
                <w:sz w:val="20"/>
                <w:szCs w:val="20"/>
              </w:rPr>
              <w:t>2021</w:t>
            </w:r>
          </w:p>
        </w:tc>
        <w:tc>
          <w:tcPr>
            <w:tcW w:w="1152" w:type="dxa"/>
            <w:vAlign w:val="bottom"/>
          </w:tcPr>
          <w:p w14:paraId="7124E144" w14:textId="565D8BCA"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0.13</w:t>
            </w:r>
          </w:p>
        </w:tc>
        <w:tc>
          <w:tcPr>
            <w:tcW w:w="1152" w:type="dxa"/>
            <w:vAlign w:val="bottom"/>
          </w:tcPr>
          <w:p w14:paraId="2EE2E118" w14:textId="5DC8B2C0"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0.06</w:t>
            </w:r>
          </w:p>
        </w:tc>
        <w:tc>
          <w:tcPr>
            <w:tcW w:w="1152" w:type="dxa"/>
            <w:vAlign w:val="bottom"/>
          </w:tcPr>
          <w:p w14:paraId="50E22511" w14:textId="777E5EF1"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0.59</w:t>
            </w:r>
          </w:p>
        </w:tc>
        <w:tc>
          <w:tcPr>
            <w:tcW w:w="1152" w:type="dxa"/>
            <w:vAlign w:val="bottom"/>
          </w:tcPr>
          <w:p w14:paraId="0EB4E4BB" w14:textId="460D32AB"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0.39</w:t>
            </w:r>
          </w:p>
        </w:tc>
        <w:tc>
          <w:tcPr>
            <w:tcW w:w="1152" w:type="dxa"/>
            <w:vAlign w:val="bottom"/>
          </w:tcPr>
          <w:p w14:paraId="4CB78E75" w14:textId="035DB25A"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6.06</w:t>
            </w:r>
          </w:p>
        </w:tc>
        <w:tc>
          <w:tcPr>
            <w:tcW w:w="1152" w:type="dxa"/>
            <w:vAlign w:val="bottom"/>
          </w:tcPr>
          <w:p w14:paraId="38E10502" w14:textId="3C8FCD36"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5.49</w:t>
            </w:r>
          </w:p>
        </w:tc>
        <w:tc>
          <w:tcPr>
            <w:tcW w:w="1152" w:type="dxa"/>
            <w:vAlign w:val="bottom"/>
          </w:tcPr>
          <w:p w14:paraId="2B89E3C9" w14:textId="73C05207"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0.72</w:t>
            </w:r>
          </w:p>
        </w:tc>
        <w:tc>
          <w:tcPr>
            <w:tcW w:w="1152" w:type="dxa"/>
            <w:vAlign w:val="bottom"/>
          </w:tcPr>
          <w:p w14:paraId="63F4697D" w14:textId="3417C656" w:rsidR="00784AB4" w:rsidRPr="00784AB4" w:rsidRDefault="00784AB4" w:rsidP="00784AB4">
            <w:pPr>
              <w:spacing w:line="240" w:lineRule="auto"/>
              <w:jc w:val="center"/>
              <w:rPr>
                <w:rFonts w:cs="Times New Roman"/>
                <w:sz w:val="20"/>
                <w:szCs w:val="20"/>
              </w:rPr>
            </w:pPr>
            <w:r w:rsidRPr="00784AB4">
              <w:rPr>
                <w:rFonts w:cs="Times New Roman"/>
                <w:color w:val="000000"/>
                <w:sz w:val="20"/>
                <w:szCs w:val="20"/>
              </w:rPr>
              <w:t>0.30</w:t>
            </w:r>
          </w:p>
        </w:tc>
      </w:tr>
    </w:tbl>
    <w:p w14:paraId="724F851F" w14:textId="77777777" w:rsidR="004E47E2" w:rsidRPr="00DC451B" w:rsidRDefault="004E47E2" w:rsidP="00DC451B"/>
    <w:p w14:paraId="78CA475B" w14:textId="17B1BB89" w:rsidR="00A117A4" w:rsidRDefault="004A29E7" w:rsidP="00AE369E">
      <w:pPr>
        <w:pStyle w:val="Heading2"/>
        <w:rPr>
          <w:rStyle w:val="Heading3Char"/>
          <w:b/>
        </w:rPr>
      </w:pPr>
      <w:bookmarkStart w:id="7" w:name="_Toc111229085"/>
      <w:r>
        <w:rPr>
          <w:rStyle w:val="Heading3Char"/>
          <w:b/>
        </w:rPr>
        <w:lastRenderedPageBreak/>
        <w:t>Short-Term Solvency Measures</w:t>
      </w:r>
      <w:bookmarkEnd w:id="7"/>
    </w:p>
    <w:p w14:paraId="1874309E" w14:textId="376F3BA1" w:rsidR="00AE369E" w:rsidRPr="00AE369E" w:rsidRDefault="00AE369E" w:rsidP="00AE369E">
      <w:pPr>
        <w:pStyle w:val="Heading3"/>
      </w:pPr>
      <w:bookmarkStart w:id="8" w:name="_Toc111229086"/>
      <w:r>
        <w:t>Quick Ratio</w:t>
      </w:r>
      <w:bookmarkEnd w:id="8"/>
    </w:p>
    <w:p w14:paraId="05EDFEC5" w14:textId="023DD0FF" w:rsidR="00F71F48" w:rsidRPr="00F71F48" w:rsidRDefault="00F71F48" w:rsidP="00F71F48">
      <w:pPr>
        <w:jc w:val="center"/>
        <w:rPr>
          <w:rFonts w:eastAsiaTheme="majorEastAsia" w:cstheme="majorBidi"/>
        </w:rPr>
      </w:pPr>
      <w:r>
        <w:rPr>
          <w:noProof/>
        </w:rPr>
        <w:drawing>
          <wp:inline distT="0" distB="0" distL="0" distR="0" wp14:anchorId="18877372" wp14:editId="1F64A7B9">
            <wp:extent cx="4592782" cy="2852882"/>
            <wp:effectExtent l="0" t="0" r="17780" b="17780"/>
            <wp:docPr id="1" name="Chart 1">
              <a:extLst xmlns:a="http://schemas.openxmlformats.org/drawingml/2006/main">
                <a:ext uri="{FF2B5EF4-FFF2-40B4-BE49-F238E27FC236}">
                  <a16:creationId xmlns:a16="http://schemas.microsoft.com/office/drawing/2014/main" id="{D33C72F1-9310-3755-FE03-80BC2E5E08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A22FF12" w14:textId="3A811ACD" w:rsidR="00AE369E" w:rsidRPr="00AE369E" w:rsidRDefault="00AE369E" w:rsidP="00AE369E">
      <m:oMathPara>
        <m:oMath>
          <m:r>
            <w:rPr>
              <w:rFonts w:ascii="Cambria Math" w:hAnsi="Cambria Math"/>
            </w:rPr>
            <m:t>Quick</m:t>
          </m:r>
          <m:r>
            <m:rPr>
              <m:sty m:val="p"/>
            </m:rPr>
            <w:rPr>
              <w:rFonts w:ascii="Cambria Math" w:hAnsi="Cambria Math"/>
            </w:rPr>
            <m:t xml:space="preserve"> </m:t>
          </m:r>
          <m:r>
            <w:rPr>
              <w:rFonts w:ascii="Cambria Math" w:hAnsi="Cambria Math"/>
            </w:rPr>
            <m:t>Ratio</m:t>
          </m:r>
          <m:r>
            <m:rPr>
              <m:sty m:val="p"/>
            </m:rPr>
            <w:rPr>
              <w:rFonts w:ascii="Cambria Math" w:hAnsi="Cambria Math"/>
            </w:rPr>
            <m:t xml:space="preserve">= </m:t>
          </m:r>
          <m:f>
            <m:fPr>
              <m:ctrlPr>
                <w:rPr>
                  <w:rFonts w:ascii="Cambria Math" w:hAnsi="Cambria Math"/>
                </w:rPr>
              </m:ctrlPr>
            </m:fPr>
            <m:num>
              <m:r>
                <w:rPr>
                  <w:rFonts w:ascii="Cambria Math" w:hAnsi="Cambria Math"/>
                </w:rPr>
                <m:t>current</m:t>
              </m:r>
              <m:r>
                <m:rPr>
                  <m:sty m:val="p"/>
                </m:rPr>
                <w:rPr>
                  <w:rFonts w:ascii="Cambria Math" w:hAnsi="Cambria Math"/>
                </w:rPr>
                <m:t xml:space="preserve"> </m:t>
              </m:r>
              <m:r>
                <w:rPr>
                  <w:rFonts w:ascii="Cambria Math" w:hAnsi="Cambria Math"/>
                </w:rPr>
                <m:t>assets</m:t>
              </m:r>
              <m:r>
                <m:rPr>
                  <m:sty m:val="p"/>
                </m:rPr>
                <w:rPr>
                  <w:rFonts w:ascii="Cambria Math" w:hAnsi="Cambria Math"/>
                </w:rPr>
                <m:t>-</m:t>
              </m:r>
              <m:r>
                <w:rPr>
                  <w:rFonts w:ascii="Cambria Math" w:hAnsi="Cambria Math"/>
                </w:rPr>
                <m:t>inventory</m:t>
              </m:r>
            </m:num>
            <m:den>
              <m:r>
                <w:rPr>
                  <w:rFonts w:ascii="Cambria Math" w:hAnsi="Cambria Math"/>
                </w:rPr>
                <m:t>current</m:t>
              </m:r>
              <m:r>
                <m:rPr>
                  <m:sty m:val="p"/>
                </m:rPr>
                <w:rPr>
                  <w:rFonts w:ascii="Cambria Math" w:hAnsi="Cambria Math"/>
                </w:rPr>
                <m:t xml:space="preserve"> </m:t>
              </m:r>
              <m:r>
                <w:rPr>
                  <w:rFonts w:ascii="Cambria Math" w:hAnsi="Cambria Math"/>
                </w:rPr>
                <m:t>liabilities</m:t>
              </m:r>
            </m:den>
          </m:f>
        </m:oMath>
      </m:oMathPara>
    </w:p>
    <w:p w14:paraId="535841CE" w14:textId="219F351B" w:rsidR="000E0FA7" w:rsidRDefault="003A6687" w:rsidP="00723AB5">
      <w:pPr>
        <w:ind w:firstLine="720"/>
      </w:pPr>
      <w:r>
        <w:t xml:space="preserve">The </w:t>
      </w:r>
      <w:r w:rsidR="001F5BAD">
        <w:t>q</w:t>
      </w:r>
      <w:r>
        <w:t xml:space="preserve">uick, or </w:t>
      </w:r>
      <w:r w:rsidR="001F5BAD">
        <w:t>a</w:t>
      </w:r>
      <w:r>
        <w:t>cid-</w:t>
      </w:r>
      <w:r w:rsidR="001F5BAD">
        <w:t>t</w:t>
      </w:r>
      <w:r>
        <w:t xml:space="preserve">est, </w:t>
      </w:r>
      <w:r w:rsidR="001F5BAD">
        <w:t>r</w:t>
      </w:r>
      <w:r>
        <w:t>atio is computed to evaluate</w:t>
      </w:r>
      <w:r w:rsidR="001F5BAD">
        <w:t xml:space="preserve"> a firm’s</w:t>
      </w:r>
      <w:r>
        <w:t xml:space="preserve"> liquidity. </w:t>
      </w:r>
      <w:r w:rsidR="001F5BAD">
        <w:t xml:space="preserve">In other words, it is a short-term solvency ratio that is used to determine the firm’s ability to pay its bills over a short period of time </w:t>
      </w:r>
      <w:r w:rsidR="00C825C9" w:rsidRPr="00C825C9">
        <w:t>(Ross et al., 2022</w:t>
      </w:r>
      <w:r w:rsidR="00C825C9">
        <w:t>, p.61</w:t>
      </w:r>
      <w:r w:rsidR="00C825C9" w:rsidRPr="00C825C9">
        <w:t>)</w:t>
      </w:r>
      <w:r w:rsidR="00C825C9">
        <w:t xml:space="preserve">. </w:t>
      </w:r>
      <w:r>
        <w:t xml:space="preserve">It is similar to the </w:t>
      </w:r>
      <w:r w:rsidR="001F5BAD">
        <w:t>c</w:t>
      </w:r>
      <w:r>
        <w:t xml:space="preserve">urrent </w:t>
      </w:r>
      <w:r w:rsidR="001F5BAD">
        <w:t>r</w:t>
      </w:r>
      <w:r>
        <w:t xml:space="preserve">atio except it accounts for the difference between current </w:t>
      </w:r>
      <w:r w:rsidR="001F5BAD">
        <w:t>assets</w:t>
      </w:r>
      <w:r>
        <w:t xml:space="preserve"> and inventory as </w:t>
      </w:r>
      <w:r w:rsidR="001F5BAD">
        <w:t>inventory is the least liquid current asset.</w:t>
      </w:r>
      <w:r w:rsidR="000E0FA7">
        <w:t xml:space="preserve"> The higher the quick ratio, the more cash and accounts receivable the company has than </w:t>
      </w:r>
      <w:r w:rsidR="001E4C17">
        <w:t xml:space="preserve">its </w:t>
      </w:r>
      <w:r w:rsidR="000E0FA7">
        <w:t xml:space="preserve">current liabilities. </w:t>
      </w:r>
      <w:r w:rsidR="000F0144">
        <w:t>Similarly, t</w:t>
      </w:r>
      <w:r w:rsidR="000E0FA7">
        <w:t xml:space="preserve">he lower the quick ratio, the less cash and accounts receivable the company has compared to its current </w:t>
      </w:r>
      <w:r w:rsidR="000F0144">
        <w:t>liabilities</w:t>
      </w:r>
      <w:r w:rsidR="000E0FA7">
        <w:t>.</w:t>
      </w:r>
    </w:p>
    <w:p w14:paraId="64B253EE" w14:textId="35666B54" w:rsidR="00C825C9" w:rsidRPr="00B92531" w:rsidRDefault="000E0FA7" w:rsidP="00A572FF">
      <w:pPr>
        <w:ind w:firstLine="720"/>
      </w:pPr>
      <w:r>
        <w:t>In 2016, we can see that Dillard’s quick ratio</w:t>
      </w:r>
      <w:r w:rsidR="00723AB5">
        <w:t xml:space="preserve"> was</w:t>
      </w:r>
      <w:r>
        <w:t xml:space="preserve"> </w:t>
      </w:r>
      <w:r w:rsidR="00723AB5">
        <w:t>approximately 0.07 higher than Macy’s quick ratio. The following year, however, Macy’s had a quick ratio 0.</w:t>
      </w:r>
      <w:r w:rsidR="00735B77">
        <w:t>15</w:t>
      </w:r>
      <w:r w:rsidR="00723AB5">
        <w:t xml:space="preserve"> higher than </w:t>
      </w:r>
      <w:r w:rsidR="00735B77">
        <w:t xml:space="preserve">Dillard’s. Macy’s continued to have a quick ratio higher than Dillard’s in 2018 with a difference of 0.12. This changed in 2019 as Dillard’s had a quick ratio 0.15 higher than Macy’s. The difference </w:t>
      </w:r>
      <w:r w:rsidR="00735B77">
        <w:lastRenderedPageBreak/>
        <w:t>between the two companies continued increasing with Dillard’s having a quick ratio 0.30 higher in 2020 and 0.42 higher in 2021.</w:t>
      </w:r>
      <w:r w:rsidR="000F0144">
        <w:t xml:space="preserve"> The switch that happened in 2019, might be due to the affect that the COVID-19 pandemic had on the company. Based on the formula, Dillard’s may have obtained more cash through long-term debts and most likely also had an increase in accounts receivables. It could also mean that Macy’s may have had an </w:t>
      </w:r>
      <w:r w:rsidR="00FD10E3">
        <w:t>increase in current liabilities compared to its cash and accounts receivable. Overall, Dillard’s had a higher liquidity, or quick ratio, than Macy’s in 2016, 2019, 2020, and 2021.</w:t>
      </w:r>
    </w:p>
    <w:p w14:paraId="18431235" w14:textId="371946D3" w:rsidR="00B92531" w:rsidRDefault="00E66779" w:rsidP="004A29E7">
      <w:pPr>
        <w:pStyle w:val="Heading3"/>
      </w:pPr>
      <w:bookmarkStart w:id="9" w:name="_Toc111229087"/>
      <w:r>
        <w:t xml:space="preserve">Cash </w:t>
      </w:r>
      <w:r w:rsidR="00F04332">
        <w:t>Ratio</w:t>
      </w:r>
      <w:bookmarkEnd w:id="9"/>
    </w:p>
    <w:p w14:paraId="2003E350" w14:textId="56CDEE3E" w:rsidR="00F71F48" w:rsidRPr="00F71F48" w:rsidRDefault="00F71F48" w:rsidP="00F71F48">
      <w:pPr>
        <w:jc w:val="center"/>
        <w:rPr>
          <w:rFonts w:eastAsiaTheme="majorEastAsia" w:cstheme="majorBidi"/>
        </w:rPr>
      </w:pPr>
      <w:r>
        <w:rPr>
          <w:noProof/>
        </w:rPr>
        <w:drawing>
          <wp:inline distT="0" distB="0" distL="0" distR="0" wp14:anchorId="35399472" wp14:editId="7D009DAC">
            <wp:extent cx="4596245" cy="2852882"/>
            <wp:effectExtent l="0" t="0" r="13970" b="17780"/>
            <wp:docPr id="2" name="Chart 2">
              <a:extLst xmlns:a="http://schemas.openxmlformats.org/drawingml/2006/main">
                <a:ext uri="{FF2B5EF4-FFF2-40B4-BE49-F238E27FC236}">
                  <a16:creationId xmlns:a16="http://schemas.microsoft.com/office/drawing/2014/main" id="{067B9506-B676-80F8-1B52-83788259B1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FBEEBE2" w14:textId="368ED165" w:rsidR="00C825C9" w:rsidRPr="004A29E7" w:rsidRDefault="00482496" w:rsidP="004A29E7">
      <m:oMathPara>
        <m:oMath>
          <m:r>
            <w:rPr>
              <w:rFonts w:ascii="Cambria Math" w:hAnsi="Cambria Math"/>
            </w:rPr>
            <m:t>Cash</m:t>
          </m:r>
          <m:r>
            <m:rPr>
              <m:sty m:val="p"/>
            </m:rPr>
            <w:rPr>
              <w:rFonts w:ascii="Cambria Math" w:hAnsi="Cambria Math"/>
            </w:rPr>
            <m:t xml:space="preserve"> </m:t>
          </m:r>
          <m:r>
            <w:rPr>
              <w:rFonts w:ascii="Cambria Math" w:hAnsi="Cambria Math"/>
            </w:rPr>
            <m:t>Ratio</m:t>
          </m:r>
          <m:r>
            <m:rPr>
              <m:sty m:val="p"/>
            </m:rPr>
            <w:rPr>
              <w:rFonts w:ascii="Cambria Math" w:hAnsi="Cambria Math"/>
            </w:rPr>
            <m:t xml:space="preserve">= </m:t>
          </m:r>
          <m:f>
            <m:fPr>
              <m:ctrlPr>
                <w:rPr>
                  <w:rFonts w:ascii="Cambria Math" w:hAnsi="Cambria Math"/>
                </w:rPr>
              </m:ctrlPr>
            </m:fPr>
            <m:num>
              <m:r>
                <w:rPr>
                  <w:rFonts w:ascii="Cambria Math" w:hAnsi="Cambria Math"/>
                </w:rPr>
                <m:t>cash</m:t>
              </m:r>
            </m:num>
            <m:den>
              <m:r>
                <w:rPr>
                  <w:rFonts w:ascii="Cambria Math" w:hAnsi="Cambria Math"/>
                </w:rPr>
                <m:t>current</m:t>
              </m:r>
              <m:r>
                <m:rPr>
                  <m:sty m:val="p"/>
                </m:rPr>
                <w:rPr>
                  <w:rFonts w:ascii="Cambria Math" w:hAnsi="Cambria Math"/>
                </w:rPr>
                <m:t xml:space="preserve"> </m:t>
              </m:r>
              <m:r>
                <w:rPr>
                  <w:rFonts w:ascii="Cambria Math" w:hAnsi="Cambria Math"/>
                </w:rPr>
                <m:t>liabilities</m:t>
              </m:r>
            </m:den>
          </m:f>
        </m:oMath>
      </m:oMathPara>
    </w:p>
    <w:p w14:paraId="753EED7D" w14:textId="623F84E9" w:rsidR="00482496" w:rsidRDefault="00482496" w:rsidP="00FD10E3">
      <w:pPr>
        <w:ind w:firstLine="720"/>
      </w:pPr>
      <w:r>
        <w:t xml:space="preserve">The cash ratio is also a short-term solvency ratio. A very short-term creditor would most likely be interested in the cash ratio as it focuses on the firm’s cash at hand and </w:t>
      </w:r>
      <w:r w:rsidR="00BB229A">
        <w:t xml:space="preserve">its </w:t>
      </w:r>
      <w:r>
        <w:t>current liabilit</w:t>
      </w:r>
      <w:r w:rsidR="00BB229A">
        <w:t xml:space="preserve">ies </w:t>
      </w:r>
      <w:r w:rsidR="00BB229A" w:rsidRPr="00C825C9">
        <w:t>(Ross et al., 2022</w:t>
      </w:r>
      <w:r w:rsidR="00BB229A">
        <w:t>, p.61</w:t>
      </w:r>
      <w:r w:rsidR="00BB229A" w:rsidRPr="00C825C9">
        <w:t>)</w:t>
      </w:r>
      <w:r>
        <w:t>.</w:t>
      </w:r>
      <w:r w:rsidR="00FD10E3">
        <w:t xml:space="preserve"> The higher the cash ratio, the more cash the company has than current liabilities. The lower the cash ratio, the less cash the company has compared to its current liabilities.</w:t>
      </w:r>
    </w:p>
    <w:p w14:paraId="39DAD7BB" w14:textId="2D5C9520" w:rsidR="00FD10E3" w:rsidRDefault="00BF0DB0" w:rsidP="00FD10E3">
      <w:pPr>
        <w:ind w:firstLine="720"/>
      </w:pPr>
      <w:r>
        <w:lastRenderedPageBreak/>
        <w:t xml:space="preserve">Dillard’s had a cash ratio 0.13 higher than Macy’s in 2016. In the following two years, Macy’s had a </w:t>
      </w:r>
      <w:r w:rsidR="00C97AE1">
        <w:t>cash ratio</w:t>
      </w:r>
      <w:r>
        <w:t xml:space="preserve"> 0.11 higher than Dillard’s in 2017 and 0.09 higher in 2018. There was a shift between 2018 and 2019 </w:t>
      </w:r>
      <w:r w:rsidR="00680A89">
        <w:t xml:space="preserve">in which Dillard’s started having a higher cash ratio than Macy’s. In 2019, Dillard’s had a cash ratio 0.18 higher than Macy’s and a cash ratio 0.16 higher in 2020. </w:t>
      </w:r>
      <w:r w:rsidR="00C97AE1">
        <w:t>The following year</w:t>
      </w:r>
      <w:r w:rsidR="00680A89">
        <w:t xml:space="preserve">, Dillard’s had a cash ratio of 0.74, its highest cash ratio within the last </w:t>
      </w:r>
      <w:r w:rsidR="0043649E">
        <w:t>6</w:t>
      </w:r>
      <w:r w:rsidR="00680A89">
        <w:t xml:space="preserve"> years. Macy’s, on the other hand, decided not to share the data necessary to make its cash ratio calculation for 2021.</w:t>
      </w:r>
    </w:p>
    <w:p w14:paraId="2434571D" w14:textId="2526BC04" w:rsidR="00680A89" w:rsidRDefault="00680A89" w:rsidP="00FD10E3">
      <w:pPr>
        <w:ind w:firstLine="720"/>
      </w:pPr>
      <w:r>
        <w:t>As seen in the companies’ quick ratio analysis, Dillard’s had a higher cash ratio for the years 2016, 2019, 2020</w:t>
      </w:r>
      <w:r w:rsidR="00C10274">
        <w:t xml:space="preserve"> and possibly for 2021</w:t>
      </w:r>
      <w:r>
        <w:t xml:space="preserve">. </w:t>
      </w:r>
      <w:r w:rsidR="004D48B9">
        <w:t xml:space="preserve">The change that happened between 2018 and 2019 may have </w:t>
      </w:r>
      <w:r w:rsidR="00C97AE1">
        <w:t>been caused by</w:t>
      </w:r>
      <w:r w:rsidR="004D48B9">
        <w:t xml:space="preserve"> the COVID-19 pandemic. Dillard’s may have acquired cash through long-term loans or lowered their current liabilities. It could have also been the case that Macy’s might have had an increase in current liabilities compared to their cash at hand. </w:t>
      </w:r>
      <w:r w:rsidR="00C10274">
        <w:t>Overall, I did find it odd that Macy’s did not share their cash amount for the 2021 fiscal year.</w:t>
      </w:r>
    </w:p>
    <w:p w14:paraId="4F69957B" w14:textId="19AF0B82" w:rsidR="004A29E7" w:rsidRPr="00C825C9" w:rsidRDefault="004A29E7" w:rsidP="004A29E7">
      <w:pPr>
        <w:pStyle w:val="Heading2"/>
      </w:pPr>
      <w:bookmarkStart w:id="10" w:name="_Toc111229088"/>
      <w:r>
        <w:t>Long-Term Solvency Measures</w:t>
      </w:r>
      <w:bookmarkEnd w:id="10"/>
    </w:p>
    <w:p w14:paraId="182C3D0F" w14:textId="1B4DCC4C" w:rsidR="00F04332" w:rsidRDefault="00E66779" w:rsidP="004A29E7">
      <w:pPr>
        <w:pStyle w:val="Heading3"/>
      </w:pPr>
      <w:bookmarkStart w:id="11" w:name="_Toc111229089"/>
      <w:r>
        <w:t>Debt-to-Equity Ratio</w:t>
      </w:r>
      <w:bookmarkEnd w:id="11"/>
    </w:p>
    <w:p w14:paraId="51C4AFC7" w14:textId="24676A7F" w:rsidR="00F71F48" w:rsidRPr="00F71F48" w:rsidRDefault="00F71F48" w:rsidP="00F71F48">
      <w:pPr>
        <w:jc w:val="center"/>
        <w:rPr>
          <w:rFonts w:eastAsiaTheme="majorEastAsia" w:cstheme="majorBidi"/>
        </w:rPr>
      </w:pPr>
      <w:r>
        <w:rPr>
          <w:noProof/>
        </w:rPr>
        <w:drawing>
          <wp:inline distT="0" distB="0" distL="0" distR="0" wp14:anchorId="2E6D5AE9" wp14:editId="34456F24">
            <wp:extent cx="4572000" cy="2743200"/>
            <wp:effectExtent l="0" t="0" r="12700" b="12700"/>
            <wp:docPr id="3" name="Chart 3">
              <a:extLst xmlns:a="http://schemas.openxmlformats.org/drawingml/2006/main">
                <a:ext uri="{FF2B5EF4-FFF2-40B4-BE49-F238E27FC236}">
                  <a16:creationId xmlns:a16="http://schemas.microsoft.com/office/drawing/2014/main" id="{4C1501F4-54DA-7758-A3EB-4A4049F72A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2A34166" w14:textId="0566BF47" w:rsidR="00BB229A" w:rsidRPr="00D10BE0" w:rsidRDefault="00BB229A" w:rsidP="004A29E7">
      <w:pPr>
        <w:rPr>
          <w:rFonts w:eastAsiaTheme="majorEastAsia" w:cstheme="majorBidi"/>
        </w:rPr>
      </w:pPr>
      <m:oMathPara>
        <m:oMath>
          <m:r>
            <w:rPr>
              <w:rFonts w:ascii="Cambria Math" w:hAnsi="Cambria Math"/>
            </w:rPr>
            <w:lastRenderedPageBreak/>
            <m:t>Debt</m:t>
          </m:r>
          <m:r>
            <m:rPr>
              <m:sty m:val="p"/>
            </m:rPr>
            <w:rPr>
              <w:rFonts w:ascii="Cambria Math" w:hAnsi="Cambria Math"/>
            </w:rPr>
            <m:t>-</m:t>
          </m:r>
          <m:r>
            <w:rPr>
              <w:rFonts w:ascii="Cambria Math" w:hAnsi="Cambria Math"/>
            </w:rPr>
            <m:t>to</m:t>
          </m:r>
          <m:r>
            <m:rPr>
              <m:sty m:val="p"/>
            </m:rPr>
            <w:rPr>
              <w:rFonts w:ascii="Cambria Math" w:hAnsi="Cambria Math"/>
            </w:rPr>
            <m:t>-</m:t>
          </m:r>
          <m:r>
            <w:rPr>
              <w:rFonts w:ascii="Cambria Math" w:hAnsi="Cambria Math"/>
            </w:rPr>
            <m:t>Equity</m:t>
          </m:r>
          <m:r>
            <m:rPr>
              <m:sty m:val="p"/>
            </m:rPr>
            <w:rPr>
              <w:rFonts w:ascii="Cambria Math" w:hAnsi="Cambria Math"/>
            </w:rPr>
            <m:t xml:space="preserve"> </m:t>
          </m:r>
          <m:r>
            <w:rPr>
              <w:rFonts w:ascii="Cambria Math" w:hAnsi="Cambria Math"/>
            </w:rPr>
            <m:t>Ratio</m:t>
          </m:r>
          <m:r>
            <m:rPr>
              <m:sty m:val="p"/>
            </m:rPr>
            <w:rPr>
              <w:rFonts w:ascii="Cambria Math" w:hAnsi="Cambria Math"/>
            </w:rPr>
            <m:t xml:space="preserve">= </m:t>
          </m:r>
          <m:f>
            <m:fPr>
              <m:ctrlPr>
                <w:rPr>
                  <w:rFonts w:ascii="Cambria Math" w:hAnsi="Cambria Math"/>
                </w:rPr>
              </m:ctrlPr>
            </m:fPr>
            <m:num>
              <m:r>
                <w:rPr>
                  <w:rFonts w:ascii="Cambria Math" w:hAnsi="Cambria Math"/>
                </w:rPr>
                <m:t>total</m:t>
              </m:r>
              <m:r>
                <m:rPr>
                  <m:sty m:val="p"/>
                </m:rPr>
                <w:rPr>
                  <w:rFonts w:ascii="Cambria Math" w:hAnsi="Cambria Math"/>
                </w:rPr>
                <m:t xml:space="preserve"> </m:t>
              </m:r>
              <m:r>
                <w:rPr>
                  <w:rFonts w:ascii="Cambria Math" w:hAnsi="Cambria Math"/>
                </w:rPr>
                <m:t>debt</m:t>
              </m:r>
            </m:num>
            <m:den>
              <m:r>
                <w:rPr>
                  <w:rFonts w:ascii="Cambria Math" w:hAnsi="Cambria Math"/>
                </w:rPr>
                <m:t>total</m:t>
              </m:r>
              <m:r>
                <m:rPr>
                  <m:sty m:val="p"/>
                </m:rPr>
                <w:rPr>
                  <w:rFonts w:ascii="Cambria Math" w:hAnsi="Cambria Math"/>
                </w:rPr>
                <m:t xml:space="preserve"> </m:t>
              </m:r>
              <m:r>
                <w:rPr>
                  <w:rFonts w:ascii="Cambria Math" w:hAnsi="Cambria Math"/>
                </w:rPr>
                <m:t>equity</m:t>
              </m:r>
            </m:den>
          </m:f>
        </m:oMath>
      </m:oMathPara>
    </w:p>
    <w:p w14:paraId="042DC4C9" w14:textId="75E3962F" w:rsidR="00D10BE0" w:rsidRDefault="00D10BE0" w:rsidP="00C10274">
      <w:pPr>
        <w:ind w:firstLine="720"/>
        <w:rPr>
          <w:rFonts w:eastAsiaTheme="majorEastAsia" w:cstheme="majorBidi"/>
        </w:rPr>
      </w:pPr>
      <w:r>
        <w:rPr>
          <w:rFonts w:eastAsiaTheme="majorEastAsia" w:cstheme="majorBidi"/>
        </w:rPr>
        <w:t xml:space="preserve">The debt-to-equity ratio is a long-term solvency, or financial leverage, ratio. It is a variation of the total debt ratio which is usually used to compute a firm’s long-term ability to meet its obligations </w:t>
      </w:r>
      <w:r w:rsidRPr="00C825C9">
        <w:t>(Ross et al., 2022</w:t>
      </w:r>
      <w:r>
        <w:t>, p.63</w:t>
      </w:r>
      <w:r w:rsidRPr="00C825C9">
        <w:t>)</w:t>
      </w:r>
      <w:r>
        <w:rPr>
          <w:rFonts w:eastAsiaTheme="majorEastAsia" w:cstheme="majorBidi"/>
        </w:rPr>
        <w:t>.</w:t>
      </w:r>
      <w:r w:rsidR="00C10274">
        <w:rPr>
          <w:rFonts w:eastAsiaTheme="majorEastAsia" w:cstheme="majorBidi"/>
        </w:rPr>
        <w:t xml:space="preserve"> The higher the debt-to-equity ratio, the more total debt a company has compared to its total equity. The lower the debt-to-equity ratio, the less debt a company ha</w:t>
      </w:r>
      <w:r w:rsidR="00C97AE1">
        <w:rPr>
          <w:rFonts w:eastAsiaTheme="majorEastAsia" w:cstheme="majorBidi"/>
        </w:rPr>
        <w:t>s</w:t>
      </w:r>
      <w:r w:rsidR="00C10274">
        <w:rPr>
          <w:rFonts w:eastAsiaTheme="majorEastAsia" w:cstheme="majorBidi"/>
        </w:rPr>
        <w:t xml:space="preserve"> compared to its total equity.</w:t>
      </w:r>
    </w:p>
    <w:p w14:paraId="2B67766B" w14:textId="4AA0392F" w:rsidR="00C10274" w:rsidRDefault="00DE2953" w:rsidP="00C10274">
      <w:pPr>
        <w:ind w:firstLine="720"/>
        <w:rPr>
          <w:rFonts w:eastAsiaTheme="majorEastAsia" w:cstheme="majorBidi"/>
        </w:rPr>
      </w:pPr>
      <w:r>
        <w:rPr>
          <w:rFonts w:eastAsiaTheme="majorEastAsia" w:cstheme="majorBidi"/>
        </w:rPr>
        <w:t>Between 2016 and 2021, Dillard’s had a lower debt-to-equity ratio than Macy’s. In 2016, for example, the Dillard’s debt-to-equity ratio was 1.26</w:t>
      </w:r>
      <w:r w:rsidR="003D4960">
        <w:rPr>
          <w:rFonts w:eastAsiaTheme="majorEastAsia" w:cstheme="majorBidi"/>
        </w:rPr>
        <w:t xml:space="preserve"> while Macy’s debt-to equity ratio was 3.59. This means that, for this year, for every $1.26 Dillard’s had in total debt, it had $1 in total equity while for every $3.59 Macy’s had in total debt, it had $1 in total equity.</w:t>
      </w:r>
      <w:r w:rsidR="00755E1F">
        <w:rPr>
          <w:rFonts w:eastAsiaTheme="majorEastAsia" w:cstheme="majorBidi"/>
        </w:rPr>
        <w:t xml:space="preserve"> The following year, Dillard’s had a debt-to-equity ratio of 1.15 while Macy’s managed to lower its debt-to-equity ratio to 2.42. In 2018, </w:t>
      </w:r>
      <w:r w:rsidR="001D1EAC">
        <w:rPr>
          <w:rFonts w:eastAsiaTheme="majorEastAsia" w:cstheme="majorBidi"/>
        </w:rPr>
        <w:t xml:space="preserve">both companies obtained their </w:t>
      </w:r>
      <w:r w:rsidR="00755E1F">
        <w:rPr>
          <w:rFonts w:eastAsiaTheme="majorEastAsia" w:cstheme="majorBidi"/>
        </w:rPr>
        <w:t>lowest debt-to-equity ratio</w:t>
      </w:r>
      <w:r w:rsidR="001D1EAC">
        <w:rPr>
          <w:rFonts w:eastAsiaTheme="majorEastAsia" w:cstheme="majorBidi"/>
        </w:rPr>
        <w:t xml:space="preserve">s with Macy’s having a ratio of 1.98 and Dillard’s having a </w:t>
      </w:r>
      <w:r w:rsidR="00A76D01">
        <w:rPr>
          <w:rFonts w:eastAsiaTheme="majorEastAsia" w:cstheme="majorBidi"/>
        </w:rPr>
        <w:t xml:space="preserve">ratio of </w:t>
      </w:r>
      <w:r w:rsidR="001D1EAC">
        <w:rPr>
          <w:rFonts w:eastAsiaTheme="majorEastAsia" w:cstheme="majorBidi"/>
        </w:rPr>
        <w:t xml:space="preserve">1.04. In 2019, however, the debt-to-equity ratios increased for both companies with Macy’s recording a ratio of 2.32 and Dillard’s recording a ratio of 1.11. </w:t>
      </w:r>
      <w:r w:rsidR="00AE33E1">
        <w:rPr>
          <w:rFonts w:eastAsiaTheme="majorEastAsia" w:cstheme="majorBidi"/>
        </w:rPr>
        <w:t>In 2020, t</w:t>
      </w:r>
      <w:r w:rsidR="001D1EAC">
        <w:rPr>
          <w:rFonts w:eastAsiaTheme="majorEastAsia" w:cstheme="majorBidi"/>
        </w:rPr>
        <w:t>he debt-to-equity ratio only increased slightly for Dillard’s to 1</w:t>
      </w:r>
      <w:r w:rsidR="00AE33E1">
        <w:rPr>
          <w:rFonts w:eastAsiaTheme="majorEastAsia" w:cstheme="majorBidi"/>
        </w:rPr>
        <w:t>.15 while Macy’s increased to 5.94. This significant increase in Macy’s debt-to-equity ratios between 2019 and 2020 was most likely due to the COVID-19 pandemic. Macy’s most likely had to obtain loans and other debt in order to keep the company afloat during this time period. In 2021</w:t>
      </w:r>
      <w:r w:rsidR="00A76D01">
        <w:rPr>
          <w:rFonts w:eastAsiaTheme="majorEastAsia" w:cstheme="majorBidi"/>
        </w:rPr>
        <w:t>,</w:t>
      </w:r>
      <w:r w:rsidR="00AE33E1">
        <w:rPr>
          <w:rFonts w:eastAsiaTheme="majorEastAsia" w:cstheme="majorBidi"/>
        </w:rPr>
        <w:t xml:space="preserve"> however, we see that Macy’s debt-to-equity ratio decreased significantly</w:t>
      </w:r>
      <w:r w:rsidR="002A6960">
        <w:rPr>
          <w:rFonts w:eastAsiaTheme="majorEastAsia" w:cstheme="majorBidi"/>
        </w:rPr>
        <w:t xml:space="preserve"> to 3.86 while Dillard’s increased to 1.24. This most likely means that Macy’s started to pay off its debts, or had an increase in total equity compared to its total debt.</w:t>
      </w:r>
    </w:p>
    <w:p w14:paraId="7C457DE5" w14:textId="61D30310" w:rsidR="003D4960" w:rsidRPr="00D10BE0" w:rsidRDefault="002A6960" w:rsidP="00C10274">
      <w:pPr>
        <w:ind w:firstLine="720"/>
      </w:pPr>
      <w:r>
        <w:rPr>
          <w:rFonts w:eastAsiaTheme="majorEastAsia" w:cstheme="majorBidi"/>
        </w:rPr>
        <w:t xml:space="preserve">In summary, </w:t>
      </w:r>
      <w:r w:rsidR="003D4960">
        <w:rPr>
          <w:rFonts w:eastAsiaTheme="majorEastAsia" w:cstheme="majorBidi"/>
        </w:rPr>
        <w:t>Dillard’s was able to maintain a debt-to-equity ratio close to 1 during this 5 year time period. This</w:t>
      </w:r>
      <w:r>
        <w:rPr>
          <w:rFonts w:eastAsiaTheme="majorEastAsia" w:cstheme="majorBidi"/>
        </w:rPr>
        <w:t xml:space="preserve"> is</w:t>
      </w:r>
      <w:r w:rsidR="003D4960">
        <w:rPr>
          <w:rFonts w:eastAsiaTheme="majorEastAsia" w:cstheme="majorBidi"/>
        </w:rPr>
        <w:t xml:space="preserve"> great for Dillard’s</w:t>
      </w:r>
      <w:r>
        <w:rPr>
          <w:rFonts w:eastAsiaTheme="majorEastAsia" w:cstheme="majorBidi"/>
        </w:rPr>
        <w:t>,</w:t>
      </w:r>
      <w:r w:rsidR="003D4960">
        <w:rPr>
          <w:rFonts w:eastAsiaTheme="majorEastAsia" w:cstheme="majorBidi"/>
        </w:rPr>
        <w:t xml:space="preserve"> because it means that for </w:t>
      </w:r>
      <w:r>
        <w:rPr>
          <w:rFonts w:eastAsiaTheme="majorEastAsia" w:cstheme="majorBidi"/>
        </w:rPr>
        <w:t xml:space="preserve">approximately </w:t>
      </w:r>
      <w:r w:rsidR="003D4960">
        <w:rPr>
          <w:rFonts w:eastAsiaTheme="majorEastAsia" w:cstheme="majorBidi"/>
        </w:rPr>
        <w:t xml:space="preserve">every dollar </w:t>
      </w:r>
      <w:r w:rsidR="003D4960">
        <w:rPr>
          <w:rFonts w:eastAsiaTheme="majorEastAsia" w:cstheme="majorBidi"/>
        </w:rPr>
        <w:lastRenderedPageBreak/>
        <w:t xml:space="preserve">of </w:t>
      </w:r>
      <w:r>
        <w:rPr>
          <w:rFonts w:eastAsiaTheme="majorEastAsia" w:cstheme="majorBidi"/>
        </w:rPr>
        <w:t xml:space="preserve">total </w:t>
      </w:r>
      <w:r w:rsidR="003D4960">
        <w:rPr>
          <w:rFonts w:eastAsiaTheme="majorEastAsia" w:cstheme="majorBidi"/>
        </w:rPr>
        <w:t xml:space="preserve">debt the company had, they had a dollar of </w:t>
      </w:r>
      <w:r>
        <w:rPr>
          <w:rFonts w:eastAsiaTheme="majorEastAsia" w:cstheme="majorBidi"/>
        </w:rPr>
        <w:t xml:space="preserve">total </w:t>
      </w:r>
      <w:r w:rsidR="003D4960">
        <w:rPr>
          <w:rFonts w:eastAsiaTheme="majorEastAsia" w:cstheme="majorBidi"/>
        </w:rPr>
        <w:t xml:space="preserve">equity. </w:t>
      </w:r>
      <w:r w:rsidR="00755E1F">
        <w:rPr>
          <w:rFonts w:eastAsiaTheme="majorEastAsia" w:cstheme="majorBidi"/>
        </w:rPr>
        <w:t xml:space="preserve">Macy’s, on the other hand, had relatively high debt-to-equity ratios throughout the years, reaching an all-time high in 2020. </w:t>
      </w:r>
      <w:r w:rsidR="003D4960">
        <w:rPr>
          <w:rFonts w:eastAsiaTheme="majorEastAsia" w:cstheme="majorBidi"/>
        </w:rPr>
        <w:t>Overall, in my opinion, Dillard’s had better financial leverage throughout the timespan analyzed than Macy’s.</w:t>
      </w:r>
      <w:r w:rsidR="00C74261">
        <w:rPr>
          <w:rFonts w:eastAsiaTheme="majorEastAsia" w:cstheme="majorBidi"/>
        </w:rPr>
        <w:t xml:space="preserve"> Nonetheless, if the trend continues, and the company is not affected by external risks, Macy’s might be on track for decreasing their debt-to-equity ratios in the near future.</w:t>
      </w:r>
    </w:p>
    <w:p w14:paraId="5B4BB53F" w14:textId="4AAE740B" w:rsidR="004A29E7" w:rsidRDefault="004A29E7" w:rsidP="004A29E7">
      <w:pPr>
        <w:pStyle w:val="Heading2"/>
      </w:pPr>
      <w:bookmarkStart w:id="12" w:name="_Toc111229090"/>
      <w:r>
        <w:t>Asset Management Measures</w:t>
      </w:r>
      <w:bookmarkEnd w:id="12"/>
    </w:p>
    <w:p w14:paraId="1A1FD354" w14:textId="6B5948D3" w:rsidR="00E66779" w:rsidRDefault="00E66779" w:rsidP="004A29E7">
      <w:pPr>
        <w:pStyle w:val="Heading3"/>
      </w:pPr>
      <w:bookmarkStart w:id="13" w:name="_Toc111229091"/>
      <w:r>
        <w:t>Days in Receivables</w:t>
      </w:r>
      <w:bookmarkEnd w:id="13"/>
    </w:p>
    <w:p w14:paraId="775ACB37" w14:textId="2BCD366D" w:rsidR="00F71F48" w:rsidRPr="00F71F48" w:rsidRDefault="00F71F48" w:rsidP="00F71F48">
      <w:pPr>
        <w:jc w:val="center"/>
        <w:rPr>
          <w:rFonts w:eastAsiaTheme="majorEastAsia" w:cstheme="majorBidi"/>
        </w:rPr>
      </w:pPr>
      <w:r>
        <w:rPr>
          <w:noProof/>
        </w:rPr>
        <w:drawing>
          <wp:inline distT="0" distB="0" distL="0" distR="0" wp14:anchorId="7AADAB0B" wp14:editId="7387AEB8">
            <wp:extent cx="4572000" cy="2743200"/>
            <wp:effectExtent l="0" t="0" r="12700" b="12700"/>
            <wp:docPr id="4" name="Chart 4">
              <a:extLst xmlns:a="http://schemas.openxmlformats.org/drawingml/2006/main">
                <a:ext uri="{FF2B5EF4-FFF2-40B4-BE49-F238E27FC236}">
                  <a16:creationId xmlns:a16="http://schemas.microsoft.com/office/drawing/2014/main" id="{A5D2F5B2-9D28-DBBF-4DB5-6A4DE81934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42D1934" w14:textId="11D018F9" w:rsidR="003A35A5" w:rsidRDefault="003A35A5" w:rsidP="004A29E7">
      <m:oMathPara>
        <m:oMath>
          <m:r>
            <w:rPr>
              <w:rFonts w:ascii="Cambria Math" w:hAnsi="Cambria Math"/>
            </w:rPr>
            <m:t>Day</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Sales</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Receivables</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365 </m:t>
              </m:r>
              <m:r>
                <w:rPr>
                  <w:rFonts w:ascii="Cambria Math" w:hAnsi="Cambria Math"/>
                </w:rPr>
                <m:t>days</m:t>
              </m:r>
            </m:num>
            <m:den>
              <m:r>
                <w:rPr>
                  <w:rFonts w:ascii="Cambria Math" w:hAnsi="Cambria Math"/>
                </w:rPr>
                <m:t>receivables</m:t>
              </m:r>
              <m:r>
                <m:rPr>
                  <m:sty m:val="p"/>
                </m:rPr>
                <w:rPr>
                  <w:rFonts w:ascii="Cambria Math" w:hAnsi="Cambria Math"/>
                </w:rPr>
                <m:t xml:space="preserve"> </m:t>
              </m:r>
              <m:r>
                <w:rPr>
                  <w:rFonts w:ascii="Cambria Math" w:hAnsi="Cambria Math"/>
                </w:rPr>
                <m:t>turnover</m:t>
              </m:r>
            </m:den>
          </m:f>
        </m:oMath>
      </m:oMathPara>
    </w:p>
    <w:p w14:paraId="7B4BE5D0" w14:textId="304DD09B" w:rsidR="000A58D0" w:rsidRDefault="003114DC" w:rsidP="000A58D0">
      <w:pPr>
        <w:ind w:firstLine="720"/>
      </w:pPr>
      <w:r>
        <w:t>The days</w:t>
      </w:r>
      <w:r w:rsidR="008460D0">
        <w:t>’</w:t>
      </w:r>
      <w:r>
        <w:t xml:space="preserve"> in receivables ratio, </w:t>
      </w:r>
      <w:r w:rsidR="003A35A5">
        <w:t xml:space="preserve">also known as the </w:t>
      </w:r>
      <w:r>
        <w:t>average collection period, is an asset management measure</w:t>
      </w:r>
      <w:r w:rsidR="003A35A5">
        <w:t>.</w:t>
      </w:r>
      <w:r>
        <w:t xml:space="preserve"> </w:t>
      </w:r>
      <w:r w:rsidR="003A35A5">
        <w:t>This ratio</w:t>
      </w:r>
      <w:r>
        <w:t xml:space="preserve"> </w:t>
      </w:r>
      <w:r w:rsidR="003A35A5">
        <w:t>reflects on a firm’s ability and pace at which it can collect its sales</w:t>
      </w:r>
      <w:r w:rsidR="00FB210B">
        <w:t xml:space="preserve"> from its accounts receivable </w:t>
      </w:r>
      <w:r w:rsidR="00FB210B" w:rsidRPr="00C825C9">
        <w:t>(Ross et al., 2022</w:t>
      </w:r>
      <w:r w:rsidR="00FB210B">
        <w:t>, p.66</w:t>
      </w:r>
      <w:r w:rsidR="00FB210B" w:rsidRPr="00C825C9">
        <w:t>)</w:t>
      </w:r>
      <w:r w:rsidR="003A35A5">
        <w:t>.</w:t>
      </w:r>
      <w:r w:rsidR="000A58D0">
        <w:t xml:space="preserve"> The lower the ratio, the faster the company collects its accounts receivable. The higher the ratio, the slower the company is at collecting its accounts receivable.</w:t>
      </w:r>
    </w:p>
    <w:p w14:paraId="44090203" w14:textId="12D1AC94" w:rsidR="00DA3C24" w:rsidRDefault="00DA3C24" w:rsidP="00DA3C24">
      <w:pPr>
        <w:ind w:firstLine="720"/>
      </w:pPr>
      <w:r>
        <w:lastRenderedPageBreak/>
        <w:t>In 2016, Macy’s had</w:t>
      </w:r>
      <w:r w:rsidR="00F55D16">
        <w:t xml:space="preserve"> 7.39</w:t>
      </w:r>
      <w:r>
        <w:t xml:space="preserve"> days’ sales in receivables </w:t>
      </w:r>
      <w:r w:rsidR="00F55D16">
        <w:t xml:space="preserve">while Dillard’s had 2.74. The days’ </w:t>
      </w:r>
      <w:r w:rsidR="008460D0">
        <w:t xml:space="preserve">sales </w:t>
      </w:r>
      <w:r w:rsidR="00F55D16">
        <w:t xml:space="preserve">in receivables for Macy’s decreased to 5.33 in 2017, while Dillard’s decreased to 2.25, its lowest recorded days’ </w:t>
      </w:r>
      <w:r w:rsidR="008460D0">
        <w:t xml:space="preserve">sales </w:t>
      </w:r>
      <w:r w:rsidR="00F55D16">
        <w:t xml:space="preserve">in receivables. </w:t>
      </w:r>
      <w:r w:rsidR="008460D0">
        <w:t>The following year, both of the companies’ days’ sales in receivables increased slightly</w:t>
      </w:r>
      <w:r w:rsidR="00AE7ED9">
        <w:t xml:space="preserve">; </w:t>
      </w:r>
      <w:r w:rsidR="008460D0">
        <w:t xml:space="preserve">Macy’s </w:t>
      </w:r>
      <w:r w:rsidR="00AE7ED9">
        <w:t>had</w:t>
      </w:r>
      <w:r w:rsidR="008460D0">
        <w:t xml:space="preserve"> </w:t>
      </w:r>
      <w:r w:rsidR="00AE7ED9">
        <w:t xml:space="preserve">5.67 days’ sales in receivables and Dillard’s had 2.86 days’ sales in receivables. In 2019, Macy’s days’ sales in receivables increased slightly to 5.89 while Dillard’s decreased to 2.78. The next year, however, Dillard’s days’ sales in receivables increased drastically to 12.81 and Macy’s decreased to 5.57. </w:t>
      </w:r>
      <w:r w:rsidR="001748B2">
        <w:t>In 2021, we see that Macy’s decreased to 4.29 days’ sales in receivables; its lowest days’ sales in receivables recorded within the timespan analyzed. That same year, Dillard’s managed to recover from 2020 by having a 2.35 days’ sales in receivables.</w:t>
      </w:r>
    </w:p>
    <w:p w14:paraId="60735281" w14:textId="35304085" w:rsidR="000A58D0" w:rsidRPr="003114DC" w:rsidRDefault="001748B2" w:rsidP="00A572FF">
      <w:pPr>
        <w:ind w:firstLine="720"/>
      </w:pPr>
      <w:r>
        <w:t>For the most part, Macy’s had higher days’ sales in receivables than Dillard’s throughout the timespan analyzed except for the year 2020. This change for Dillard’s days’ sales in receivables most likely happened as a result of the COVID-19 pandemic.</w:t>
      </w:r>
      <w:r w:rsidR="007E1691">
        <w:t xml:space="preserve"> </w:t>
      </w:r>
      <w:r w:rsidR="002254AC">
        <w:t>My theory is that c</w:t>
      </w:r>
      <w:r>
        <w:t xml:space="preserve">ustomers were less likely to pay off their </w:t>
      </w:r>
      <w:r w:rsidR="002254AC">
        <w:t>purchases made on credit</w:t>
      </w:r>
      <w:r>
        <w:t xml:space="preserve">, than they had been in other years, due to the </w:t>
      </w:r>
      <w:r w:rsidR="00A572FF">
        <w:t>e</w:t>
      </w:r>
      <w:r>
        <w:t xml:space="preserve">ffect the pandemic most likely had on their employment. </w:t>
      </w:r>
      <w:r w:rsidR="002254AC">
        <w:t xml:space="preserve">This meant that Dillard’s was not able to collect its sales from accounts receivable as fast as it used to before. The company could have also </w:t>
      </w:r>
      <w:r w:rsidR="00A572FF">
        <w:t>s</w:t>
      </w:r>
      <w:r w:rsidR="002254AC">
        <w:t xml:space="preserve">een an increase in purchases made using credit as opposed to paying in cash, which may have impacted their </w:t>
      </w:r>
      <w:r w:rsidR="00B1589A">
        <w:t>days’ sales in receivables ratio</w:t>
      </w:r>
      <w:r w:rsidR="002254AC">
        <w:t xml:space="preserve">. </w:t>
      </w:r>
      <w:r w:rsidR="00B1589A">
        <w:t>Regardless</w:t>
      </w:r>
      <w:r>
        <w:t>, I believe that Dillard’s is more efficient at collecting its sales in accounts receivable than Macy’s.</w:t>
      </w:r>
    </w:p>
    <w:p w14:paraId="63455618" w14:textId="0D1CBBEF" w:rsidR="004A29E7" w:rsidRDefault="004A29E7" w:rsidP="004A29E7">
      <w:pPr>
        <w:pStyle w:val="Heading2"/>
      </w:pPr>
      <w:bookmarkStart w:id="14" w:name="_Toc111229092"/>
      <w:r>
        <w:lastRenderedPageBreak/>
        <w:t>Profitability Measures</w:t>
      </w:r>
      <w:bookmarkEnd w:id="14"/>
    </w:p>
    <w:p w14:paraId="5CDF2675" w14:textId="4A9F7B2D" w:rsidR="00E66779" w:rsidRDefault="00E66779" w:rsidP="004A29E7">
      <w:pPr>
        <w:pStyle w:val="Heading3"/>
      </w:pPr>
      <w:bookmarkStart w:id="15" w:name="_Toc111229093"/>
      <w:r>
        <w:t>Return on Assets</w:t>
      </w:r>
      <w:bookmarkEnd w:id="15"/>
    </w:p>
    <w:p w14:paraId="6E83A629" w14:textId="36BE124E" w:rsidR="00F71F48" w:rsidRPr="00F71F48" w:rsidRDefault="00F71F48" w:rsidP="00F71F48">
      <w:pPr>
        <w:jc w:val="center"/>
        <w:rPr>
          <w:rFonts w:eastAsiaTheme="majorEastAsia" w:cstheme="majorBidi"/>
        </w:rPr>
      </w:pPr>
      <w:r>
        <w:rPr>
          <w:noProof/>
        </w:rPr>
        <w:drawing>
          <wp:inline distT="0" distB="0" distL="0" distR="0" wp14:anchorId="34D1074A" wp14:editId="52116A43">
            <wp:extent cx="4572000" cy="2743200"/>
            <wp:effectExtent l="0" t="0" r="12700" b="12700"/>
            <wp:docPr id="5" name="Chart 5">
              <a:extLst xmlns:a="http://schemas.openxmlformats.org/drawingml/2006/main">
                <a:ext uri="{FF2B5EF4-FFF2-40B4-BE49-F238E27FC236}">
                  <a16:creationId xmlns:a16="http://schemas.microsoft.com/office/drawing/2014/main" id="{0A39A96A-8893-D9EA-6584-6EB3A095E5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FC76356" w14:textId="349FB8DC" w:rsidR="00FB210B" w:rsidRPr="00FB210B" w:rsidRDefault="00FB210B" w:rsidP="004A29E7">
      <w:pPr>
        <w:rPr>
          <w:rFonts w:eastAsiaTheme="minorEastAsia"/>
        </w:rPr>
      </w:pPr>
      <m:oMathPara>
        <m:oMath>
          <m:r>
            <w:rPr>
              <w:rFonts w:ascii="Cambria Math" w:hAnsi="Cambria Math"/>
            </w:rPr>
            <m:t>Return</m:t>
          </m:r>
          <m:r>
            <m:rPr>
              <m:sty m:val="p"/>
            </m:rPr>
            <w:rPr>
              <w:rFonts w:ascii="Cambria Math" w:hAnsi="Cambria Math"/>
            </w:rPr>
            <m:t xml:space="preserve"> </m:t>
          </m:r>
          <m:r>
            <w:rPr>
              <w:rFonts w:ascii="Cambria Math" w:hAnsi="Cambria Math"/>
            </w:rPr>
            <m:t>on</m:t>
          </m:r>
          <m:r>
            <m:rPr>
              <m:sty m:val="p"/>
            </m:rPr>
            <w:rPr>
              <w:rFonts w:ascii="Cambria Math" w:hAnsi="Cambria Math"/>
            </w:rPr>
            <m:t xml:space="preserve"> </m:t>
          </m:r>
          <m:r>
            <w:rPr>
              <w:rFonts w:ascii="Cambria Math" w:hAnsi="Cambria Math"/>
            </w:rPr>
            <m:t>Assets</m:t>
          </m:r>
          <m:r>
            <m:rPr>
              <m:sty m:val="p"/>
            </m:rPr>
            <w:rPr>
              <w:rFonts w:ascii="Cambria Math" w:hAnsi="Cambria Math"/>
            </w:rPr>
            <m:t xml:space="preserve"> (</m:t>
          </m:r>
          <m:r>
            <w:rPr>
              <w:rFonts w:ascii="Cambria Math" w:hAnsi="Cambria Math"/>
            </w:rPr>
            <m:t>ROA</m:t>
          </m:r>
          <m:r>
            <m:rPr>
              <m:sty m:val="p"/>
            </m:rPr>
            <w:rPr>
              <w:rFonts w:ascii="Cambria Math" w:hAnsi="Cambria Math"/>
            </w:rPr>
            <m:t xml:space="preserve">)= </m:t>
          </m:r>
          <m:f>
            <m:fPr>
              <m:ctrlPr>
                <w:rPr>
                  <w:rFonts w:ascii="Cambria Math" w:hAnsi="Cambria Math"/>
                </w:rPr>
              </m:ctrlPr>
            </m:fPr>
            <m:num>
              <m:r>
                <w:rPr>
                  <w:rFonts w:ascii="Cambria Math" w:hAnsi="Cambria Math"/>
                </w:rPr>
                <m:t>net</m:t>
              </m:r>
              <m:r>
                <m:rPr>
                  <m:sty m:val="p"/>
                </m:rPr>
                <w:rPr>
                  <w:rFonts w:ascii="Cambria Math" w:hAnsi="Cambria Math"/>
                </w:rPr>
                <m:t xml:space="preserve"> </m:t>
              </m:r>
              <m:r>
                <w:rPr>
                  <w:rFonts w:ascii="Cambria Math" w:hAnsi="Cambria Math"/>
                </w:rPr>
                <m:t>income</m:t>
              </m:r>
            </m:num>
            <m:den>
              <m:r>
                <w:rPr>
                  <w:rFonts w:ascii="Cambria Math" w:hAnsi="Cambria Math"/>
                </w:rPr>
                <m:t>total</m:t>
              </m:r>
              <m:r>
                <m:rPr>
                  <m:sty m:val="p"/>
                </m:rPr>
                <w:rPr>
                  <w:rFonts w:ascii="Cambria Math" w:hAnsi="Cambria Math"/>
                </w:rPr>
                <m:t xml:space="preserve"> </m:t>
              </m:r>
              <m:r>
                <w:rPr>
                  <w:rFonts w:ascii="Cambria Math" w:hAnsi="Cambria Math"/>
                </w:rPr>
                <m:t>assets</m:t>
              </m:r>
            </m:den>
          </m:f>
        </m:oMath>
      </m:oMathPara>
    </w:p>
    <w:p w14:paraId="4347FB74" w14:textId="07DFF7D4" w:rsidR="00FB210B" w:rsidRDefault="000F37AC" w:rsidP="00A2525D">
      <w:pPr>
        <w:ind w:firstLine="720"/>
      </w:pPr>
      <w:r>
        <w:rPr>
          <w:rFonts w:eastAsiaTheme="minorEastAsia"/>
        </w:rPr>
        <w:t>Return</w:t>
      </w:r>
      <w:r w:rsidR="00FB210B">
        <w:rPr>
          <w:rFonts w:eastAsiaTheme="minorEastAsia"/>
        </w:rPr>
        <w:t xml:space="preserve"> on assets </w:t>
      </w:r>
      <w:r>
        <w:rPr>
          <w:rFonts w:eastAsiaTheme="minorEastAsia"/>
        </w:rPr>
        <w:t>(ROA)</w:t>
      </w:r>
      <w:r w:rsidR="00FB210B">
        <w:rPr>
          <w:rFonts w:eastAsiaTheme="minorEastAsia"/>
        </w:rPr>
        <w:t xml:space="preserve"> is a </w:t>
      </w:r>
      <w:r>
        <w:rPr>
          <w:rFonts w:eastAsiaTheme="minorEastAsia"/>
        </w:rPr>
        <w:t xml:space="preserve">profitability measure. To elaborate, ROA is a measure of profit per dollar of assets </w:t>
      </w:r>
      <w:r w:rsidRPr="00C825C9">
        <w:t>(Ross et al., 2022</w:t>
      </w:r>
      <w:r>
        <w:t>, p.68</w:t>
      </w:r>
      <w:r w:rsidRPr="00C825C9">
        <w:t>)</w:t>
      </w:r>
      <w:r>
        <w:t>.</w:t>
      </w:r>
      <w:r w:rsidR="0079474D">
        <w:t xml:space="preserve"> </w:t>
      </w:r>
      <w:r w:rsidR="00A2525D">
        <w:t>The higher the ROA, the more of a profit a firm makes for each dollar worth of assets. The lower the ROA, the less of a profit a firm makes for each dollar worth of assets. In fact, it is possible for a firm to have an ROA of 0% or a negative percentage as we will see in the following data analysis.</w:t>
      </w:r>
    </w:p>
    <w:p w14:paraId="36334493" w14:textId="5862663E" w:rsidR="00A2525D" w:rsidRDefault="00A2525D" w:rsidP="00A2525D">
      <w:pPr>
        <w:ind w:firstLine="720"/>
      </w:pPr>
      <w:r>
        <w:t>The ROA trendlines for both companies are relatively similar between 2016 and 2019</w:t>
      </w:r>
      <w:r w:rsidR="009F36E7">
        <w:t xml:space="preserve"> a</w:t>
      </w:r>
      <w:r w:rsidR="00B54162">
        <w:t xml:space="preserve">nd differ drastically in 2020 and 2021. In 2016, Dillard’s had a higher ROA% than Macy’s; Dillard’s had </w:t>
      </w:r>
      <w:r w:rsidR="009F36E7">
        <w:t xml:space="preserve">a </w:t>
      </w:r>
      <w:r w:rsidR="00B54162">
        <w:t xml:space="preserve">0.04% while Macy’s had </w:t>
      </w:r>
      <w:r w:rsidR="009F36E7">
        <w:t xml:space="preserve">a </w:t>
      </w:r>
      <w:r w:rsidR="00B54162">
        <w:t>0.03%. The next year, however, Macy’s had a 0.08% ROA</w:t>
      </w:r>
      <w:r w:rsidR="002306CB">
        <w:t>%</w:t>
      </w:r>
      <w:r w:rsidR="00B54162">
        <w:t xml:space="preserve"> while Dillard’s had a 0.06%. In 2018, both of the companies’ ROA% decreased slightly; Macy’s decreased to 0.0</w:t>
      </w:r>
      <w:r w:rsidR="009F36E7">
        <w:t>6</w:t>
      </w:r>
      <w:r w:rsidR="00B54162">
        <w:t xml:space="preserve">% while Dillard’s decreased to 0.05%. </w:t>
      </w:r>
      <w:r w:rsidR="00F3632F">
        <w:t xml:space="preserve">Their ROA% continued to decrease the following year with both Macy’s and Dillard’s reaching an ROA% of approximately 0.03%. In 2020, both companies reached their lowest ROA% recorded within the </w:t>
      </w:r>
      <w:r w:rsidR="00F3632F">
        <w:lastRenderedPageBreak/>
        <w:t>timespan analyzed, but Dillard’s did significantly better than Macy’s. Dillard’s ROA% dropped to -0.02</w:t>
      </w:r>
      <w:r w:rsidR="009F36E7">
        <w:t>%</w:t>
      </w:r>
      <w:r w:rsidR="00F3632F">
        <w:t xml:space="preserve"> while Macy’s dropped to -0.22</w:t>
      </w:r>
      <w:r w:rsidR="009F36E7">
        <w:t>%</w:t>
      </w:r>
      <w:r w:rsidR="00F3632F">
        <w:t>. The ROA% increased drastically for both companies</w:t>
      </w:r>
      <w:r w:rsidR="007F4A53">
        <w:t xml:space="preserve"> in 2021</w:t>
      </w:r>
      <w:r w:rsidR="007E1691">
        <w:t>; Dillard’s ROA% increased to 0.27</w:t>
      </w:r>
      <w:r w:rsidR="009F36E7">
        <w:t>%</w:t>
      </w:r>
      <w:r w:rsidR="007E1691">
        <w:t xml:space="preserve"> and Macy’s increased to 0.08%.</w:t>
      </w:r>
    </w:p>
    <w:p w14:paraId="7EAB8D7C" w14:textId="457CB469" w:rsidR="007E1691" w:rsidRPr="00FB210B" w:rsidRDefault="007E1691" w:rsidP="00A2525D">
      <w:pPr>
        <w:ind w:firstLine="720"/>
      </w:pPr>
      <w:r>
        <w:t xml:space="preserve">I believe the drastic drop in ROA percentages between 2019 and 2020 occurred due to the COVID-19 pandemic and its effect on the economy. </w:t>
      </w:r>
      <w:r w:rsidR="002E0319">
        <w:t>We know that n</w:t>
      </w:r>
      <w:r>
        <w:t xml:space="preserve">et </w:t>
      </w:r>
      <w:r w:rsidR="002E0319">
        <w:t>i</w:t>
      </w:r>
      <w:r>
        <w:t xml:space="preserve">ncome is composed of </w:t>
      </w:r>
      <w:r w:rsidR="00B1589A">
        <w:t xml:space="preserve">the difference between operating income and taxes paid while total assets includes current assets, net fixed assets and other intangible assets. The COVID-19 </w:t>
      </w:r>
      <w:r w:rsidR="002E0319">
        <w:t xml:space="preserve">pandemic resulted in negative net incomes for both companies as well as lower total assets. This may have occurred due to an increase in cost of goods sold and other expenses, less customers purchasing products, </w:t>
      </w:r>
      <w:r w:rsidR="009F36E7">
        <w:t xml:space="preserve">or a </w:t>
      </w:r>
      <w:r w:rsidR="002E0319">
        <w:t>decrease in inventory supply</w:t>
      </w:r>
      <w:r w:rsidR="009F36E7">
        <w:t>. Overall, even though both companies had negative ROA% in 2020, they started to recover in 2021. Once again, we see that Dillard’s managed its ROA% better than Macy’s in the past few years.</w:t>
      </w:r>
    </w:p>
    <w:p w14:paraId="2D222226" w14:textId="07464EB3" w:rsidR="00E66779" w:rsidRPr="004A29E7" w:rsidRDefault="00E66779" w:rsidP="004A29E7">
      <w:pPr>
        <w:pStyle w:val="Heading3"/>
      </w:pPr>
      <w:bookmarkStart w:id="16" w:name="_Toc111229094"/>
      <w:r w:rsidRPr="004A29E7">
        <w:t>Profit Margin</w:t>
      </w:r>
      <w:r w:rsidR="00784AB4">
        <w:t xml:space="preserve"> Ratio</w:t>
      </w:r>
      <w:bookmarkEnd w:id="16"/>
    </w:p>
    <w:p w14:paraId="53687E87" w14:textId="43E9610B" w:rsidR="00F71F48" w:rsidRPr="00F71F48" w:rsidRDefault="00CD53E2" w:rsidP="00CD53E2">
      <w:pPr>
        <w:jc w:val="center"/>
        <w:rPr>
          <w:rFonts w:eastAsiaTheme="majorEastAsia" w:cstheme="majorBidi"/>
        </w:rPr>
      </w:pPr>
      <w:r>
        <w:rPr>
          <w:noProof/>
        </w:rPr>
        <w:drawing>
          <wp:inline distT="0" distB="0" distL="0" distR="0" wp14:anchorId="6B3CB291" wp14:editId="129B6123">
            <wp:extent cx="4572000" cy="2743200"/>
            <wp:effectExtent l="0" t="0" r="12700" b="12700"/>
            <wp:docPr id="6" name="Chart 6">
              <a:extLst xmlns:a="http://schemas.openxmlformats.org/drawingml/2006/main">
                <a:ext uri="{FF2B5EF4-FFF2-40B4-BE49-F238E27FC236}">
                  <a16:creationId xmlns:a16="http://schemas.microsoft.com/office/drawing/2014/main" id="{F3D1B855-755F-A4FD-ED94-79D3633509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CAC6F1A" w14:textId="55DE7CD9" w:rsidR="00A117A4" w:rsidRDefault="00A117A4" w:rsidP="004A29E7">
      <m:oMathPara>
        <m:oMath>
          <m:r>
            <w:rPr>
              <w:rFonts w:ascii="Cambria Math" w:hAnsi="Cambria Math"/>
            </w:rPr>
            <m:t>Profit</m:t>
          </m:r>
          <m:r>
            <m:rPr>
              <m:sty m:val="p"/>
            </m:rPr>
            <w:rPr>
              <w:rFonts w:ascii="Cambria Math" w:hAnsi="Cambria Math"/>
            </w:rPr>
            <m:t xml:space="preserve"> </m:t>
          </m:r>
          <m:r>
            <w:rPr>
              <w:rFonts w:ascii="Cambria Math" w:hAnsi="Cambria Math"/>
            </w:rPr>
            <m:t>Margin</m:t>
          </m:r>
          <m:r>
            <m:rPr>
              <m:sty m:val="p"/>
            </m:rPr>
            <w:rPr>
              <w:rFonts w:ascii="Cambria Math" w:hAnsi="Cambria Math"/>
            </w:rPr>
            <m:t xml:space="preserve"> Ratio </m:t>
          </m:r>
          <m:d>
            <m:dPr>
              <m:ctrlPr>
                <w:rPr>
                  <w:rFonts w:ascii="Cambria Math" w:hAnsi="Cambria Math"/>
                </w:rPr>
              </m:ctrlPr>
            </m:dPr>
            <m:e>
              <m:r>
                <w:rPr>
                  <w:rFonts w:ascii="Cambria Math" w:hAnsi="Cambria Math"/>
                </w:rPr>
                <m:t>PM</m:t>
              </m:r>
            </m:e>
          </m:d>
          <m:r>
            <m:rPr>
              <m:sty m:val="p"/>
            </m:rPr>
            <w:rPr>
              <w:rFonts w:ascii="Cambria Math" w:hAnsi="Cambria Math"/>
            </w:rPr>
            <m:t xml:space="preserve">= </m:t>
          </m:r>
          <m:f>
            <m:fPr>
              <m:ctrlPr>
                <w:rPr>
                  <w:rFonts w:ascii="Cambria Math" w:hAnsi="Cambria Math"/>
                </w:rPr>
              </m:ctrlPr>
            </m:fPr>
            <m:num>
              <m:r>
                <w:rPr>
                  <w:rFonts w:ascii="Cambria Math" w:hAnsi="Cambria Math"/>
                </w:rPr>
                <m:t>net</m:t>
              </m:r>
              <m:r>
                <m:rPr>
                  <m:sty m:val="p"/>
                </m:rPr>
                <w:rPr>
                  <w:rFonts w:ascii="Cambria Math" w:hAnsi="Cambria Math"/>
                </w:rPr>
                <m:t xml:space="preserve"> </m:t>
              </m:r>
              <m:r>
                <w:rPr>
                  <w:rFonts w:ascii="Cambria Math" w:hAnsi="Cambria Math"/>
                </w:rPr>
                <m:t>income</m:t>
              </m:r>
            </m:num>
            <m:den>
              <m:r>
                <w:rPr>
                  <w:rFonts w:ascii="Cambria Math" w:hAnsi="Cambria Math"/>
                </w:rPr>
                <m:t>sales</m:t>
              </m:r>
            </m:den>
          </m:f>
        </m:oMath>
      </m:oMathPara>
    </w:p>
    <w:p w14:paraId="2F7CDF76" w14:textId="5FA7B21D" w:rsidR="000F37AC" w:rsidRDefault="00CE204D" w:rsidP="007F4A53">
      <w:pPr>
        <w:ind w:firstLine="720"/>
      </w:pPr>
      <w:r>
        <w:lastRenderedPageBreak/>
        <w:t>P</w:t>
      </w:r>
      <w:r w:rsidR="000F37AC">
        <w:t>rofit margin is a widely followed profitability ratio</w:t>
      </w:r>
      <w:r w:rsidR="00A117A4">
        <w:t>,</w:t>
      </w:r>
      <w:r w:rsidR="000F37AC">
        <w:t xml:space="preserve"> because it measures how well a company makes money</w:t>
      </w:r>
      <w:r w:rsidR="00A117A4">
        <w:t xml:space="preserve"> </w:t>
      </w:r>
      <w:r w:rsidR="00A117A4" w:rsidRPr="00C825C9">
        <w:t>(Ross et al., 2022</w:t>
      </w:r>
      <w:r w:rsidR="00A117A4">
        <w:t>, p.67</w:t>
      </w:r>
      <w:r w:rsidR="00A117A4" w:rsidRPr="00C825C9">
        <w:t>)</w:t>
      </w:r>
      <w:r w:rsidR="00A117A4">
        <w:t>.</w:t>
      </w:r>
      <w:r w:rsidR="007F4A53">
        <w:t xml:space="preserve"> The higher the profit margin ratio, the more net income the companies make per sale. The lower the profit margin, the</w:t>
      </w:r>
      <w:r w:rsidR="004C7963">
        <w:t xml:space="preserve"> lower the net income the </w:t>
      </w:r>
      <w:r w:rsidR="007F4A53">
        <w:t>company makes per sale. It is possible for a company to have a negative profit margin as we will see in the following data.</w:t>
      </w:r>
    </w:p>
    <w:p w14:paraId="6F42AD63" w14:textId="22C239C7" w:rsidR="002D55A8" w:rsidRDefault="00263DA6" w:rsidP="002D55A8">
      <w:pPr>
        <w:ind w:firstLine="720"/>
      </w:pPr>
      <w:r>
        <w:t>As it was observed in the ROA analysis, the profit margin trendlines for both companies are relatively similar between 2016 and 2019 and differ drastically in 2020 and 2021.For example, in 2016</w:t>
      </w:r>
      <w:r w:rsidR="002C7B1F">
        <w:t xml:space="preserve"> the profit margin ratio for Dillard’s was 0.03% while Macy’s had a profit margin ratio of 0.02%. In the following three years, Macy’s had a slightly higher profit margin ratio than Dillard’s. Macy’s had a profit margin</w:t>
      </w:r>
      <w:r w:rsidR="004C7963">
        <w:t xml:space="preserve"> ratio</w:t>
      </w:r>
      <w:r w:rsidR="002C7B1F">
        <w:t xml:space="preserve"> of 0.06% in 2017 and a profit margin</w:t>
      </w:r>
      <w:r w:rsidR="004C7963">
        <w:t xml:space="preserve"> ratio</w:t>
      </w:r>
      <w:r w:rsidR="002C7B1F">
        <w:t xml:space="preserve"> of </w:t>
      </w:r>
      <w:r w:rsidR="00B60C36">
        <w:t>0</w:t>
      </w:r>
      <w:r w:rsidR="002C7B1F">
        <w:t>.04% in 2018, while Dillard’s had a profit margin ratio of approximately 0.03% for both years. In 2019, they both decreased to a profit margin</w:t>
      </w:r>
      <w:r w:rsidR="004C7963">
        <w:t xml:space="preserve"> ratio</w:t>
      </w:r>
      <w:r w:rsidR="002C7B1F">
        <w:t xml:space="preserve"> of approximately 0.02%. </w:t>
      </w:r>
      <w:r w:rsidR="00B60C36">
        <w:t>Then, there</w:t>
      </w:r>
      <w:r w:rsidR="002D55A8">
        <w:t xml:space="preserve"> </w:t>
      </w:r>
      <w:r w:rsidR="00B60C36">
        <w:t>was</w:t>
      </w:r>
      <w:r w:rsidR="002D55A8">
        <w:t xml:space="preserve"> a drastic change in the profit margin percentages for both companies in 2020. Dillard’s reached its lowest profit margin ratio, in the timespan analyzed, of -0.02% while Macy’s reached a -0.22%</w:t>
      </w:r>
      <w:r w:rsidR="004C7963">
        <w:t xml:space="preserve"> profit margin ratio</w:t>
      </w:r>
      <w:r w:rsidR="002D55A8">
        <w:t xml:space="preserve">. In 2021, both companies increased their </w:t>
      </w:r>
      <w:r w:rsidR="00B60C36">
        <w:t xml:space="preserve">profit margin </w:t>
      </w:r>
      <w:r w:rsidR="002D55A8">
        <w:t xml:space="preserve">percentages significantly. Dillard’s rose to a profit margin </w:t>
      </w:r>
      <w:r w:rsidR="004C3981">
        <w:t xml:space="preserve">ratio </w:t>
      </w:r>
      <w:r w:rsidR="002D55A8">
        <w:t>of 0.13% and Macy’s reached a profit margin of 0.06%.</w:t>
      </w:r>
    </w:p>
    <w:p w14:paraId="21925A53" w14:textId="6A9805B1" w:rsidR="002D55A8" w:rsidRPr="000F37AC" w:rsidRDefault="002D55A8" w:rsidP="002D55A8">
      <w:pPr>
        <w:ind w:firstLine="720"/>
      </w:pPr>
      <w:r>
        <w:t>The changes in profit margin ratios for both companies between 2019 and 2021 was most likely due to the COVID-19 pandemic</w:t>
      </w:r>
      <w:r w:rsidR="00536FEC">
        <w:t xml:space="preserve"> and its effect on the economy</w:t>
      </w:r>
      <w:r>
        <w:t xml:space="preserve">. Based on the formula, we know that the variables affecting profit margin are net income and sales. As previously mentioned, we also know that net income is composed of the difference between operating income and taxes paid. </w:t>
      </w:r>
      <w:r w:rsidR="00536FEC">
        <w:t xml:space="preserve">In these years, sales decreased significantly and net income dropped to negative levels for both companies. This was most likely due to an increase in cost of goods sold </w:t>
      </w:r>
      <w:r w:rsidR="00536FEC">
        <w:lastRenderedPageBreak/>
        <w:t xml:space="preserve">and other expenses as well as a decrease in customers purchasing products. Nonetheless, though Dillard’s profit margin ratio </w:t>
      </w:r>
      <w:r w:rsidR="003703E7">
        <w:t xml:space="preserve">was constant for many years and </w:t>
      </w:r>
      <w:r w:rsidR="00536FEC">
        <w:t xml:space="preserve">didn’t decrease as much as Macy’s did in </w:t>
      </w:r>
      <w:r w:rsidR="003703E7">
        <w:t>2020, Macy’s increased its profit margin by an impressive 0.28% in 2021. In this case, I’d say that Macy’s managed their profit margin ratios more efficiently than Dillard’s throughout the years.</w:t>
      </w:r>
    </w:p>
    <w:p w14:paraId="3895AE6C" w14:textId="2C997CCC" w:rsidR="00E66779" w:rsidRDefault="00E66779" w:rsidP="004A29E7">
      <w:pPr>
        <w:pStyle w:val="Heading3"/>
      </w:pPr>
      <w:bookmarkStart w:id="17" w:name="_Toc111229095"/>
      <w:r>
        <w:t>Return on Equity</w:t>
      </w:r>
      <w:bookmarkEnd w:id="17"/>
    </w:p>
    <w:p w14:paraId="32346D67" w14:textId="07C71E7E" w:rsidR="00CD53E2" w:rsidRPr="00CD53E2" w:rsidRDefault="00CD53E2" w:rsidP="00CD53E2">
      <w:pPr>
        <w:jc w:val="center"/>
        <w:rPr>
          <w:rFonts w:eastAsiaTheme="majorEastAsia" w:cstheme="majorBidi"/>
        </w:rPr>
      </w:pPr>
      <w:r>
        <w:rPr>
          <w:noProof/>
        </w:rPr>
        <w:drawing>
          <wp:inline distT="0" distB="0" distL="0" distR="0" wp14:anchorId="7CE97CAB" wp14:editId="2460B577">
            <wp:extent cx="4572000" cy="2743200"/>
            <wp:effectExtent l="0" t="0" r="12700" b="12700"/>
            <wp:docPr id="7" name="Chart 7">
              <a:extLst xmlns:a="http://schemas.openxmlformats.org/drawingml/2006/main">
                <a:ext uri="{FF2B5EF4-FFF2-40B4-BE49-F238E27FC236}">
                  <a16:creationId xmlns:a16="http://schemas.microsoft.com/office/drawing/2014/main" id="{F079F4C7-9706-3A8E-CEBB-A92F93A687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98802F4" w14:textId="49E35B5A" w:rsidR="00A117A4" w:rsidRPr="00BE6B0B" w:rsidRDefault="00BE6B0B" w:rsidP="00A117A4">
      <w:pPr>
        <w:rPr>
          <w:rFonts w:eastAsiaTheme="minorEastAsia"/>
        </w:rPr>
      </w:pPr>
      <m:oMathPara>
        <m:oMath>
          <m:r>
            <w:rPr>
              <w:rFonts w:ascii="Cambria Math" w:hAnsi="Cambria Math"/>
            </w:rPr>
            <m:t xml:space="preserve">Return on Equity </m:t>
          </m:r>
          <m:d>
            <m:dPr>
              <m:ctrlPr>
                <w:rPr>
                  <w:rFonts w:ascii="Cambria Math" w:hAnsi="Cambria Math"/>
                  <w:i/>
                </w:rPr>
              </m:ctrlPr>
            </m:dPr>
            <m:e>
              <m:r>
                <w:rPr>
                  <w:rFonts w:ascii="Cambria Math" w:hAnsi="Cambria Math"/>
                </w:rPr>
                <m:t>ROE</m:t>
              </m:r>
            </m:e>
          </m:d>
          <m:r>
            <w:rPr>
              <w:rFonts w:ascii="Cambria Math" w:hAnsi="Cambria Math"/>
            </w:rPr>
            <m:t xml:space="preserve">= </m:t>
          </m:r>
          <m:f>
            <m:fPr>
              <m:ctrlPr>
                <w:rPr>
                  <w:rFonts w:ascii="Cambria Math" w:hAnsi="Cambria Math"/>
                  <w:i/>
                </w:rPr>
              </m:ctrlPr>
            </m:fPr>
            <m:num>
              <m:r>
                <w:rPr>
                  <w:rFonts w:ascii="Cambria Math" w:hAnsi="Cambria Math"/>
                </w:rPr>
                <m:t>net income</m:t>
              </m:r>
            </m:num>
            <m:den>
              <m:r>
                <w:rPr>
                  <w:rFonts w:ascii="Cambria Math" w:hAnsi="Cambria Math"/>
                </w:rPr>
                <m:t>total equity</m:t>
              </m:r>
            </m:den>
          </m:f>
        </m:oMath>
      </m:oMathPara>
    </w:p>
    <w:p w14:paraId="6DE6E2C7" w14:textId="1B3C4CEE" w:rsidR="00BE6B0B" w:rsidRDefault="00BE6B0B" w:rsidP="00B60C36">
      <w:pPr>
        <w:ind w:firstLine="720"/>
      </w:pPr>
      <w:r>
        <w:rPr>
          <w:rFonts w:eastAsiaTheme="minorEastAsia"/>
        </w:rPr>
        <w:t>Return on equity (ROE) is a profitability measure of how well the stockholder’s fared throughout the fiscal period</w:t>
      </w:r>
      <w:r w:rsidR="00C25B9E">
        <w:rPr>
          <w:rFonts w:eastAsiaTheme="minorEastAsia"/>
        </w:rPr>
        <w:t xml:space="preserve"> and it is believed to be “the true bottom line measure of performance” </w:t>
      </w:r>
      <w:r w:rsidR="00C25B9E" w:rsidRPr="00C825C9">
        <w:t>(Ross et al., 2022</w:t>
      </w:r>
      <w:r w:rsidR="00C25B9E">
        <w:t>, p.68</w:t>
      </w:r>
      <w:r w:rsidR="00C25B9E" w:rsidRPr="00C825C9">
        <w:t>)</w:t>
      </w:r>
      <w:r w:rsidR="00C25B9E">
        <w:t>.</w:t>
      </w:r>
      <w:r w:rsidR="00B60C36">
        <w:t xml:space="preserve"> Investors would most likely favor companies with a higher ROE% as it indicates </w:t>
      </w:r>
      <w:r w:rsidR="00A447D4">
        <w:t xml:space="preserve">that </w:t>
      </w:r>
      <w:r w:rsidR="00B60C36">
        <w:t xml:space="preserve">the company had a high net income compared to its total equity. A lower ROE% indicates that the </w:t>
      </w:r>
      <w:r w:rsidR="00687F09">
        <w:t>company had a low net income compared to its total equity. In this case we are able to see that it is possible for companies to reach negative ROE%.</w:t>
      </w:r>
    </w:p>
    <w:p w14:paraId="17775519" w14:textId="78997C1E" w:rsidR="00687F09" w:rsidRDefault="00687F09" w:rsidP="00A447D4">
      <w:pPr>
        <w:ind w:firstLine="720"/>
      </w:pPr>
      <w:r>
        <w:lastRenderedPageBreak/>
        <w:t>As it was observed in the previous trendline analyses, the return on equity trendlines for both companies are relatively similar between 2016 and 2019 and differ drastically in 2020. In 2016,</w:t>
      </w:r>
      <w:r w:rsidR="00B37F29">
        <w:t xml:space="preserve"> Macy’s had an ROE% of 0.14% while Dillard’s had a 0.10%. In the following year, Macy’s almost doubled their ROE% with a 0.27% while Dillard’s only increased their ROE% slightly to a 0.13%. Both companies’ ROE% decreased in </w:t>
      </w:r>
      <w:r w:rsidR="00A447D4">
        <w:t xml:space="preserve">the following two years; </w:t>
      </w:r>
      <w:r w:rsidR="00B37F29">
        <w:t>Macy’s</w:t>
      </w:r>
      <w:r w:rsidR="00D67FC1">
        <w:t xml:space="preserve"> </w:t>
      </w:r>
      <w:r w:rsidR="00B37F29">
        <w:t>dropp</w:t>
      </w:r>
      <w:r w:rsidR="00A447D4">
        <w:t>ed</w:t>
      </w:r>
      <w:r w:rsidR="00B37F29">
        <w:t xml:space="preserve"> to a </w:t>
      </w:r>
      <w:r w:rsidR="00D67FC1">
        <w:t xml:space="preserve">0.17% </w:t>
      </w:r>
      <w:r w:rsidR="00A447D4">
        <w:t xml:space="preserve">in 2018 and to 0.09% in 2019 while </w:t>
      </w:r>
      <w:r w:rsidR="00D67FC1">
        <w:t xml:space="preserve">Dillard’s </w:t>
      </w:r>
      <w:r w:rsidR="00A447D4">
        <w:t xml:space="preserve">dropped </w:t>
      </w:r>
      <w:r w:rsidR="00D67FC1">
        <w:t>to</w:t>
      </w:r>
      <w:r w:rsidR="00A447D4">
        <w:t xml:space="preserve"> a</w:t>
      </w:r>
      <w:r w:rsidR="00D67FC1">
        <w:t xml:space="preserve"> 0.10%</w:t>
      </w:r>
      <w:r w:rsidR="00A447D4">
        <w:t xml:space="preserve"> in 2018</w:t>
      </w:r>
      <w:r w:rsidR="00D67FC1">
        <w:t xml:space="preserve"> </w:t>
      </w:r>
      <w:r w:rsidR="00A447D4">
        <w:t xml:space="preserve">and to a 0.07% in 2019. </w:t>
      </w:r>
      <w:r w:rsidR="00D67FC1">
        <w:t>In 20</w:t>
      </w:r>
      <w:r w:rsidR="00A447D4">
        <w:t>20</w:t>
      </w:r>
      <w:r w:rsidR="00D67FC1">
        <w:t xml:space="preserve">, both companies’ ROE% decreased remarkably with Macy’s reaching a -1.54% and Dillard’s reaching a -0.05%. The next year, however, both companies started to recover by having an increase in their ROE%; Dillard’s rose to a </w:t>
      </w:r>
      <w:r w:rsidR="00881812">
        <w:t>0.59% while Macy’s increased to a 0.39%.</w:t>
      </w:r>
    </w:p>
    <w:p w14:paraId="60C01AC3" w14:textId="06D124EB" w:rsidR="00687F09" w:rsidRPr="00A117A4" w:rsidRDefault="00687F09" w:rsidP="009E1ECE">
      <w:pPr>
        <w:ind w:firstLine="720"/>
      </w:pPr>
      <w:r>
        <w:t xml:space="preserve">Overall, Macy’s had higher return on equity percentages </w:t>
      </w:r>
      <w:r w:rsidR="008404FF">
        <w:t xml:space="preserve">from 2016 to 2019. </w:t>
      </w:r>
      <w:r w:rsidR="005B1389">
        <w:t xml:space="preserve">The changes in </w:t>
      </w:r>
      <w:r w:rsidR="005B1389">
        <w:t>return on equity</w:t>
      </w:r>
      <w:r w:rsidR="005B1389">
        <w:t xml:space="preserve"> ratios for both companies between 2019 and 2021 was most likely due to the COVID-19 pandemic and its effect on the economy. Based on the formula, we know that the variables affecting </w:t>
      </w:r>
      <w:r w:rsidR="005B1389">
        <w:t>return on equity</w:t>
      </w:r>
      <w:r w:rsidR="005B1389">
        <w:t xml:space="preserve"> are net income and </w:t>
      </w:r>
      <w:r w:rsidR="005B1389">
        <w:t>total equity</w:t>
      </w:r>
      <w:r w:rsidR="005B1389">
        <w:t>. As previously mentioned, we also know that net income is composed of the difference between operating income and taxes paid. In these years, net income dropped to negative levels for both companies. This was most likely due to an increase in cost of goods sold and other expenses as well as a decrease in customers purchasing products</w:t>
      </w:r>
      <w:r w:rsidR="000B08CF">
        <w:t>, or sales</w:t>
      </w:r>
      <w:r w:rsidR="005B1389">
        <w:t xml:space="preserve">. </w:t>
      </w:r>
      <w:r w:rsidR="000B08CF">
        <w:t>However, t</w:t>
      </w:r>
      <w:r w:rsidR="008404FF">
        <w:t xml:space="preserve">hough Macy’s ROE% dropped </w:t>
      </w:r>
      <w:r w:rsidR="00B37F29">
        <w:t>significantly</w:t>
      </w:r>
      <w:r w:rsidR="008404FF">
        <w:t xml:space="preserve"> more than Dillard’s, it was able to recover with a 1.15% increase in 2021.</w:t>
      </w:r>
      <w:r w:rsidR="00881812">
        <w:t xml:space="preserve"> While I recognize the consistency of Dillard’s ROE% throughout the years analyzed, I believe Macy’s is more efficient in managing their ROE ratios. To conclude, i</w:t>
      </w:r>
      <w:r w:rsidR="00881812">
        <w:t>f the trendline continues, and the companies are not affected by external factors, Macy’s might catch up to or surpass Dillard’s ROE% as it has in other years.</w:t>
      </w:r>
    </w:p>
    <w:p w14:paraId="24650F27" w14:textId="10F2BFDA" w:rsidR="00C25B9E" w:rsidRDefault="00C25B9E" w:rsidP="00C25B9E">
      <w:pPr>
        <w:pStyle w:val="Heading2"/>
      </w:pPr>
      <w:bookmarkStart w:id="18" w:name="_Toc111229096"/>
      <w:r>
        <w:lastRenderedPageBreak/>
        <w:t>Market Value Measures</w:t>
      </w:r>
      <w:bookmarkEnd w:id="18"/>
    </w:p>
    <w:p w14:paraId="5D2B86AD" w14:textId="0746061C" w:rsidR="00E66779" w:rsidRDefault="00E66779" w:rsidP="004A29E7">
      <w:pPr>
        <w:pStyle w:val="Heading3"/>
      </w:pPr>
      <w:bookmarkStart w:id="19" w:name="_Toc111229097"/>
      <w:r>
        <w:t>Price</w:t>
      </w:r>
      <w:r w:rsidR="009D17B6">
        <w:t>-</w:t>
      </w:r>
      <w:r>
        <w:t>Earnings Ratio</w:t>
      </w:r>
      <w:bookmarkEnd w:id="19"/>
    </w:p>
    <w:p w14:paraId="60B5E1D7" w14:textId="4AF9763E" w:rsidR="00CD53E2" w:rsidRPr="00CD53E2" w:rsidRDefault="00CD53E2" w:rsidP="00CD53E2">
      <w:pPr>
        <w:jc w:val="center"/>
        <w:rPr>
          <w:rFonts w:eastAsiaTheme="majorEastAsia" w:cstheme="majorBidi"/>
        </w:rPr>
      </w:pPr>
      <w:r>
        <w:rPr>
          <w:noProof/>
        </w:rPr>
        <w:drawing>
          <wp:inline distT="0" distB="0" distL="0" distR="0" wp14:anchorId="5F3A0309" wp14:editId="4F935A4B">
            <wp:extent cx="4572000" cy="2743200"/>
            <wp:effectExtent l="0" t="0" r="12700" b="12700"/>
            <wp:docPr id="8" name="Chart 8">
              <a:extLst xmlns:a="http://schemas.openxmlformats.org/drawingml/2006/main">
                <a:ext uri="{FF2B5EF4-FFF2-40B4-BE49-F238E27FC236}">
                  <a16:creationId xmlns:a16="http://schemas.microsoft.com/office/drawing/2014/main" id="{A2410D4A-17F7-0097-596D-10991E485C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4A69D68" w14:textId="442F2BF3" w:rsidR="00CE5D58" w:rsidRDefault="00CE5D58" w:rsidP="00C25B9E">
      <m:oMathPara>
        <m:oMath>
          <m:r>
            <w:rPr>
              <w:rFonts w:ascii="Cambria Math" w:hAnsi="Cambria Math"/>
            </w:rPr>
            <m:t xml:space="preserve">Price-Earnings Ratio (PE)= </m:t>
          </m:r>
          <m:f>
            <m:fPr>
              <m:ctrlPr>
                <w:rPr>
                  <w:rFonts w:ascii="Cambria Math" w:hAnsi="Cambria Math"/>
                  <w:i/>
                </w:rPr>
              </m:ctrlPr>
            </m:fPr>
            <m:num>
              <m:r>
                <w:rPr>
                  <w:rFonts w:ascii="Cambria Math" w:hAnsi="Cambria Math"/>
                </w:rPr>
                <m:t>price per share</m:t>
              </m:r>
            </m:num>
            <m:den>
              <m:r>
                <w:rPr>
                  <w:rFonts w:ascii="Cambria Math" w:hAnsi="Cambria Math"/>
                </w:rPr>
                <m:t>earnings per share</m:t>
              </m:r>
            </m:den>
          </m:f>
        </m:oMath>
      </m:oMathPara>
    </w:p>
    <w:p w14:paraId="4BC2D092" w14:textId="00331472" w:rsidR="00C25B9E" w:rsidRDefault="00C25B9E" w:rsidP="00997545">
      <w:pPr>
        <w:ind w:firstLine="720"/>
      </w:pPr>
      <w:r>
        <w:t>The price</w:t>
      </w:r>
      <w:r w:rsidR="00CE5D58">
        <w:t>-</w:t>
      </w:r>
      <w:r>
        <w:t>earnings ratio</w:t>
      </w:r>
      <w:r w:rsidR="00CE5D58">
        <w:t xml:space="preserve"> (PE) measures how much investors are willing to pay per dollar of a firm’s current earnings </w:t>
      </w:r>
      <w:r w:rsidR="00CE5D58" w:rsidRPr="00C825C9">
        <w:t>(Ross et al., 2022</w:t>
      </w:r>
      <w:r w:rsidR="00CE5D58">
        <w:t>, p.69</w:t>
      </w:r>
      <w:r w:rsidR="00CE5D58" w:rsidRPr="00C825C9">
        <w:t>)</w:t>
      </w:r>
      <w:r w:rsidR="00CE5D58">
        <w:t xml:space="preserve">. </w:t>
      </w:r>
      <w:r w:rsidR="00997545">
        <w:t xml:space="preserve">For example, the higher the price per share compared to the earnings per share, the higher the price-earnings ratio. </w:t>
      </w:r>
      <w:r w:rsidR="00CE5D58">
        <w:t>The higher the PE</w:t>
      </w:r>
      <w:r w:rsidR="00432894">
        <w:t xml:space="preserve"> ratio</w:t>
      </w:r>
      <w:r w:rsidR="00CE5D58">
        <w:t xml:space="preserve">, the more likely </w:t>
      </w:r>
      <w:r w:rsidR="00545A32">
        <w:t>the company</w:t>
      </w:r>
      <w:r w:rsidR="00CE5D58">
        <w:t xml:space="preserve"> is thought to produce future financial growth.</w:t>
      </w:r>
      <w:r w:rsidR="000B08CF">
        <w:t xml:space="preserve"> </w:t>
      </w:r>
    </w:p>
    <w:p w14:paraId="5471C8A1" w14:textId="7847AE25" w:rsidR="00997545" w:rsidRDefault="00997545" w:rsidP="00432894">
      <w:pPr>
        <w:ind w:firstLine="720"/>
      </w:pPr>
      <w:r>
        <w:t xml:space="preserve">In 2016, </w:t>
      </w:r>
      <w:r w:rsidR="00432894">
        <w:t xml:space="preserve">Macy’s had a higher PE ratio than Dillard’s; Macy’s had a 14.70 PE ratio while Dillard’s had a 11.45 PE ratio. </w:t>
      </w:r>
      <w:r>
        <w:t xml:space="preserve">Investors were willing to pay more </w:t>
      </w:r>
      <w:r w:rsidR="005B1389">
        <w:t>per dollar of Dillard’s current earnings for the years 2017, 2018, 2019 and 2021.</w:t>
      </w:r>
      <w:r w:rsidR="00432894">
        <w:t xml:space="preserve"> In 2017, though both companies’ PE ratios decreased, Dillard’s had a PE</w:t>
      </w:r>
      <w:r w:rsidR="00BA7BD6">
        <w:t xml:space="preserve"> ratio</w:t>
      </w:r>
      <w:r w:rsidR="00432894">
        <w:t xml:space="preserve"> of 9.00 while Macy’s had a 5.12 PE</w:t>
      </w:r>
      <w:r w:rsidR="00BA7BD6">
        <w:t xml:space="preserve"> ratio</w:t>
      </w:r>
      <w:r w:rsidR="00432894">
        <w:t xml:space="preserve">. </w:t>
      </w:r>
      <w:r w:rsidR="00BA7BD6">
        <w:t>Both of the companies’ PE ratios increased</w:t>
      </w:r>
      <w:r w:rsidR="00432894">
        <w:t xml:space="preserve"> in 2018, </w:t>
      </w:r>
      <w:r w:rsidR="00BA7BD6">
        <w:t xml:space="preserve">with Dillard’s ratio increasing to a 10.72 and Macy’s increasing to a 7.31. There was an additional increase in PE ratios for both companies in the following year; Dillard’s increased to a 13.86 PE ratio while Macy’s increased to a 8.76 PE ratio. </w:t>
      </w:r>
      <w:r w:rsidR="00BA7BD6">
        <w:lastRenderedPageBreak/>
        <w:t xml:space="preserve">In 2020, </w:t>
      </w:r>
      <w:r w:rsidR="00E5342C">
        <w:t>however</w:t>
      </w:r>
      <w:r w:rsidR="00BA7BD6">
        <w:t xml:space="preserve">, both companies had a negative PE ratio; for the purpose of this report, </w:t>
      </w:r>
      <w:r w:rsidR="00E5342C">
        <w:t>both companies</w:t>
      </w:r>
      <w:r w:rsidR="00BA7BD6">
        <w:t xml:space="preserve"> did not have a PE ratio for </w:t>
      </w:r>
      <w:r w:rsidR="00E5342C">
        <w:t>that year. Then, in 2021, the PE ratio for both companies increased. Dillard’s PE ratio increased to a 6.06 while Macy’s PE ratio increased to a 5.49.</w:t>
      </w:r>
    </w:p>
    <w:p w14:paraId="70F0C1DE" w14:textId="28FDD742" w:rsidR="00E5342C" w:rsidRPr="00C25B9E" w:rsidRDefault="00E5342C" w:rsidP="00432894">
      <w:pPr>
        <w:ind w:firstLine="720"/>
      </w:pPr>
      <w:r>
        <w:t xml:space="preserve">As it was observed in the year 2020, it is possible for companies’ PE ratios to fall below 0. This means that investors are not willing to invest in a company based on their current earnings at the time. This was most likely due to the companies’ performance </w:t>
      </w:r>
      <w:r w:rsidR="00585CBF">
        <w:t>that year</w:t>
      </w:r>
      <w:r>
        <w:t xml:space="preserve"> and the uncertainty of the impact </w:t>
      </w:r>
      <w:r w:rsidR="00545A32">
        <w:t xml:space="preserve">that </w:t>
      </w:r>
      <w:r>
        <w:t>the COVID-19 pandemic would have on the retail industry.</w:t>
      </w:r>
      <w:r w:rsidR="00585CBF">
        <w:t xml:space="preserve"> </w:t>
      </w:r>
      <w:r w:rsidR="00545A32">
        <w:t>Investors’ finances may have also been</w:t>
      </w:r>
      <w:r w:rsidR="00585CBF">
        <w:t xml:space="preserve"> negative</w:t>
      </w:r>
      <w:r w:rsidR="00545A32">
        <w:t>ly</w:t>
      </w:r>
      <w:r w:rsidR="00585CBF">
        <w:t xml:space="preserve"> </w:t>
      </w:r>
      <w:r w:rsidR="00545A32">
        <w:t>a</w:t>
      </w:r>
      <w:r w:rsidR="00585CBF">
        <w:t>ffect</w:t>
      </w:r>
      <w:r w:rsidR="00545A32">
        <w:t>ed by</w:t>
      </w:r>
      <w:r w:rsidR="00585CBF">
        <w:t xml:space="preserve"> the pandemic</w:t>
      </w:r>
      <w:r w:rsidR="00545A32">
        <w:t xml:space="preserve">. </w:t>
      </w:r>
      <w:r w:rsidR="00585CBF">
        <w:t>Regardless, both companies’ PE ratios started to rise the following year</w:t>
      </w:r>
      <w:r w:rsidR="00656B1C">
        <w:t>.</w:t>
      </w:r>
    </w:p>
    <w:p w14:paraId="6C033DFA" w14:textId="0EDBA55E" w:rsidR="00E66779" w:rsidRPr="00E66779" w:rsidRDefault="00E66779" w:rsidP="004A29E7">
      <w:pPr>
        <w:pStyle w:val="Heading3"/>
      </w:pPr>
      <w:bookmarkStart w:id="20" w:name="_Toc111229098"/>
      <w:r>
        <w:t>Price-to-Sales</w:t>
      </w:r>
      <w:r w:rsidR="009D17B6">
        <w:t xml:space="preserve"> Ratio</w:t>
      </w:r>
      <w:bookmarkEnd w:id="20"/>
    </w:p>
    <w:p w14:paraId="477A2658" w14:textId="6FC54E54" w:rsidR="00CD53E2" w:rsidRPr="00CD53E2" w:rsidRDefault="00CD53E2" w:rsidP="00CD53E2">
      <w:pPr>
        <w:jc w:val="center"/>
        <w:rPr>
          <w:rFonts w:eastAsiaTheme="majorEastAsia" w:cstheme="majorBidi"/>
        </w:rPr>
      </w:pPr>
      <w:r>
        <w:rPr>
          <w:noProof/>
        </w:rPr>
        <w:drawing>
          <wp:inline distT="0" distB="0" distL="0" distR="0" wp14:anchorId="7F5AE512" wp14:editId="5D12EDC8">
            <wp:extent cx="4572000" cy="2743200"/>
            <wp:effectExtent l="0" t="0" r="12700" b="12700"/>
            <wp:docPr id="9" name="Chart 9">
              <a:extLst xmlns:a="http://schemas.openxmlformats.org/drawingml/2006/main">
                <a:ext uri="{FF2B5EF4-FFF2-40B4-BE49-F238E27FC236}">
                  <a16:creationId xmlns:a16="http://schemas.microsoft.com/office/drawing/2014/main" id="{6B4D0DCA-4C13-5B54-AC8E-8A14BE578A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9A17E04" w14:textId="447494B8" w:rsidR="00E43619" w:rsidRDefault="00E43619" w:rsidP="00B92531">
      <m:oMathPara>
        <m:oMath>
          <m:r>
            <w:rPr>
              <w:rFonts w:ascii="Cambria Math" w:hAnsi="Cambria Math"/>
            </w:rPr>
            <m:t xml:space="preserve">Price-to-Sales Ratio= </m:t>
          </m:r>
          <m:f>
            <m:fPr>
              <m:ctrlPr>
                <w:rPr>
                  <w:rFonts w:ascii="Cambria Math" w:hAnsi="Cambria Math"/>
                  <w:i/>
                </w:rPr>
              </m:ctrlPr>
            </m:fPr>
            <m:num>
              <m:r>
                <w:rPr>
                  <w:rFonts w:ascii="Cambria Math" w:hAnsi="Cambria Math"/>
                </w:rPr>
                <m:t>price per share</m:t>
              </m:r>
            </m:num>
            <m:den>
              <m:r>
                <w:rPr>
                  <w:rFonts w:ascii="Cambria Math" w:hAnsi="Cambria Math"/>
                </w:rPr>
                <m:t>sales per share</m:t>
              </m:r>
            </m:den>
          </m:f>
        </m:oMath>
      </m:oMathPara>
    </w:p>
    <w:p w14:paraId="21E53AC3" w14:textId="42FFC6ED" w:rsidR="00E43619" w:rsidRDefault="00E43619" w:rsidP="00585CBF">
      <w:pPr>
        <w:ind w:firstLine="720"/>
      </w:pPr>
      <w:r>
        <w:t>When companies have negative earnings for extended periods of time, their price-earnings ratios are not considered meaningful or reliable</w:t>
      </w:r>
      <w:r w:rsidR="00D548F3">
        <w:t xml:space="preserve"> </w:t>
      </w:r>
      <w:r w:rsidR="00D548F3" w:rsidRPr="00C825C9">
        <w:t>(Ross et al., 2022</w:t>
      </w:r>
      <w:r w:rsidR="00D548F3">
        <w:t>, p.70</w:t>
      </w:r>
      <w:r w:rsidR="00D548F3" w:rsidRPr="00C825C9">
        <w:t>)</w:t>
      </w:r>
      <w:r>
        <w:t>. When this occurs, analysts and investors often refer to companies’ price-sales ratios.</w:t>
      </w:r>
      <w:r w:rsidR="00585CBF">
        <w:t xml:space="preserve"> </w:t>
      </w:r>
      <w:r w:rsidR="00723842">
        <w:t xml:space="preserve">The higher the sales </w:t>
      </w:r>
      <w:r w:rsidR="00723842">
        <w:lastRenderedPageBreak/>
        <w:t xml:space="preserve">per share, compared to the price per share, the lower the price-sales ratio. The lower the price-sales ratio, </w:t>
      </w:r>
      <w:r w:rsidR="00656B1C">
        <w:t xml:space="preserve">the </w:t>
      </w:r>
      <w:r w:rsidR="00723842">
        <w:t xml:space="preserve">more appealing it is to investors and analysts. </w:t>
      </w:r>
      <w:r w:rsidR="004A133C">
        <w:t>This is because, a price-sales ratio less than one, indicates that investors are paying less than $1 for every $1 the company earns in sales.</w:t>
      </w:r>
    </w:p>
    <w:p w14:paraId="4801B355" w14:textId="7398414E" w:rsidR="004A133C" w:rsidRDefault="004A133C" w:rsidP="00585CBF">
      <w:pPr>
        <w:ind w:firstLine="720"/>
      </w:pPr>
      <w:r>
        <w:t xml:space="preserve">From 2016 to 2018, the </w:t>
      </w:r>
      <w:r>
        <w:t>price-sales ratios</w:t>
      </w:r>
      <w:r>
        <w:t xml:space="preserve"> for Macy’s were higher than </w:t>
      </w:r>
      <w:r w:rsidR="0095128A">
        <w:t xml:space="preserve">Dillard’s. In 2016, for example, Macy’s had a </w:t>
      </w:r>
      <w:r w:rsidR="0095128A">
        <w:t>price-sales ratio</w:t>
      </w:r>
      <w:r w:rsidR="0095128A">
        <w:t xml:space="preserve"> of 0.35 as opposed to Dillard’s 0.28 </w:t>
      </w:r>
      <w:r w:rsidR="0095128A">
        <w:t>price-sales ratio</w:t>
      </w:r>
      <w:r w:rsidR="0095128A">
        <w:t xml:space="preserve">. In the following year, Dillard’s </w:t>
      </w:r>
      <w:r w:rsidR="0095128A">
        <w:t>price-sales ratio</w:t>
      </w:r>
      <w:r w:rsidR="0095128A">
        <w:t xml:space="preserve"> increased to 0.30 while Macy’s </w:t>
      </w:r>
      <w:r w:rsidR="0095128A">
        <w:t>price-sales ratio</w:t>
      </w:r>
      <w:r w:rsidR="0095128A">
        <w:t xml:space="preserve"> dropped to 0.32. In 2018, Dillard’s </w:t>
      </w:r>
      <w:r w:rsidR="0095128A">
        <w:t>price-sales ratio</w:t>
      </w:r>
      <w:r w:rsidR="0095128A">
        <w:t xml:space="preserve"> decreased to 0.27 and Macy’s </w:t>
      </w:r>
      <w:r w:rsidR="0095128A">
        <w:t>price-sales ratio</w:t>
      </w:r>
      <w:r w:rsidR="0095128A">
        <w:t xml:space="preserve"> lowered slightly to </w:t>
      </w:r>
      <w:r w:rsidR="0082442A">
        <w:t xml:space="preserve">0.31. Though both companies’ </w:t>
      </w:r>
      <w:r w:rsidR="0082442A">
        <w:t>price-sales ratios</w:t>
      </w:r>
      <w:r w:rsidR="0082442A">
        <w:t xml:space="preserve"> dropped the next year, Dillard’s </w:t>
      </w:r>
      <w:r w:rsidR="0082442A">
        <w:t>price-sales ratio</w:t>
      </w:r>
      <w:r w:rsidR="0082442A">
        <w:t xml:space="preserve"> was higher than Macy’s </w:t>
      </w:r>
      <w:r w:rsidR="0082442A">
        <w:t>price-sales ratio</w:t>
      </w:r>
      <w:r w:rsidR="0082442A">
        <w:t xml:space="preserve">; Dillard’s dropped to a 0.23 while Macy’s lowered to a 0.19. In 2020, both companies’ </w:t>
      </w:r>
      <w:r w:rsidR="0082442A">
        <w:t>price-sales ratios</w:t>
      </w:r>
      <w:r w:rsidR="0082442A">
        <w:t xml:space="preserve"> increased. Dillard’s reached a </w:t>
      </w:r>
      <w:r w:rsidR="0082442A">
        <w:t>price-sales ratio</w:t>
      </w:r>
      <w:r w:rsidR="0082442A">
        <w:t xml:space="preserve"> of 0.44 while Macy’s rose to a 0.26. Their </w:t>
      </w:r>
      <w:r w:rsidR="0082442A">
        <w:t>price-sales ratios</w:t>
      </w:r>
      <w:r w:rsidR="0082442A">
        <w:t xml:space="preserve"> continued to increase </w:t>
      </w:r>
      <w:r w:rsidR="00656B1C">
        <w:t xml:space="preserve">in 2021 </w:t>
      </w:r>
      <w:r w:rsidR="0082442A">
        <w:t xml:space="preserve">with Dillard’s reaching a 0.72 </w:t>
      </w:r>
      <w:r w:rsidR="0082442A">
        <w:t>price-sales ratio</w:t>
      </w:r>
      <w:r w:rsidR="0082442A">
        <w:t xml:space="preserve"> and Macy’s a 0.30 </w:t>
      </w:r>
      <w:r w:rsidR="0082442A">
        <w:t>price-sales ratio</w:t>
      </w:r>
      <w:r w:rsidR="0082442A">
        <w:t>.</w:t>
      </w:r>
    </w:p>
    <w:p w14:paraId="384CA5AC" w14:textId="0DD2C82B" w:rsidR="0095128A" w:rsidRDefault="0095128A" w:rsidP="00D4303F">
      <w:pPr>
        <w:ind w:firstLine="720"/>
      </w:pPr>
      <w:r>
        <w:t xml:space="preserve">Though none of the companies exceeded </w:t>
      </w:r>
      <w:r>
        <w:t>price-sales ratios</w:t>
      </w:r>
      <w:r>
        <w:t xml:space="preserve"> greater than one, they were higher/lower</w:t>
      </w:r>
      <w:r w:rsidR="0082442A">
        <w:t xml:space="preserve"> when</w:t>
      </w:r>
      <w:r>
        <w:t xml:space="preserve"> compared to each other.</w:t>
      </w:r>
      <w:r w:rsidR="008B6B43">
        <w:t xml:space="preserve"> The companies most likely had a change in price per share based on the economic effects of the COVID-19 pandemic. </w:t>
      </w:r>
      <w:r w:rsidR="00D4303F">
        <w:t>The pandemic most likely also affected the sales the company was making as customers were less willing to spend their money on retail items during a time of financial uncertainty. Nevertheless, based</w:t>
      </w:r>
      <w:r>
        <w:t xml:space="preserve"> on the data from the past few years, it would be more favorable to invest in Macy’s than it would to be to invest in Dillard’s.</w:t>
      </w:r>
      <w:r w:rsidR="0082442A">
        <w:t xml:space="preserve"> In other words, it would be wiser to invest </w:t>
      </w:r>
      <w:r w:rsidR="00656B1C">
        <w:t xml:space="preserve">in </w:t>
      </w:r>
      <w:r w:rsidR="008B6B43">
        <w:t>Macy’s where you can pay $0.30 per $1 of company revenue as opposed to paying $0.72 for the same amount of revenue.</w:t>
      </w:r>
    </w:p>
    <w:p w14:paraId="5447B8CB" w14:textId="49C6289F" w:rsidR="00BC15B1" w:rsidRDefault="00BC15B1" w:rsidP="00122DB2">
      <w:pPr>
        <w:pStyle w:val="Heading1"/>
      </w:pPr>
      <w:bookmarkStart w:id="21" w:name="_Toc111229099"/>
      <w:r>
        <w:lastRenderedPageBreak/>
        <w:t>Dillard’s and Macy’s Inc Performance Summary</w:t>
      </w:r>
      <w:bookmarkEnd w:id="21"/>
    </w:p>
    <w:p w14:paraId="6485E4A7" w14:textId="2B852D91" w:rsidR="00717951" w:rsidRDefault="00CD2ECA" w:rsidP="001A2BF6">
      <w:pPr>
        <w:ind w:firstLine="720"/>
      </w:pPr>
      <w:r>
        <w:t xml:space="preserve">In this report, the history of both Dillard’s </w:t>
      </w:r>
      <w:r w:rsidR="002643BB">
        <w:t xml:space="preserve">Inc. </w:t>
      </w:r>
      <w:r>
        <w:t xml:space="preserve">and Macy’s </w:t>
      </w:r>
      <w:r w:rsidR="002643BB">
        <w:t xml:space="preserve">Inc. </w:t>
      </w:r>
      <w:r>
        <w:t xml:space="preserve">was provided, data from WRDS was extracted to compute financial ratios, </w:t>
      </w:r>
      <w:r w:rsidR="00717951">
        <w:t xml:space="preserve">scatter plots representing the data were generated and a comparative analysis of each financial ratio was </w:t>
      </w:r>
      <w:r w:rsidR="002643BB">
        <w:t>presented</w:t>
      </w:r>
      <w:r>
        <w:t xml:space="preserve">. </w:t>
      </w:r>
      <w:r w:rsidR="001A2BF6">
        <w:t>Macy’s began in the mid-1800s while Dillard’s started in the mid-1900s.</w:t>
      </w:r>
      <w:r w:rsidR="00717951">
        <w:t xml:space="preserve"> B</w:t>
      </w:r>
      <w:r w:rsidR="00717951">
        <w:t>oth companies have grown to the size they are today due to the acquisition of other department stores and companies throughout the country.</w:t>
      </w:r>
      <w:r w:rsidR="001A2BF6">
        <w:t xml:space="preserve"> </w:t>
      </w:r>
      <w:r w:rsidR="00717951">
        <w:t>They are both pioneers in their field and have lasted this long due to their ability to market their brands and adapt to their consumer’s needs as well as acclimate to the economy.</w:t>
      </w:r>
    </w:p>
    <w:p w14:paraId="3D56137A" w14:textId="7E95D138" w:rsidR="00C25B9E" w:rsidRPr="00103A87" w:rsidRDefault="001A2BF6" w:rsidP="00103A87">
      <w:pPr>
        <w:ind w:firstLine="720"/>
      </w:pPr>
      <w:r>
        <w:t>In order to make a comparative analysis of both companies, short-term solvency, long-term solvency, asset management, profitability and market value measures were computed based on data from fiscal years 2016 – 2021. The quick and cash</w:t>
      </w:r>
      <w:r w:rsidR="00281556">
        <w:t xml:space="preserve"> ratios</w:t>
      </w:r>
      <w:r w:rsidR="005331B6" w:rsidRPr="005331B6">
        <w:t xml:space="preserve"> </w:t>
      </w:r>
      <w:r w:rsidR="00E85157">
        <w:t>(</w:t>
      </w:r>
      <w:r w:rsidR="005331B6">
        <w:t>short-term solvency</w:t>
      </w:r>
      <w:r w:rsidR="00281556">
        <w:t xml:space="preserve"> measures</w:t>
      </w:r>
      <w:r w:rsidR="00E85157">
        <w:t>)</w:t>
      </w:r>
      <w:r w:rsidR="005331B6">
        <w:t xml:space="preserve"> </w:t>
      </w:r>
      <w:r>
        <w:t xml:space="preserve">both determined that </w:t>
      </w:r>
      <w:r w:rsidR="005331B6">
        <w:t>Dillard’s had a higher liquidity than Macy’s for the years 2016, 2019 – 2021. Dillard’s also had a lower debt-to-equity</w:t>
      </w:r>
      <w:r w:rsidR="00281556">
        <w:t xml:space="preserve"> ratio</w:t>
      </w:r>
      <w:r w:rsidR="005331B6">
        <w:t xml:space="preserve"> </w:t>
      </w:r>
      <w:r w:rsidR="00E85157">
        <w:t>(</w:t>
      </w:r>
      <w:r w:rsidR="005331B6">
        <w:t>long-term solvency</w:t>
      </w:r>
      <w:r w:rsidR="00281556">
        <w:t xml:space="preserve"> measure</w:t>
      </w:r>
      <w:r w:rsidR="00E85157">
        <w:t>)</w:t>
      </w:r>
      <w:r w:rsidR="00281556">
        <w:t xml:space="preserve"> </w:t>
      </w:r>
      <w:r w:rsidR="005331B6">
        <w:t xml:space="preserve">than Macy’s for the years 2016 – 2021; Dillard’s ratio was also consistently close to 1, which is the most ideal outcome. Dillard’s days’ </w:t>
      </w:r>
      <w:r w:rsidR="00281556">
        <w:t xml:space="preserve">sales </w:t>
      </w:r>
      <w:r w:rsidR="005331B6">
        <w:t xml:space="preserve">in </w:t>
      </w:r>
      <w:r w:rsidR="00281556">
        <w:t>receivables</w:t>
      </w:r>
      <w:r w:rsidR="00E85157">
        <w:t xml:space="preserve"> (</w:t>
      </w:r>
      <w:r w:rsidR="00281556">
        <w:t>asset management measure</w:t>
      </w:r>
      <w:r w:rsidR="00E85157">
        <w:t>)</w:t>
      </w:r>
      <w:r w:rsidR="00281556">
        <w:t xml:space="preserve"> was lower than Macy’s from 2016 – 2019 and 2021. Although Macy’s had higher</w:t>
      </w:r>
      <w:r w:rsidR="00DE2A03">
        <w:t xml:space="preserve">, </w:t>
      </w:r>
      <w:r w:rsidR="00281556">
        <w:t>return</w:t>
      </w:r>
      <w:r w:rsidR="00DE2A03">
        <w:t>s</w:t>
      </w:r>
      <w:r w:rsidR="00281556">
        <w:t xml:space="preserve"> on assets, profit margin ratios, and return</w:t>
      </w:r>
      <w:r w:rsidR="00DE2A03">
        <w:t>s</w:t>
      </w:r>
      <w:r w:rsidR="00281556">
        <w:t xml:space="preserve"> on equity</w:t>
      </w:r>
      <w:r w:rsidR="00DE2A03">
        <w:t xml:space="preserve"> (profitability measures) </w:t>
      </w:r>
      <w:r w:rsidR="00281556">
        <w:t xml:space="preserve">for most of the years in the 2016 – 2021 </w:t>
      </w:r>
      <w:r w:rsidR="00DE2A03">
        <w:t xml:space="preserve">timespan, Dillard’s ratios were higher during 2020 – 2021 in all three measures. </w:t>
      </w:r>
      <w:r w:rsidR="005B3721">
        <w:t xml:space="preserve">This </w:t>
      </w:r>
      <w:r w:rsidR="00DE2A03">
        <w:t>is noteworthy</w:t>
      </w:r>
      <w:r w:rsidR="00E85157">
        <w:t>,</w:t>
      </w:r>
      <w:r w:rsidR="00DE2A03">
        <w:t xml:space="preserve"> because the company </w:t>
      </w:r>
      <w:r w:rsidR="00E85157">
        <w:t>was relatively profitable</w:t>
      </w:r>
      <w:r w:rsidR="00DE2A03">
        <w:t xml:space="preserve"> during the COVID-19 pandemic compared to Macy’s. </w:t>
      </w:r>
      <w:r w:rsidR="00E85157">
        <w:t>In terms of market value measures, Dillard’s price-earnings ratio was also higher than Macy’s from 2017 – 2019 and 2021</w:t>
      </w:r>
      <w:r w:rsidR="005B3721">
        <w:t xml:space="preserve">; </w:t>
      </w:r>
      <w:r w:rsidR="00E85157">
        <w:t>Macy’s price-sales ratio was</w:t>
      </w:r>
      <w:r w:rsidR="00103A87">
        <w:t xml:space="preserve"> lower </w:t>
      </w:r>
      <w:r w:rsidR="005B3721">
        <w:t xml:space="preserve">than Dillard’s </w:t>
      </w:r>
      <w:r w:rsidR="00103A87">
        <w:t>between 2019 - 2021. In conclusion,</w:t>
      </w:r>
      <w:r w:rsidR="00DC451B">
        <w:t xml:space="preserve"> </w:t>
      </w:r>
      <w:r w:rsidR="00103A87">
        <w:t>based on the financial ratios and the performance of the companies during the COVID-19 pandemic, I believe Dillard’s performed the best.</w:t>
      </w:r>
      <w:r w:rsidR="00C25B9E">
        <w:br w:type="page"/>
      </w:r>
    </w:p>
    <w:p w14:paraId="4AF3A721" w14:textId="4BB6C2A5" w:rsidR="00BC15B1" w:rsidRDefault="00BC15B1" w:rsidP="00122DB2">
      <w:pPr>
        <w:pStyle w:val="Heading1"/>
      </w:pPr>
      <w:bookmarkStart w:id="22" w:name="_Toc111229100"/>
      <w:r>
        <w:lastRenderedPageBreak/>
        <w:t>References</w:t>
      </w:r>
      <w:bookmarkEnd w:id="22"/>
    </w:p>
    <w:p w14:paraId="423C5514" w14:textId="77777777" w:rsidR="00103A87" w:rsidRDefault="00103A87" w:rsidP="002643BB">
      <w:pPr>
        <w:ind w:left="720" w:hanging="720"/>
      </w:pPr>
      <w:r w:rsidRPr="00F92164">
        <w:t>Dillard's</w:t>
      </w:r>
      <w:r>
        <w:t>,</w:t>
      </w:r>
      <w:r w:rsidRPr="00F92164">
        <w:t xml:space="preserve"> Inc. (2022). (rep.). </w:t>
      </w:r>
      <w:r w:rsidRPr="00F92164">
        <w:rPr>
          <w:i/>
          <w:iCs/>
        </w:rPr>
        <w:t>Dillard's Annual Report 2022</w:t>
      </w:r>
      <w:r w:rsidRPr="00F92164">
        <w:t>. Dillard's</w:t>
      </w:r>
      <w:r>
        <w:t>,</w:t>
      </w:r>
      <w:r w:rsidRPr="00F92164">
        <w:t xml:space="preserve"> Inc. Retrieved August 11, 2022, from https://s22.q4cdn.com/761118364/files/doc_financials/2021/ar/2021-Annual-Report-(3).pdf . </w:t>
      </w:r>
    </w:p>
    <w:p w14:paraId="230C3BD0" w14:textId="3BC12595" w:rsidR="002B716F" w:rsidRPr="003A6687" w:rsidRDefault="00103A87" w:rsidP="002643BB">
      <w:pPr>
        <w:ind w:left="720" w:hanging="720"/>
      </w:pPr>
      <w:r w:rsidRPr="0002278A">
        <w:t>Dillard's</w:t>
      </w:r>
      <w:r>
        <w:t>, Inc</w:t>
      </w:r>
      <w:r w:rsidRPr="0002278A">
        <w:t xml:space="preserve">. (2022). </w:t>
      </w:r>
      <w:r w:rsidRPr="0002278A">
        <w:rPr>
          <w:i/>
          <w:iCs/>
        </w:rPr>
        <w:t>Annual report &amp; proxy</w:t>
      </w:r>
      <w:r w:rsidRPr="0002278A">
        <w:t>. Dillard's, Inc. - Financial Information - Annual Report &amp; Proxy. Retrieved August 11, 2022, from https://investor.dillards.com/financial-information/annual-report-and-proxy/default.aspx</w:t>
      </w:r>
    </w:p>
    <w:p w14:paraId="5DE4D0A5" w14:textId="49DC5EC4" w:rsidR="00A42B1C" w:rsidRDefault="00A42B1C" w:rsidP="002643BB">
      <w:pPr>
        <w:ind w:left="720" w:hanging="720"/>
      </w:pPr>
      <w:r w:rsidRPr="00A42B1C">
        <w:t>Dillard's</w:t>
      </w:r>
      <w:r w:rsidR="003231B0">
        <w:t>,</w:t>
      </w:r>
      <w:r w:rsidRPr="00A42B1C">
        <w:t xml:space="preserve"> Inc. (</w:t>
      </w:r>
      <w:r w:rsidR="00EA550A">
        <w:t>2022</w:t>
      </w:r>
      <w:r w:rsidRPr="00A42B1C">
        <w:t xml:space="preserve">). </w:t>
      </w:r>
      <w:r w:rsidRPr="00A42B1C">
        <w:rPr>
          <w:i/>
          <w:iCs/>
        </w:rPr>
        <w:t>Our history: Dillard's careers</w:t>
      </w:r>
      <w:r w:rsidRPr="00A42B1C">
        <w:t xml:space="preserve">. Our History | Dillard's. Retrieved August 11, 2022, from https://careers.dillards.com/Careers/information/history </w:t>
      </w:r>
    </w:p>
    <w:p w14:paraId="49BA4C78" w14:textId="77777777" w:rsidR="002643BB" w:rsidRDefault="002643BB" w:rsidP="002643BB">
      <w:pPr>
        <w:ind w:left="720" w:hanging="720"/>
      </w:pPr>
      <w:r w:rsidRPr="00A9691F">
        <w:t xml:space="preserve">Macy's, Inc. (2022). </w:t>
      </w:r>
      <w:r w:rsidRPr="00A9691F">
        <w:rPr>
          <w:i/>
          <w:iCs/>
        </w:rPr>
        <w:t>Annual Reports</w:t>
      </w:r>
      <w:r w:rsidRPr="00A9691F">
        <w:t xml:space="preserve">. Macy's, Inc. Retrieved August 11, 2022, from https://www.macysinc.com/investors/sec-filings/annual-reports </w:t>
      </w:r>
    </w:p>
    <w:p w14:paraId="42A5E0FD" w14:textId="0B14855E" w:rsidR="00F92164" w:rsidRDefault="00F92164" w:rsidP="002643BB">
      <w:pPr>
        <w:ind w:left="720" w:hanging="720"/>
      </w:pPr>
      <w:r w:rsidRPr="00F92164">
        <w:t>Macy's</w:t>
      </w:r>
      <w:r w:rsidR="0039542E">
        <w:t>,</w:t>
      </w:r>
      <w:r w:rsidRPr="00F92164">
        <w:t xml:space="preserve"> Inc. (2022). </w:t>
      </w:r>
      <w:r w:rsidRPr="00F92164">
        <w:rPr>
          <w:i/>
          <w:iCs/>
        </w:rPr>
        <w:t>History</w:t>
      </w:r>
      <w:r w:rsidRPr="00F92164">
        <w:t xml:space="preserve">. Macy's, Inc. Retrieved August 11, 2022, from https://www.macysinc.com/about/history </w:t>
      </w:r>
    </w:p>
    <w:p w14:paraId="2D4D1E99" w14:textId="16285B7A" w:rsidR="002643BB" w:rsidRDefault="002643BB" w:rsidP="002643BB">
      <w:pPr>
        <w:ind w:left="720" w:hanging="720"/>
      </w:pPr>
      <w:r w:rsidRPr="0039542E">
        <w:t xml:space="preserve">Macy's, Inc. (2022). (rep.). </w:t>
      </w:r>
      <w:r w:rsidRPr="0039542E">
        <w:rPr>
          <w:i/>
          <w:iCs/>
        </w:rPr>
        <w:t>Macy's, Inc. 2021 Annual Report</w:t>
      </w:r>
      <w:r w:rsidRPr="0039542E">
        <w:t xml:space="preserve">. Macy's, Inc. Retrieved August 11, 2022, from https://www.macysinc.com/investors/sec-filings/annual-reports/content/0001564590-22-011726/0001564590-22-011726.pdf. </w:t>
      </w:r>
    </w:p>
    <w:p w14:paraId="370A080C" w14:textId="5583A775" w:rsidR="00F92164" w:rsidRDefault="00A9691F" w:rsidP="002643BB">
      <w:pPr>
        <w:ind w:left="720" w:hanging="720"/>
      </w:pPr>
      <w:r w:rsidRPr="00A9691F">
        <w:t>Macy's</w:t>
      </w:r>
      <w:r w:rsidR="0039542E">
        <w:t>,</w:t>
      </w:r>
      <w:r w:rsidRPr="00A9691F">
        <w:t xml:space="preserve"> Inc. (2022). </w:t>
      </w:r>
      <w:r w:rsidRPr="00A9691F">
        <w:rPr>
          <w:i/>
          <w:iCs/>
        </w:rPr>
        <w:t>Macy's Through the Years</w:t>
      </w:r>
      <w:r w:rsidRPr="00A9691F">
        <w:t xml:space="preserve">. Macy's brand heritage - </w:t>
      </w:r>
      <w:proofErr w:type="spellStart"/>
      <w:r w:rsidRPr="00A9691F">
        <w:t>macy's</w:t>
      </w:r>
      <w:proofErr w:type="spellEnd"/>
      <w:r w:rsidRPr="00A9691F">
        <w:t xml:space="preserve"> through the years. Retrieved August 11, 2022, from https://www.macys.com/s/brand-heritage/history/ </w:t>
      </w:r>
    </w:p>
    <w:p w14:paraId="4B219A1C" w14:textId="29EC8CD5" w:rsidR="00103A87" w:rsidRDefault="00103A87" w:rsidP="002643BB">
      <w:pPr>
        <w:ind w:left="720" w:hanging="720"/>
      </w:pPr>
      <w:r w:rsidRPr="00E06162">
        <w:t xml:space="preserve">Reference for Business. (2022). </w:t>
      </w:r>
      <w:r w:rsidRPr="00E06162">
        <w:rPr>
          <w:i/>
          <w:iCs/>
        </w:rPr>
        <w:t>Dillard Department Stores, Inc. - Company profile, information, business description, history, background information on Dillard Department Stores, Inc..</w:t>
      </w:r>
      <w:r w:rsidRPr="00E06162">
        <w:t xml:space="preserve"> Reference for Business. Retrieved August 11, 2022, from https://www.referenceforbusiness.com/history2/78/Dillard-Department-Stores-Inc.html </w:t>
      </w:r>
    </w:p>
    <w:p w14:paraId="130B4E37" w14:textId="0FB919DB" w:rsidR="00103A87" w:rsidRDefault="00103A87" w:rsidP="002643BB">
      <w:pPr>
        <w:ind w:left="720" w:hanging="720"/>
      </w:pPr>
      <w:r w:rsidRPr="003A6687">
        <w:lastRenderedPageBreak/>
        <w:t xml:space="preserve">Ross, S. A., </w:t>
      </w:r>
      <w:proofErr w:type="spellStart"/>
      <w:r w:rsidRPr="003A6687">
        <w:t>Westerfield</w:t>
      </w:r>
      <w:proofErr w:type="spellEnd"/>
      <w:r w:rsidRPr="003A6687">
        <w:t xml:space="preserve">, R. W., &amp; Jordan, B. D. (2022). </w:t>
      </w:r>
      <w:r w:rsidRPr="003A6687">
        <w:rPr>
          <w:i/>
          <w:iCs/>
        </w:rPr>
        <w:t>Fundamentals of Corporate Finance</w:t>
      </w:r>
      <w:r w:rsidRPr="003A6687">
        <w:t xml:space="preserve"> (13th ed.). McGraw Hill LLC.</w:t>
      </w:r>
    </w:p>
    <w:p w14:paraId="3D12F882" w14:textId="44A221F5" w:rsidR="0039542E" w:rsidRDefault="005E2B4F" w:rsidP="002643BB">
      <w:pPr>
        <w:ind w:left="720" w:hanging="720"/>
      </w:pPr>
      <w:r>
        <w:t xml:space="preserve">University of Pennsylvania. (2022). Dillard’s </w:t>
      </w:r>
      <w:r w:rsidR="00EB7B2F">
        <w:t xml:space="preserve">Inc </w:t>
      </w:r>
      <w:r>
        <w:t>and Macy’s Inc Financial Ratios, 2016-2021</w:t>
      </w:r>
      <w:r w:rsidR="00EB7B2F">
        <w:t xml:space="preserve"> [Data set]</w:t>
      </w:r>
      <w:r>
        <w:t>. Wharton Research Data Services</w:t>
      </w:r>
      <w:r w:rsidR="00EB7B2F">
        <w:t>.</w:t>
      </w:r>
    </w:p>
    <w:p w14:paraId="0C73C66E" w14:textId="77777777" w:rsidR="00103A87" w:rsidRDefault="00103A87" w:rsidP="002643BB">
      <w:pPr>
        <w:ind w:left="720" w:hanging="720"/>
      </w:pPr>
      <w:proofErr w:type="spellStart"/>
      <w:r w:rsidRPr="002B716F">
        <w:t>Zippia</w:t>
      </w:r>
      <w:proofErr w:type="spellEnd"/>
      <w:r w:rsidRPr="002B716F">
        <w:t xml:space="preserve">. (2021, December 14). </w:t>
      </w:r>
      <w:r w:rsidRPr="002B716F">
        <w:rPr>
          <w:i/>
          <w:iCs/>
        </w:rPr>
        <w:t>Dillard's history</w:t>
      </w:r>
      <w:r w:rsidRPr="002B716F">
        <w:t xml:space="preserve">. Founding, Timeline, and Milestones. Retrieved August 11, 2022, from https://www.zippia.com/dillard-s-careers-3439/history/ </w:t>
      </w:r>
    </w:p>
    <w:p w14:paraId="1AFD8F6B" w14:textId="77777777" w:rsidR="00103A87" w:rsidRPr="00B92531" w:rsidRDefault="00103A87" w:rsidP="00103A87">
      <w:pPr>
        <w:ind w:left="720" w:hanging="720"/>
      </w:pPr>
    </w:p>
    <w:sectPr w:rsidR="00103A87" w:rsidRPr="00B92531" w:rsidSect="00B92531">
      <w:footerReference w:type="even"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3C0DB" w14:textId="77777777" w:rsidR="008207A5" w:rsidRDefault="008207A5" w:rsidP="00B92531">
      <w:r>
        <w:separator/>
      </w:r>
    </w:p>
  </w:endnote>
  <w:endnote w:type="continuationSeparator" w:id="0">
    <w:p w14:paraId="286F9330" w14:textId="77777777" w:rsidR="008207A5" w:rsidRDefault="008207A5" w:rsidP="00B92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6841184"/>
      <w:docPartObj>
        <w:docPartGallery w:val="Page Numbers (Bottom of Page)"/>
        <w:docPartUnique/>
      </w:docPartObj>
    </w:sdtPr>
    <w:sdtContent>
      <w:p w14:paraId="71A17DAD" w14:textId="5DEAC5E1" w:rsidR="00B92531" w:rsidRDefault="00B92531" w:rsidP="004F777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E5F5870" w14:textId="77777777" w:rsidR="00B92531" w:rsidRDefault="00B92531" w:rsidP="00B9253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69632938"/>
      <w:docPartObj>
        <w:docPartGallery w:val="Page Numbers (Bottom of Page)"/>
        <w:docPartUnique/>
      </w:docPartObj>
    </w:sdtPr>
    <w:sdtContent>
      <w:p w14:paraId="2A079CA2" w14:textId="7F0B7CD4" w:rsidR="00B92531" w:rsidRDefault="00B92531" w:rsidP="004F777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2BCC19" w14:textId="77777777" w:rsidR="00B92531" w:rsidRDefault="00B92531" w:rsidP="00B9253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022BF" w14:textId="77777777" w:rsidR="008207A5" w:rsidRDefault="008207A5" w:rsidP="00B92531">
      <w:r>
        <w:separator/>
      </w:r>
    </w:p>
  </w:footnote>
  <w:footnote w:type="continuationSeparator" w:id="0">
    <w:p w14:paraId="4B3247DC" w14:textId="77777777" w:rsidR="008207A5" w:rsidRDefault="008207A5" w:rsidP="00B925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39"/>
    <w:rsid w:val="000007EA"/>
    <w:rsid w:val="00003518"/>
    <w:rsid w:val="0002278A"/>
    <w:rsid w:val="0002674D"/>
    <w:rsid w:val="00081F72"/>
    <w:rsid w:val="0009350B"/>
    <w:rsid w:val="00096CAF"/>
    <w:rsid w:val="000A58D0"/>
    <w:rsid w:val="000B08CF"/>
    <w:rsid w:val="000E0FA7"/>
    <w:rsid w:val="000F0144"/>
    <w:rsid w:val="000F37AC"/>
    <w:rsid w:val="00103A87"/>
    <w:rsid w:val="00112586"/>
    <w:rsid w:val="00122DB2"/>
    <w:rsid w:val="001748B2"/>
    <w:rsid w:val="001A2BF6"/>
    <w:rsid w:val="001B0897"/>
    <w:rsid w:val="001D1EAC"/>
    <w:rsid w:val="001D6C0A"/>
    <w:rsid w:val="001E4C17"/>
    <w:rsid w:val="001E4D06"/>
    <w:rsid w:val="001F5BAD"/>
    <w:rsid w:val="002254AC"/>
    <w:rsid w:val="002306CB"/>
    <w:rsid w:val="0025132A"/>
    <w:rsid w:val="00260789"/>
    <w:rsid w:val="00263DA6"/>
    <w:rsid w:val="002643BB"/>
    <w:rsid w:val="00281556"/>
    <w:rsid w:val="0028711F"/>
    <w:rsid w:val="002A6960"/>
    <w:rsid w:val="002B670A"/>
    <w:rsid w:val="002B716F"/>
    <w:rsid w:val="002C7B1F"/>
    <w:rsid w:val="002D55A8"/>
    <w:rsid w:val="002D5698"/>
    <w:rsid w:val="002E0319"/>
    <w:rsid w:val="003114DC"/>
    <w:rsid w:val="003231B0"/>
    <w:rsid w:val="00326436"/>
    <w:rsid w:val="00343F0F"/>
    <w:rsid w:val="00365B15"/>
    <w:rsid w:val="003703E7"/>
    <w:rsid w:val="003910F4"/>
    <w:rsid w:val="0039542E"/>
    <w:rsid w:val="00395594"/>
    <w:rsid w:val="003A35A5"/>
    <w:rsid w:val="003A6687"/>
    <w:rsid w:val="003D4960"/>
    <w:rsid w:val="00424D47"/>
    <w:rsid w:val="00432894"/>
    <w:rsid w:val="0043649E"/>
    <w:rsid w:val="00472D5C"/>
    <w:rsid w:val="00482496"/>
    <w:rsid w:val="0048724B"/>
    <w:rsid w:val="004947C9"/>
    <w:rsid w:val="004A133C"/>
    <w:rsid w:val="004A26B0"/>
    <w:rsid w:val="004A29E7"/>
    <w:rsid w:val="004B21A2"/>
    <w:rsid w:val="004C3981"/>
    <w:rsid w:val="004C6F19"/>
    <w:rsid w:val="004C7963"/>
    <w:rsid w:val="004D48B9"/>
    <w:rsid w:val="004E47E2"/>
    <w:rsid w:val="00501282"/>
    <w:rsid w:val="00502684"/>
    <w:rsid w:val="005167CC"/>
    <w:rsid w:val="005331B6"/>
    <w:rsid w:val="00536FEC"/>
    <w:rsid w:val="00545A32"/>
    <w:rsid w:val="00585CBF"/>
    <w:rsid w:val="00595943"/>
    <w:rsid w:val="005B1389"/>
    <w:rsid w:val="005B1914"/>
    <w:rsid w:val="005B3721"/>
    <w:rsid w:val="005E2B4F"/>
    <w:rsid w:val="006177F6"/>
    <w:rsid w:val="00656B1C"/>
    <w:rsid w:val="00680A89"/>
    <w:rsid w:val="00687F09"/>
    <w:rsid w:val="006B6E62"/>
    <w:rsid w:val="006F58EF"/>
    <w:rsid w:val="00717951"/>
    <w:rsid w:val="00721577"/>
    <w:rsid w:val="00723842"/>
    <w:rsid w:val="00723AB5"/>
    <w:rsid w:val="00735B77"/>
    <w:rsid w:val="00755E1F"/>
    <w:rsid w:val="00784AB4"/>
    <w:rsid w:val="00786C63"/>
    <w:rsid w:val="0079474D"/>
    <w:rsid w:val="007E1691"/>
    <w:rsid w:val="007F4A53"/>
    <w:rsid w:val="008207A5"/>
    <w:rsid w:val="0082442A"/>
    <w:rsid w:val="00836B10"/>
    <w:rsid w:val="008404FF"/>
    <w:rsid w:val="008460D0"/>
    <w:rsid w:val="00881812"/>
    <w:rsid w:val="00885037"/>
    <w:rsid w:val="008A4D5E"/>
    <w:rsid w:val="008A77DA"/>
    <w:rsid w:val="008B6B43"/>
    <w:rsid w:val="00905703"/>
    <w:rsid w:val="0094315D"/>
    <w:rsid w:val="00946636"/>
    <w:rsid w:val="0095128A"/>
    <w:rsid w:val="00977FB6"/>
    <w:rsid w:val="00981090"/>
    <w:rsid w:val="00997545"/>
    <w:rsid w:val="009A5FB9"/>
    <w:rsid w:val="009C78FF"/>
    <w:rsid w:val="009D17B6"/>
    <w:rsid w:val="009D324D"/>
    <w:rsid w:val="009E1ECE"/>
    <w:rsid w:val="009E724F"/>
    <w:rsid w:val="009F0179"/>
    <w:rsid w:val="009F36E7"/>
    <w:rsid w:val="00A117A4"/>
    <w:rsid w:val="00A231E7"/>
    <w:rsid w:val="00A25238"/>
    <w:rsid w:val="00A2525D"/>
    <w:rsid w:val="00A271E1"/>
    <w:rsid w:val="00A35222"/>
    <w:rsid w:val="00A35712"/>
    <w:rsid w:val="00A37CDE"/>
    <w:rsid w:val="00A42B1C"/>
    <w:rsid w:val="00A447D4"/>
    <w:rsid w:val="00A572FF"/>
    <w:rsid w:val="00A616FE"/>
    <w:rsid w:val="00A61E52"/>
    <w:rsid w:val="00A70938"/>
    <w:rsid w:val="00A7547A"/>
    <w:rsid w:val="00A76D01"/>
    <w:rsid w:val="00A8705D"/>
    <w:rsid w:val="00A9099B"/>
    <w:rsid w:val="00A90DE1"/>
    <w:rsid w:val="00A91903"/>
    <w:rsid w:val="00A9691F"/>
    <w:rsid w:val="00AA1894"/>
    <w:rsid w:val="00AA5BE7"/>
    <w:rsid w:val="00AE33E1"/>
    <w:rsid w:val="00AE369E"/>
    <w:rsid w:val="00AE6F41"/>
    <w:rsid w:val="00AE7ED9"/>
    <w:rsid w:val="00AF6206"/>
    <w:rsid w:val="00B1589A"/>
    <w:rsid w:val="00B2058F"/>
    <w:rsid w:val="00B37F29"/>
    <w:rsid w:val="00B40F31"/>
    <w:rsid w:val="00B54162"/>
    <w:rsid w:val="00B60C36"/>
    <w:rsid w:val="00B74113"/>
    <w:rsid w:val="00B77754"/>
    <w:rsid w:val="00B92531"/>
    <w:rsid w:val="00B968BE"/>
    <w:rsid w:val="00BA7BD6"/>
    <w:rsid w:val="00BB229A"/>
    <w:rsid w:val="00BC15B1"/>
    <w:rsid w:val="00BE51BE"/>
    <w:rsid w:val="00BE6B0B"/>
    <w:rsid w:val="00BF0DB0"/>
    <w:rsid w:val="00C10274"/>
    <w:rsid w:val="00C25B9E"/>
    <w:rsid w:val="00C27D4A"/>
    <w:rsid w:val="00C475D1"/>
    <w:rsid w:val="00C719D8"/>
    <w:rsid w:val="00C74261"/>
    <w:rsid w:val="00C825C9"/>
    <w:rsid w:val="00C97AE1"/>
    <w:rsid w:val="00CD2ECA"/>
    <w:rsid w:val="00CD53E2"/>
    <w:rsid w:val="00CE204D"/>
    <w:rsid w:val="00CE5D58"/>
    <w:rsid w:val="00CE6B21"/>
    <w:rsid w:val="00CF5239"/>
    <w:rsid w:val="00D05778"/>
    <w:rsid w:val="00D10BE0"/>
    <w:rsid w:val="00D250B1"/>
    <w:rsid w:val="00D31EEE"/>
    <w:rsid w:val="00D4303F"/>
    <w:rsid w:val="00D548F3"/>
    <w:rsid w:val="00D67FC1"/>
    <w:rsid w:val="00D84BDE"/>
    <w:rsid w:val="00DA3C24"/>
    <w:rsid w:val="00DB71FD"/>
    <w:rsid w:val="00DC451B"/>
    <w:rsid w:val="00DD4B2E"/>
    <w:rsid w:val="00DE2953"/>
    <w:rsid w:val="00DE2A03"/>
    <w:rsid w:val="00DE4079"/>
    <w:rsid w:val="00DF6909"/>
    <w:rsid w:val="00E06162"/>
    <w:rsid w:val="00E25BDD"/>
    <w:rsid w:val="00E31459"/>
    <w:rsid w:val="00E43619"/>
    <w:rsid w:val="00E5342C"/>
    <w:rsid w:val="00E66779"/>
    <w:rsid w:val="00E85157"/>
    <w:rsid w:val="00E86C23"/>
    <w:rsid w:val="00EA550A"/>
    <w:rsid w:val="00EB7B2F"/>
    <w:rsid w:val="00EE5C6E"/>
    <w:rsid w:val="00EF569D"/>
    <w:rsid w:val="00F036F5"/>
    <w:rsid w:val="00F04332"/>
    <w:rsid w:val="00F23D46"/>
    <w:rsid w:val="00F3502C"/>
    <w:rsid w:val="00F3632F"/>
    <w:rsid w:val="00F55D16"/>
    <w:rsid w:val="00F71F48"/>
    <w:rsid w:val="00F92164"/>
    <w:rsid w:val="00FB210B"/>
    <w:rsid w:val="00FB445A"/>
    <w:rsid w:val="00FD10E3"/>
    <w:rsid w:val="00FE5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8947C"/>
  <w15:chartTrackingRefBased/>
  <w15:docId w15:val="{A7D0AF6C-AE1D-C64A-AD78-F1B088298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687"/>
    <w:pPr>
      <w:spacing w:line="480" w:lineRule="auto"/>
    </w:pPr>
    <w:rPr>
      <w:rFonts w:ascii="Times New Roman" w:hAnsi="Times New Roman"/>
    </w:rPr>
  </w:style>
  <w:style w:type="paragraph" w:styleId="Heading1">
    <w:name w:val="heading 1"/>
    <w:basedOn w:val="Normal"/>
    <w:next w:val="Normal"/>
    <w:link w:val="Heading1Char"/>
    <w:autoRedefine/>
    <w:uiPriority w:val="9"/>
    <w:qFormat/>
    <w:rsid w:val="00122DB2"/>
    <w:pPr>
      <w:keepNext/>
      <w:keepLines/>
      <w:spacing w:before="240"/>
      <w:jc w:val="center"/>
      <w:outlineLvl w:val="0"/>
    </w:pPr>
    <w:rPr>
      <w:rFonts w:eastAsiaTheme="majorEastAsia" w:cstheme="majorBidi"/>
      <w:b/>
      <w:color w:val="000000" w:themeColor="text1"/>
      <w:szCs w:val="32"/>
      <w:u w:val="single"/>
    </w:rPr>
  </w:style>
  <w:style w:type="paragraph" w:styleId="Heading2">
    <w:name w:val="heading 2"/>
    <w:basedOn w:val="Normal"/>
    <w:next w:val="Normal"/>
    <w:link w:val="Heading2Char"/>
    <w:autoRedefine/>
    <w:uiPriority w:val="9"/>
    <w:unhideWhenUsed/>
    <w:qFormat/>
    <w:rsid w:val="00A117A4"/>
    <w:pPr>
      <w:keepNext/>
      <w:keepLines/>
      <w:spacing w:before="4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A117A4"/>
    <w:pPr>
      <w:keepNext/>
      <w:keepLines/>
      <w:spacing w:before="4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5239"/>
    <w:rPr>
      <w:rFonts w:eastAsiaTheme="minorEastAsia"/>
      <w:sz w:val="22"/>
      <w:szCs w:val="22"/>
      <w:lang w:eastAsia="zh-CN"/>
    </w:rPr>
  </w:style>
  <w:style w:type="character" w:customStyle="1" w:styleId="NoSpacingChar">
    <w:name w:val="No Spacing Char"/>
    <w:basedOn w:val="DefaultParagraphFont"/>
    <w:link w:val="NoSpacing"/>
    <w:uiPriority w:val="1"/>
    <w:rsid w:val="00CF5239"/>
    <w:rPr>
      <w:rFonts w:eastAsiaTheme="minorEastAsia"/>
      <w:sz w:val="22"/>
      <w:szCs w:val="22"/>
      <w:lang w:eastAsia="zh-CN"/>
    </w:rPr>
  </w:style>
  <w:style w:type="character" w:customStyle="1" w:styleId="Heading1Char">
    <w:name w:val="Heading 1 Char"/>
    <w:basedOn w:val="DefaultParagraphFont"/>
    <w:link w:val="Heading1"/>
    <w:uiPriority w:val="9"/>
    <w:rsid w:val="00122DB2"/>
    <w:rPr>
      <w:rFonts w:ascii="Times New Roman" w:eastAsiaTheme="majorEastAsia" w:hAnsi="Times New Roman" w:cstheme="majorBidi"/>
      <w:b/>
      <w:color w:val="000000" w:themeColor="text1"/>
      <w:szCs w:val="32"/>
      <w:u w:val="single"/>
    </w:rPr>
  </w:style>
  <w:style w:type="paragraph" w:styleId="TOCHeading">
    <w:name w:val="TOC Heading"/>
    <w:basedOn w:val="Heading1"/>
    <w:next w:val="Normal"/>
    <w:uiPriority w:val="39"/>
    <w:unhideWhenUsed/>
    <w:qFormat/>
    <w:rsid w:val="00D31EEE"/>
    <w:pPr>
      <w:spacing w:before="480" w:line="276" w:lineRule="auto"/>
      <w:outlineLvl w:val="9"/>
    </w:pPr>
    <w:rPr>
      <w:b w:val="0"/>
      <w:bCs/>
      <w:sz w:val="28"/>
      <w:szCs w:val="28"/>
    </w:rPr>
  </w:style>
  <w:style w:type="paragraph" w:styleId="TOC1">
    <w:name w:val="toc 1"/>
    <w:basedOn w:val="Normal"/>
    <w:next w:val="Normal"/>
    <w:autoRedefine/>
    <w:uiPriority w:val="39"/>
    <w:unhideWhenUsed/>
    <w:rsid w:val="00D31EEE"/>
    <w:pPr>
      <w:spacing w:before="120" w:after="120"/>
    </w:pPr>
    <w:rPr>
      <w:rFonts w:cstheme="minorHAnsi"/>
      <w:b/>
      <w:bCs/>
      <w:caps/>
      <w:sz w:val="20"/>
      <w:szCs w:val="20"/>
    </w:rPr>
  </w:style>
  <w:style w:type="paragraph" w:styleId="TOC2">
    <w:name w:val="toc 2"/>
    <w:basedOn w:val="Normal"/>
    <w:next w:val="Normal"/>
    <w:autoRedefine/>
    <w:uiPriority w:val="39"/>
    <w:unhideWhenUsed/>
    <w:rsid w:val="00D31EEE"/>
    <w:pPr>
      <w:ind w:left="240"/>
    </w:pPr>
    <w:rPr>
      <w:rFonts w:cstheme="minorHAnsi"/>
      <w:smallCaps/>
      <w:sz w:val="20"/>
      <w:szCs w:val="20"/>
    </w:rPr>
  </w:style>
  <w:style w:type="paragraph" w:styleId="TOC3">
    <w:name w:val="toc 3"/>
    <w:basedOn w:val="Normal"/>
    <w:next w:val="Normal"/>
    <w:autoRedefine/>
    <w:uiPriority w:val="39"/>
    <w:unhideWhenUsed/>
    <w:rsid w:val="00D31EEE"/>
    <w:pPr>
      <w:ind w:left="480"/>
    </w:pPr>
    <w:rPr>
      <w:rFonts w:cstheme="minorHAnsi"/>
      <w:i/>
      <w:iCs/>
      <w:sz w:val="20"/>
      <w:szCs w:val="20"/>
    </w:rPr>
  </w:style>
  <w:style w:type="paragraph" w:styleId="TOC4">
    <w:name w:val="toc 4"/>
    <w:basedOn w:val="Normal"/>
    <w:next w:val="Normal"/>
    <w:autoRedefine/>
    <w:uiPriority w:val="39"/>
    <w:semiHidden/>
    <w:unhideWhenUsed/>
    <w:rsid w:val="00D31EEE"/>
    <w:pPr>
      <w:ind w:left="720"/>
    </w:pPr>
    <w:rPr>
      <w:rFonts w:cstheme="minorHAnsi"/>
      <w:sz w:val="18"/>
      <w:szCs w:val="18"/>
    </w:rPr>
  </w:style>
  <w:style w:type="paragraph" w:styleId="TOC5">
    <w:name w:val="toc 5"/>
    <w:basedOn w:val="Normal"/>
    <w:next w:val="Normal"/>
    <w:autoRedefine/>
    <w:uiPriority w:val="39"/>
    <w:semiHidden/>
    <w:unhideWhenUsed/>
    <w:rsid w:val="00D31EEE"/>
    <w:pPr>
      <w:ind w:left="960"/>
    </w:pPr>
    <w:rPr>
      <w:rFonts w:cstheme="minorHAnsi"/>
      <w:sz w:val="18"/>
      <w:szCs w:val="18"/>
    </w:rPr>
  </w:style>
  <w:style w:type="paragraph" w:styleId="TOC6">
    <w:name w:val="toc 6"/>
    <w:basedOn w:val="Normal"/>
    <w:next w:val="Normal"/>
    <w:autoRedefine/>
    <w:uiPriority w:val="39"/>
    <w:semiHidden/>
    <w:unhideWhenUsed/>
    <w:rsid w:val="00D31EEE"/>
    <w:pPr>
      <w:ind w:left="1200"/>
    </w:pPr>
    <w:rPr>
      <w:rFonts w:cstheme="minorHAnsi"/>
      <w:sz w:val="18"/>
      <w:szCs w:val="18"/>
    </w:rPr>
  </w:style>
  <w:style w:type="paragraph" w:styleId="TOC7">
    <w:name w:val="toc 7"/>
    <w:basedOn w:val="Normal"/>
    <w:next w:val="Normal"/>
    <w:autoRedefine/>
    <w:uiPriority w:val="39"/>
    <w:semiHidden/>
    <w:unhideWhenUsed/>
    <w:rsid w:val="00D31EEE"/>
    <w:pPr>
      <w:ind w:left="1440"/>
    </w:pPr>
    <w:rPr>
      <w:rFonts w:cstheme="minorHAnsi"/>
      <w:sz w:val="18"/>
      <w:szCs w:val="18"/>
    </w:rPr>
  </w:style>
  <w:style w:type="paragraph" w:styleId="TOC8">
    <w:name w:val="toc 8"/>
    <w:basedOn w:val="Normal"/>
    <w:next w:val="Normal"/>
    <w:autoRedefine/>
    <w:uiPriority w:val="39"/>
    <w:semiHidden/>
    <w:unhideWhenUsed/>
    <w:rsid w:val="00D31EEE"/>
    <w:pPr>
      <w:ind w:left="1680"/>
    </w:pPr>
    <w:rPr>
      <w:rFonts w:cstheme="minorHAnsi"/>
      <w:sz w:val="18"/>
      <w:szCs w:val="18"/>
    </w:rPr>
  </w:style>
  <w:style w:type="paragraph" w:styleId="TOC9">
    <w:name w:val="toc 9"/>
    <w:basedOn w:val="Normal"/>
    <w:next w:val="Normal"/>
    <w:autoRedefine/>
    <w:uiPriority w:val="39"/>
    <w:semiHidden/>
    <w:unhideWhenUsed/>
    <w:rsid w:val="00D31EEE"/>
    <w:pPr>
      <w:ind w:left="1920"/>
    </w:pPr>
    <w:rPr>
      <w:rFonts w:cstheme="minorHAnsi"/>
      <w:sz w:val="18"/>
      <w:szCs w:val="18"/>
    </w:rPr>
  </w:style>
  <w:style w:type="character" w:customStyle="1" w:styleId="Heading2Char">
    <w:name w:val="Heading 2 Char"/>
    <w:basedOn w:val="DefaultParagraphFont"/>
    <w:link w:val="Heading2"/>
    <w:uiPriority w:val="9"/>
    <w:rsid w:val="00A117A4"/>
    <w:rPr>
      <w:rFonts w:ascii="Times New Roman" w:eastAsiaTheme="majorEastAsia" w:hAnsi="Times New Roman" w:cstheme="majorBidi"/>
      <w:b/>
      <w:bCs/>
      <w:color w:val="000000" w:themeColor="text1"/>
      <w:szCs w:val="26"/>
    </w:rPr>
  </w:style>
  <w:style w:type="character" w:styleId="Hyperlink">
    <w:name w:val="Hyperlink"/>
    <w:basedOn w:val="DefaultParagraphFont"/>
    <w:uiPriority w:val="99"/>
    <w:unhideWhenUsed/>
    <w:rsid w:val="00D31EEE"/>
    <w:rPr>
      <w:color w:val="0563C1" w:themeColor="hyperlink"/>
      <w:u w:val="single"/>
    </w:rPr>
  </w:style>
  <w:style w:type="paragraph" w:styleId="Title">
    <w:name w:val="Title"/>
    <w:basedOn w:val="Normal"/>
    <w:next w:val="Normal"/>
    <w:link w:val="TitleChar"/>
    <w:uiPriority w:val="10"/>
    <w:qFormat/>
    <w:rsid w:val="00122DB2"/>
    <w:pPr>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122DB2"/>
    <w:rPr>
      <w:rFonts w:ascii="Times New Roman" w:eastAsiaTheme="majorEastAsia" w:hAnsi="Times New Roman" w:cstheme="majorBidi"/>
      <w:b/>
      <w:spacing w:val="-10"/>
      <w:kern w:val="28"/>
      <w:szCs w:val="56"/>
    </w:rPr>
  </w:style>
  <w:style w:type="paragraph" w:styleId="Header">
    <w:name w:val="header"/>
    <w:basedOn w:val="Normal"/>
    <w:link w:val="HeaderChar"/>
    <w:uiPriority w:val="99"/>
    <w:unhideWhenUsed/>
    <w:rsid w:val="00B92531"/>
    <w:pPr>
      <w:tabs>
        <w:tab w:val="center" w:pos="4680"/>
        <w:tab w:val="right" w:pos="9360"/>
      </w:tabs>
    </w:pPr>
  </w:style>
  <w:style w:type="character" w:customStyle="1" w:styleId="HeaderChar">
    <w:name w:val="Header Char"/>
    <w:basedOn w:val="DefaultParagraphFont"/>
    <w:link w:val="Header"/>
    <w:uiPriority w:val="99"/>
    <w:rsid w:val="00B92531"/>
  </w:style>
  <w:style w:type="paragraph" w:styleId="Footer">
    <w:name w:val="footer"/>
    <w:basedOn w:val="Normal"/>
    <w:link w:val="FooterChar"/>
    <w:uiPriority w:val="99"/>
    <w:unhideWhenUsed/>
    <w:rsid w:val="00B92531"/>
    <w:pPr>
      <w:tabs>
        <w:tab w:val="center" w:pos="4680"/>
        <w:tab w:val="right" w:pos="9360"/>
      </w:tabs>
    </w:pPr>
  </w:style>
  <w:style w:type="character" w:customStyle="1" w:styleId="FooterChar">
    <w:name w:val="Footer Char"/>
    <w:basedOn w:val="DefaultParagraphFont"/>
    <w:link w:val="Footer"/>
    <w:uiPriority w:val="99"/>
    <w:rsid w:val="00B92531"/>
  </w:style>
  <w:style w:type="character" w:styleId="PageNumber">
    <w:name w:val="page number"/>
    <w:basedOn w:val="DefaultParagraphFont"/>
    <w:uiPriority w:val="99"/>
    <w:semiHidden/>
    <w:unhideWhenUsed/>
    <w:rsid w:val="00B92531"/>
  </w:style>
  <w:style w:type="character" w:styleId="PlaceholderText">
    <w:name w:val="Placeholder Text"/>
    <w:basedOn w:val="DefaultParagraphFont"/>
    <w:uiPriority w:val="99"/>
    <w:semiHidden/>
    <w:rsid w:val="00C825C9"/>
    <w:rPr>
      <w:color w:val="808080"/>
    </w:rPr>
  </w:style>
  <w:style w:type="character" w:customStyle="1" w:styleId="Heading3Char">
    <w:name w:val="Heading 3 Char"/>
    <w:basedOn w:val="DefaultParagraphFont"/>
    <w:link w:val="Heading3"/>
    <w:uiPriority w:val="9"/>
    <w:rsid w:val="00A117A4"/>
    <w:rPr>
      <w:rFonts w:ascii="Times New Roman" w:eastAsiaTheme="majorEastAsia" w:hAnsi="Times New Roman" w:cstheme="majorBidi"/>
      <w:b/>
      <w:color w:val="000000" w:themeColor="text1"/>
    </w:rPr>
  </w:style>
  <w:style w:type="table" w:styleId="TableGrid">
    <w:name w:val="Table Grid"/>
    <w:basedOn w:val="TableNormal"/>
    <w:uiPriority w:val="39"/>
    <w:rsid w:val="00EE5C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86C63"/>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4A26B0"/>
    <w:rPr>
      <w:color w:val="605E5C"/>
      <w:shd w:val="clear" w:color="auto" w:fill="E1DFDD"/>
    </w:rPr>
  </w:style>
  <w:style w:type="character" w:styleId="FollowedHyperlink">
    <w:name w:val="FollowedHyperlink"/>
    <w:basedOn w:val="DefaultParagraphFont"/>
    <w:uiPriority w:val="99"/>
    <w:semiHidden/>
    <w:unhideWhenUsed/>
    <w:rsid w:val="009431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7555">
      <w:bodyDiv w:val="1"/>
      <w:marLeft w:val="0"/>
      <w:marRight w:val="0"/>
      <w:marTop w:val="0"/>
      <w:marBottom w:val="0"/>
      <w:divBdr>
        <w:top w:val="none" w:sz="0" w:space="0" w:color="auto"/>
        <w:left w:val="none" w:sz="0" w:space="0" w:color="auto"/>
        <w:bottom w:val="none" w:sz="0" w:space="0" w:color="auto"/>
        <w:right w:val="none" w:sz="0" w:space="0" w:color="auto"/>
      </w:divBdr>
    </w:div>
    <w:div w:id="21983749">
      <w:bodyDiv w:val="1"/>
      <w:marLeft w:val="0"/>
      <w:marRight w:val="0"/>
      <w:marTop w:val="0"/>
      <w:marBottom w:val="0"/>
      <w:divBdr>
        <w:top w:val="none" w:sz="0" w:space="0" w:color="auto"/>
        <w:left w:val="none" w:sz="0" w:space="0" w:color="auto"/>
        <w:bottom w:val="none" w:sz="0" w:space="0" w:color="auto"/>
        <w:right w:val="none" w:sz="0" w:space="0" w:color="auto"/>
      </w:divBdr>
    </w:div>
    <w:div w:id="79258495">
      <w:bodyDiv w:val="1"/>
      <w:marLeft w:val="0"/>
      <w:marRight w:val="0"/>
      <w:marTop w:val="0"/>
      <w:marBottom w:val="0"/>
      <w:divBdr>
        <w:top w:val="none" w:sz="0" w:space="0" w:color="auto"/>
        <w:left w:val="none" w:sz="0" w:space="0" w:color="auto"/>
        <w:bottom w:val="none" w:sz="0" w:space="0" w:color="auto"/>
        <w:right w:val="none" w:sz="0" w:space="0" w:color="auto"/>
      </w:divBdr>
    </w:div>
    <w:div w:id="192501260">
      <w:bodyDiv w:val="1"/>
      <w:marLeft w:val="0"/>
      <w:marRight w:val="0"/>
      <w:marTop w:val="0"/>
      <w:marBottom w:val="0"/>
      <w:divBdr>
        <w:top w:val="none" w:sz="0" w:space="0" w:color="auto"/>
        <w:left w:val="none" w:sz="0" w:space="0" w:color="auto"/>
        <w:bottom w:val="none" w:sz="0" w:space="0" w:color="auto"/>
        <w:right w:val="none" w:sz="0" w:space="0" w:color="auto"/>
      </w:divBdr>
    </w:div>
    <w:div w:id="252667047">
      <w:bodyDiv w:val="1"/>
      <w:marLeft w:val="0"/>
      <w:marRight w:val="0"/>
      <w:marTop w:val="0"/>
      <w:marBottom w:val="0"/>
      <w:divBdr>
        <w:top w:val="none" w:sz="0" w:space="0" w:color="auto"/>
        <w:left w:val="none" w:sz="0" w:space="0" w:color="auto"/>
        <w:bottom w:val="none" w:sz="0" w:space="0" w:color="auto"/>
        <w:right w:val="none" w:sz="0" w:space="0" w:color="auto"/>
      </w:divBdr>
    </w:div>
    <w:div w:id="452402102">
      <w:bodyDiv w:val="1"/>
      <w:marLeft w:val="0"/>
      <w:marRight w:val="0"/>
      <w:marTop w:val="0"/>
      <w:marBottom w:val="0"/>
      <w:divBdr>
        <w:top w:val="none" w:sz="0" w:space="0" w:color="auto"/>
        <w:left w:val="none" w:sz="0" w:space="0" w:color="auto"/>
        <w:bottom w:val="none" w:sz="0" w:space="0" w:color="auto"/>
        <w:right w:val="none" w:sz="0" w:space="0" w:color="auto"/>
      </w:divBdr>
    </w:div>
    <w:div w:id="663819674">
      <w:bodyDiv w:val="1"/>
      <w:marLeft w:val="0"/>
      <w:marRight w:val="0"/>
      <w:marTop w:val="0"/>
      <w:marBottom w:val="0"/>
      <w:divBdr>
        <w:top w:val="none" w:sz="0" w:space="0" w:color="auto"/>
        <w:left w:val="none" w:sz="0" w:space="0" w:color="auto"/>
        <w:bottom w:val="none" w:sz="0" w:space="0" w:color="auto"/>
        <w:right w:val="none" w:sz="0" w:space="0" w:color="auto"/>
      </w:divBdr>
    </w:div>
    <w:div w:id="753358193">
      <w:bodyDiv w:val="1"/>
      <w:marLeft w:val="0"/>
      <w:marRight w:val="0"/>
      <w:marTop w:val="0"/>
      <w:marBottom w:val="0"/>
      <w:divBdr>
        <w:top w:val="none" w:sz="0" w:space="0" w:color="auto"/>
        <w:left w:val="none" w:sz="0" w:space="0" w:color="auto"/>
        <w:bottom w:val="none" w:sz="0" w:space="0" w:color="auto"/>
        <w:right w:val="none" w:sz="0" w:space="0" w:color="auto"/>
      </w:divBdr>
    </w:div>
    <w:div w:id="759446091">
      <w:bodyDiv w:val="1"/>
      <w:marLeft w:val="0"/>
      <w:marRight w:val="0"/>
      <w:marTop w:val="0"/>
      <w:marBottom w:val="0"/>
      <w:divBdr>
        <w:top w:val="none" w:sz="0" w:space="0" w:color="auto"/>
        <w:left w:val="none" w:sz="0" w:space="0" w:color="auto"/>
        <w:bottom w:val="none" w:sz="0" w:space="0" w:color="auto"/>
        <w:right w:val="none" w:sz="0" w:space="0" w:color="auto"/>
      </w:divBdr>
    </w:div>
    <w:div w:id="915014053">
      <w:bodyDiv w:val="1"/>
      <w:marLeft w:val="0"/>
      <w:marRight w:val="0"/>
      <w:marTop w:val="0"/>
      <w:marBottom w:val="0"/>
      <w:divBdr>
        <w:top w:val="none" w:sz="0" w:space="0" w:color="auto"/>
        <w:left w:val="none" w:sz="0" w:space="0" w:color="auto"/>
        <w:bottom w:val="none" w:sz="0" w:space="0" w:color="auto"/>
        <w:right w:val="none" w:sz="0" w:space="0" w:color="auto"/>
      </w:divBdr>
    </w:div>
    <w:div w:id="1046949066">
      <w:bodyDiv w:val="1"/>
      <w:marLeft w:val="0"/>
      <w:marRight w:val="0"/>
      <w:marTop w:val="0"/>
      <w:marBottom w:val="0"/>
      <w:divBdr>
        <w:top w:val="none" w:sz="0" w:space="0" w:color="auto"/>
        <w:left w:val="none" w:sz="0" w:space="0" w:color="auto"/>
        <w:bottom w:val="none" w:sz="0" w:space="0" w:color="auto"/>
        <w:right w:val="none" w:sz="0" w:space="0" w:color="auto"/>
      </w:divBdr>
    </w:div>
    <w:div w:id="1151558486">
      <w:bodyDiv w:val="1"/>
      <w:marLeft w:val="0"/>
      <w:marRight w:val="0"/>
      <w:marTop w:val="0"/>
      <w:marBottom w:val="0"/>
      <w:divBdr>
        <w:top w:val="none" w:sz="0" w:space="0" w:color="auto"/>
        <w:left w:val="none" w:sz="0" w:space="0" w:color="auto"/>
        <w:bottom w:val="none" w:sz="0" w:space="0" w:color="auto"/>
        <w:right w:val="none" w:sz="0" w:space="0" w:color="auto"/>
      </w:divBdr>
    </w:div>
    <w:div w:id="1205756613">
      <w:bodyDiv w:val="1"/>
      <w:marLeft w:val="0"/>
      <w:marRight w:val="0"/>
      <w:marTop w:val="0"/>
      <w:marBottom w:val="0"/>
      <w:divBdr>
        <w:top w:val="none" w:sz="0" w:space="0" w:color="auto"/>
        <w:left w:val="none" w:sz="0" w:space="0" w:color="auto"/>
        <w:bottom w:val="none" w:sz="0" w:space="0" w:color="auto"/>
        <w:right w:val="none" w:sz="0" w:space="0" w:color="auto"/>
      </w:divBdr>
    </w:div>
    <w:div w:id="1237012529">
      <w:bodyDiv w:val="1"/>
      <w:marLeft w:val="0"/>
      <w:marRight w:val="0"/>
      <w:marTop w:val="0"/>
      <w:marBottom w:val="0"/>
      <w:divBdr>
        <w:top w:val="none" w:sz="0" w:space="0" w:color="auto"/>
        <w:left w:val="none" w:sz="0" w:space="0" w:color="auto"/>
        <w:bottom w:val="none" w:sz="0" w:space="0" w:color="auto"/>
        <w:right w:val="none" w:sz="0" w:space="0" w:color="auto"/>
      </w:divBdr>
    </w:div>
    <w:div w:id="1243366929">
      <w:bodyDiv w:val="1"/>
      <w:marLeft w:val="0"/>
      <w:marRight w:val="0"/>
      <w:marTop w:val="0"/>
      <w:marBottom w:val="0"/>
      <w:divBdr>
        <w:top w:val="none" w:sz="0" w:space="0" w:color="auto"/>
        <w:left w:val="none" w:sz="0" w:space="0" w:color="auto"/>
        <w:bottom w:val="none" w:sz="0" w:space="0" w:color="auto"/>
        <w:right w:val="none" w:sz="0" w:space="0" w:color="auto"/>
      </w:divBdr>
    </w:div>
    <w:div w:id="1272470856">
      <w:bodyDiv w:val="1"/>
      <w:marLeft w:val="0"/>
      <w:marRight w:val="0"/>
      <w:marTop w:val="0"/>
      <w:marBottom w:val="0"/>
      <w:divBdr>
        <w:top w:val="none" w:sz="0" w:space="0" w:color="auto"/>
        <w:left w:val="none" w:sz="0" w:space="0" w:color="auto"/>
        <w:bottom w:val="none" w:sz="0" w:space="0" w:color="auto"/>
        <w:right w:val="none" w:sz="0" w:space="0" w:color="auto"/>
      </w:divBdr>
    </w:div>
    <w:div w:id="1307398973">
      <w:bodyDiv w:val="1"/>
      <w:marLeft w:val="0"/>
      <w:marRight w:val="0"/>
      <w:marTop w:val="0"/>
      <w:marBottom w:val="0"/>
      <w:divBdr>
        <w:top w:val="none" w:sz="0" w:space="0" w:color="auto"/>
        <w:left w:val="none" w:sz="0" w:space="0" w:color="auto"/>
        <w:bottom w:val="none" w:sz="0" w:space="0" w:color="auto"/>
        <w:right w:val="none" w:sz="0" w:space="0" w:color="auto"/>
      </w:divBdr>
    </w:div>
    <w:div w:id="1324624662">
      <w:bodyDiv w:val="1"/>
      <w:marLeft w:val="0"/>
      <w:marRight w:val="0"/>
      <w:marTop w:val="0"/>
      <w:marBottom w:val="0"/>
      <w:divBdr>
        <w:top w:val="none" w:sz="0" w:space="0" w:color="auto"/>
        <w:left w:val="none" w:sz="0" w:space="0" w:color="auto"/>
        <w:bottom w:val="none" w:sz="0" w:space="0" w:color="auto"/>
        <w:right w:val="none" w:sz="0" w:space="0" w:color="auto"/>
      </w:divBdr>
    </w:div>
    <w:div w:id="1325936787">
      <w:bodyDiv w:val="1"/>
      <w:marLeft w:val="0"/>
      <w:marRight w:val="0"/>
      <w:marTop w:val="0"/>
      <w:marBottom w:val="0"/>
      <w:divBdr>
        <w:top w:val="none" w:sz="0" w:space="0" w:color="auto"/>
        <w:left w:val="none" w:sz="0" w:space="0" w:color="auto"/>
        <w:bottom w:val="none" w:sz="0" w:space="0" w:color="auto"/>
        <w:right w:val="none" w:sz="0" w:space="0" w:color="auto"/>
      </w:divBdr>
    </w:div>
    <w:div w:id="1380932094">
      <w:bodyDiv w:val="1"/>
      <w:marLeft w:val="0"/>
      <w:marRight w:val="0"/>
      <w:marTop w:val="0"/>
      <w:marBottom w:val="0"/>
      <w:divBdr>
        <w:top w:val="none" w:sz="0" w:space="0" w:color="auto"/>
        <w:left w:val="none" w:sz="0" w:space="0" w:color="auto"/>
        <w:bottom w:val="none" w:sz="0" w:space="0" w:color="auto"/>
        <w:right w:val="none" w:sz="0" w:space="0" w:color="auto"/>
      </w:divBdr>
    </w:div>
    <w:div w:id="1428886303">
      <w:bodyDiv w:val="1"/>
      <w:marLeft w:val="0"/>
      <w:marRight w:val="0"/>
      <w:marTop w:val="0"/>
      <w:marBottom w:val="0"/>
      <w:divBdr>
        <w:top w:val="none" w:sz="0" w:space="0" w:color="auto"/>
        <w:left w:val="none" w:sz="0" w:space="0" w:color="auto"/>
        <w:bottom w:val="none" w:sz="0" w:space="0" w:color="auto"/>
        <w:right w:val="none" w:sz="0" w:space="0" w:color="auto"/>
      </w:divBdr>
    </w:div>
    <w:div w:id="1558081399">
      <w:bodyDiv w:val="1"/>
      <w:marLeft w:val="0"/>
      <w:marRight w:val="0"/>
      <w:marTop w:val="0"/>
      <w:marBottom w:val="0"/>
      <w:divBdr>
        <w:top w:val="none" w:sz="0" w:space="0" w:color="auto"/>
        <w:left w:val="none" w:sz="0" w:space="0" w:color="auto"/>
        <w:bottom w:val="none" w:sz="0" w:space="0" w:color="auto"/>
        <w:right w:val="none" w:sz="0" w:space="0" w:color="auto"/>
      </w:divBdr>
    </w:div>
    <w:div w:id="1581872127">
      <w:bodyDiv w:val="1"/>
      <w:marLeft w:val="0"/>
      <w:marRight w:val="0"/>
      <w:marTop w:val="0"/>
      <w:marBottom w:val="0"/>
      <w:divBdr>
        <w:top w:val="none" w:sz="0" w:space="0" w:color="auto"/>
        <w:left w:val="none" w:sz="0" w:space="0" w:color="auto"/>
        <w:bottom w:val="none" w:sz="0" w:space="0" w:color="auto"/>
        <w:right w:val="none" w:sz="0" w:space="0" w:color="auto"/>
      </w:divBdr>
    </w:div>
    <w:div w:id="1677226168">
      <w:bodyDiv w:val="1"/>
      <w:marLeft w:val="0"/>
      <w:marRight w:val="0"/>
      <w:marTop w:val="0"/>
      <w:marBottom w:val="0"/>
      <w:divBdr>
        <w:top w:val="none" w:sz="0" w:space="0" w:color="auto"/>
        <w:left w:val="none" w:sz="0" w:space="0" w:color="auto"/>
        <w:bottom w:val="none" w:sz="0" w:space="0" w:color="auto"/>
        <w:right w:val="none" w:sz="0" w:space="0" w:color="auto"/>
      </w:divBdr>
    </w:div>
    <w:div w:id="1772043331">
      <w:bodyDiv w:val="1"/>
      <w:marLeft w:val="0"/>
      <w:marRight w:val="0"/>
      <w:marTop w:val="0"/>
      <w:marBottom w:val="0"/>
      <w:divBdr>
        <w:top w:val="none" w:sz="0" w:space="0" w:color="auto"/>
        <w:left w:val="none" w:sz="0" w:space="0" w:color="auto"/>
        <w:bottom w:val="none" w:sz="0" w:space="0" w:color="auto"/>
        <w:right w:val="none" w:sz="0" w:space="0" w:color="auto"/>
      </w:divBdr>
    </w:div>
    <w:div w:id="1793553452">
      <w:bodyDiv w:val="1"/>
      <w:marLeft w:val="0"/>
      <w:marRight w:val="0"/>
      <w:marTop w:val="0"/>
      <w:marBottom w:val="0"/>
      <w:divBdr>
        <w:top w:val="none" w:sz="0" w:space="0" w:color="auto"/>
        <w:left w:val="none" w:sz="0" w:space="0" w:color="auto"/>
        <w:bottom w:val="none" w:sz="0" w:space="0" w:color="auto"/>
        <w:right w:val="none" w:sz="0" w:space="0" w:color="auto"/>
      </w:divBdr>
    </w:div>
    <w:div w:id="1812944889">
      <w:bodyDiv w:val="1"/>
      <w:marLeft w:val="0"/>
      <w:marRight w:val="0"/>
      <w:marTop w:val="0"/>
      <w:marBottom w:val="0"/>
      <w:divBdr>
        <w:top w:val="none" w:sz="0" w:space="0" w:color="auto"/>
        <w:left w:val="none" w:sz="0" w:space="0" w:color="auto"/>
        <w:bottom w:val="none" w:sz="0" w:space="0" w:color="auto"/>
        <w:right w:val="none" w:sz="0" w:space="0" w:color="auto"/>
      </w:divBdr>
    </w:div>
    <w:div w:id="1814980802">
      <w:bodyDiv w:val="1"/>
      <w:marLeft w:val="0"/>
      <w:marRight w:val="0"/>
      <w:marTop w:val="0"/>
      <w:marBottom w:val="0"/>
      <w:divBdr>
        <w:top w:val="none" w:sz="0" w:space="0" w:color="auto"/>
        <w:left w:val="none" w:sz="0" w:space="0" w:color="auto"/>
        <w:bottom w:val="none" w:sz="0" w:space="0" w:color="auto"/>
        <w:right w:val="none" w:sz="0" w:space="0" w:color="auto"/>
      </w:divBdr>
    </w:div>
    <w:div w:id="1844512205">
      <w:bodyDiv w:val="1"/>
      <w:marLeft w:val="0"/>
      <w:marRight w:val="0"/>
      <w:marTop w:val="0"/>
      <w:marBottom w:val="0"/>
      <w:divBdr>
        <w:top w:val="none" w:sz="0" w:space="0" w:color="auto"/>
        <w:left w:val="none" w:sz="0" w:space="0" w:color="auto"/>
        <w:bottom w:val="none" w:sz="0" w:space="0" w:color="auto"/>
        <w:right w:val="none" w:sz="0" w:space="0" w:color="auto"/>
      </w:divBdr>
    </w:div>
    <w:div w:id="203622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ulissalimon/Desktop/Grad%20School/Summer%20II/Financial%20Management%20Concepts/limonj.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ulissalimon/Desktop/Grad%20School/Summer%20II/Financial%20Management%20Concepts/limonj.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julissalimon/Desktop/Grad%20School/Summer%20II/Financial%20Management%20Concepts/limonj.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julissalimon/Desktop/Grad%20School/Summer%20II/Financial%20Management%20Concepts/limonj.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julissalimon/Desktop/Grad%20School/Summer%20II/Financial%20Management%20Concepts/limonj.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julissalimon/Desktop/Grad%20School/Summer%20II/Financial%20Management%20Concepts/limonj.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julissalimon/Desktop/Grad%20School/Summer%20II/Financial%20Management%20Concepts/limonj.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julissalimon/Desktop/Grad%20School/Summer%20II/Financial%20Management%20Concepts/limonj.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julissalimon/Desktop/Grad%20School/Summer%20II/Financial%20Management%20Concepts/limonj.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 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limonj!$C$19</c:f>
              <c:strCache>
                <c:ptCount val="1"/>
                <c:pt idx="0">
                  <c:v>DDS Quick Ratio (x)</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limonj!$B$20:$B$27</c:f>
              <c:numCache>
                <c:formatCode>General</c:formatCode>
                <c:ptCount val="8"/>
                <c:pt idx="2">
                  <c:v>2016</c:v>
                </c:pt>
                <c:pt idx="3">
                  <c:v>2017</c:v>
                </c:pt>
                <c:pt idx="4">
                  <c:v>2018</c:v>
                </c:pt>
                <c:pt idx="5">
                  <c:v>2019</c:v>
                </c:pt>
                <c:pt idx="6">
                  <c:v>2020</c:v>
                </c:pt>
                <c:pt idx="7">
                  <c:v>2021</c:v>
                </c:pt>
              </c:numCache>
            </c:numRef>
          </c:xVal>
          <c:yVal>
            <c:numRef>
              <c:f>limonj!$C$20:$C$27</c:f>
              <c:numCache>
                <c:formatCode>General</c:formatCode>
                <c:ptCount val="8"/>
                <c:pt idx="2" formatCode="0.00">
                  <c:v>0.40471901666842464</c:v>
                </c:pt>
                <c:pt idx="3" formatCode="0.00">
                  <c:v>0.21802229679494392</c:v>
                </c:pt>
                <c:pt idx="4" formatCode="0.00">
                  <c:v>0.1869528191230109</c:v>
                </c:pt>
                <c:pt idx="5" formatCode="0.00">
                  <c:v>0.34960142669903954</c:v>
                </c:pt>
                <c:pt idx="6" formatCode="0.00">
                  <c:v>0.66753312622836503</c:v>
                </c:pt>
                <c:pt idx="7" formatCode="0.00">
                  <c:v>0.78595943224182507</c:v>
                </c:pt>
              </c:numCache>
            </c:numRef>
          </c:yVal>
          <c:smooth val="1"/>
          <c:extLst>
            <c:ext xmlns:c16="http://schemas.microsoft.com/office/drawing/2014/chart" uri="{C3380CC4-5D6E-409C-BE32-E72D297353CC}">
              <c16:uniqueId val="{00000000-98B9-244A-B891-41277D022179}"/>
            </c:ext>
          </c:extLst>
        </c:ser>
        <c:ser>
          <c:idx val="1"/>
          <c:order val="1"/>
          <c:tx>
            <c:strRef>
              <c:f>limonj!$D$19</c:f>
              <c:strCache>
                <c:ptCount val="1"/>
                <c:pt idx="0">
                  <c:v>M Quick Ratio (x)</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limonj!$B$20:$B$27</c:f>
              <c:numCache>
                <c:formatCode>General</c:formatCode>
                <c:ptCount val="8"/>
                <c:pt idx="2">
                  <c:v>2016</c:v>
                </c:pt>
                <c:pt idx="3">
                  <c:v>2017</c:v>
                </c:pt>
                <c:pt idx="4">
                  <c:v>2018</c:v>
                </c:pt>
                <c:pt idx="5">
                  <c:v>2019</c:v>
                </c:pt>
                <c:pt idx="6">
                  <c:v>2020</c:v>
                </c:pt>
                <c:pt idx="7">
                  <c:v>2021</c:v>
                </c:pt>
              </c:numCache>
            </c:numRef>
          </c:xVal>
          <c:yVal>
            <c:numRef>
              <c:f>limonj!$D$20:$D$27</c:f>
              <c:numCache>
                <c:formatCode>General</c:formatCode>
                <c:ptCount val="8"/>
                <c:pt idx="2" formatCode="0.00">
                  <c:v>0.32867009031344074</c:v>
                </c:pt>
                <c:pt idx="3" formatCode="0.00">
                  <c:v>0.36551724137931035</c:v>
                </c:pt>
                <c:pt idx="4" formatCode="0.00">
                  <c:v>0.30561926605504586</c:v>
                </c:pt>
                <c:pt idx="5" formatCode="0.00">
                  <c:v>0.19669565217391305</c:v>
                </c:pt>
                <c:pt idx="6" formatCode="0.00">
                  <c:v>0.37184991599775996</c:v>
                </c:pt>
                <c:pt idx="7" formatCode="0.00">
                  <c:v>0.37093796159527326</c:v>
                </c:pt>
              </c:numCache>
            </c:numRef>
          </c:yVal>
          <c:smooth val="1"/>
          <c:extLst>
            <c:ext xmlns:c16="http://schemas.microsoft.com/office/drawing/2014/chart" uri="{C3380CC4-5D6E-409C-BE32-E72D297353CC}">
              <c16:uniqueId val="{00000001-98B9-244A-B891-41277D022179}"/>
            </c:ext>
          </c:extLst>
        </c:ser>
        <c:dLbls>
          <c:showLegendKey val="0"/>
          <c:showVal val="0"/>
          <c:showCatName val="0"/>
          <c:showSerName val="0"/>
          <c:showPercent val="0"/>
          <c:showBubbleSize val="0"/>
        </c:dLbls>
        <c:axId val="839523776"/>
        <c:axId val="201958287"/>
      </c:scatterChart>
      <c:valAx>
        <c:axId val="8395237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958287"/>
        <c:crosses val="autoZero"/>
        <c:crossBetween val="midCat"/>
      </c:valAx>
      <c:valAx>
        <c:axId val="201958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95237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Cash 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limonj!$E$19</c:f>
              <c:strCache>
                <c:ptCount val="1"/>
                <c:pt idx="0">
                  <c:v>DDS Cash Ratio (x)</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limonj!$B$22:$B$27</c:f>
              <c:numCache>
                <c:formatCode>General</c:formatCode>
                <c:ptCount val="6"/>
                <c:pt idx="0">
                  <c:v>2016</c:v>
                </c:pt>
                <c:pt idx="1">
                  <c:v>2017</c:v>
                </c:pt>
                <c:pt idx="2">
                  <c:v>2018</c:v>
                </c:pt>
                <c:pt idx="3">
                  <c:v>2019</c:v>
                </c:pt>
                <c:pt idx="4">
                  <c:v>2020</c:v>
                </c:pt>
                <c:pt idx="5">
                  <c:v>2021</c:v>
                </c:pt>
              </c:numCache>
            </c:numRef>
          </c:xVal>
          <c:yVal>
            <c:numRef>
              <c:f>limonj!$E$22:$E$27</c:f>
              <c:numCache>
                <c:formatCode>0.00</c:formatCode>
                <c:ptCount val="6"/>
                <c:pt idx="0">
                  <c:v>0.35532919549787662</c:v>
                </c:pt>
                <c:pt idx="1">
                  <c:v>0.17988633270526813</c:v>
                </c:pt>
                <c:pt idx="2">
                  <c:v>0.13230248464171135</c:v>
                </c:pt>
                <c:pt idx="3">
                  <c:v>0.2976697965234954</c:v>
                </c:pt>
                <c:pt idx="4">
                  <c:v>0.46623071976524083</c:v>
                </c:pt>
                <c:pt idx="5">
                  <c:v>0.74184370297230551</c:v>
                </c:pt>
              </c:numCache>
            </c:numRef>
          </c:yVal>
          <c:smooth val="1"/>
          <c:extLst>
            <c:ext xmlns:c16="http://schemas.microsoft.com/office/drawing/2014/chart" uri="{C3380CC4-5D6E-409C-BE32-E72D297353CC}">
              <c16:uniqueId val="{00000000-9420-AB45-AEB3-A32A3EFA7B23}"/>
            </c:ext>
          </c:extLst>
        </c:ser>
        <c:ser>
          <c:idx val="1"/>
          <c:order val="1"/>
          <c:tx>
            <c:strRef>
              <c:f>limonj!$F$19</c:f>
              <c:strCache>
                <c:ptCount val="1"/>
                <c:pt idx="0">
                  <c:v>M Cash Ratio (x)</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limonj!$B$22:$B$27</c:f>
              <c:numCache>
                <c:formatCode>General</c:formatCode>
                <c:ptCount val="6"/>
                <c:pt idx="0">
                  <c:v>2016</c:v>
                </c:pt>
                <c:pt idx="1">
                  <c:v>2017</c:v>
                </c:pt>
                <c:pt idx="2">
                  <c:v>2018</c:v>
                </c:pt>
                <c:pt idx="3">
                  <c:v>2019</c:v>
                </c:pt>
                <c:pt idx="4">
                  <c:v>2020</c:v>
                </c:pt>
                <c:pt idx="5">
                  <c:v>2021</c:v>
                </c:pt>
              </c:numCache>
            </c:numRef>
          </c:xVal>
          <c:yVal>
            <c:numRef>
              <c:f>limonj!$F$22:$F$26</c:f>
              <c:numCache>
                <c:formatCode>0.00</c:formatCode>
                <c:ptCount val="5"/>
                <c:pt idx="0">
                  <c:v>0.22967947582787321</c:v>
                </c:pt>
                <c:pt idx="1">
                  <c:v>0.28669950738916256</c:v>
                </c:pt>
                <c:pt idx="2">
                  <c:v>0.2220948012232416</c:v>
                </c:pt>
                <c:pt idx="3">
                  <c:v>0.11913043478260869</c:v>
                </c:pt>
                <c:pt idx="4">
                  <c:v>0.31342169124509989</c:v>
                </c:pt>
              </c:numCache>
            </c:numRef>
          </c:yVal>
          <c:smooth val="1"/>
          <c:extLst>
            <c:ext xmlns:c16="http://schemas.microsoft.com/office/drawing/2014/chart" uri="{C3380CC4-5D6E-409C-BE32-E72D297353CC}">
              <c16:uniqueId val="{00000001-9420-AB45-AEB3-A32A3EFA7B23}"/>
            </c:ext>
          </c:extLst>
        </c:ser>
        <c:dLbls>
          <c:showLegendKey val="0"/>
          <c:showVal val="0"/>
          <c:showCatName val="0"/>
          <c:showSerName val="0"/>
          <c:showPercent val="0"/>
          <c:showBubbleSize val="0"/>
        </c:dLbls>
        <c:axId val="1540398015"/>
        <c:axId val="1520375007"/>
      </c:scatterChart>
      <c:valAx>
        <c:axId val="15403980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0375007"/>
        <c:crosses val="autoZero"/>
        <c:crossBetween val="midCat"/>
      </c:valAx>
      <c:valAx>
        <c:axId val="152037500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039801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Debt-to-Equity 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limonj!$G$19</c:f>
              <c:strCache>
                <c:ptCount val="1"/>
                <c:pt idx="0">
                  <c:v>DDS Debt-to-Equity Ratio (x)</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limonj!$B$22:$B$27</c:f>
              <c:numCache>
                <c:formatCode>General</c:formatCode>
                <c:ptCount val="6"/>
                <c:pt idx="0">
                  <c:v>2016</c:v>
                </c:pt>
                <c:pt idx="1">
                  <c:v>2017</c:v>
                </c:pt>
                <c:pt idx="2">
                  <c:v>2018</c:v>
                </c:pt>
                <c:pt idx="3">
                  <c:v>2019</c:v>
                </c:pt>
                <c:pt idx="4">
                  <c:v>2020</c:v>
                </c:pt>
                <c:pt idx="5">
                  <c:v>2021</c:v>
                </c:pt>
              </c:numCache>
            </c:numRef>
          </c:xVal>
          <c:yVal>
            <c:numRef>
              <c:f>limonj!$G$22:$G$27</c:f>
              <c:numCache>
                <c:formatCode>0.00</c:formatCode>
                <c:ptCount val="6"/>
                <c:pt idx="0">
                  <c:v>1.2639440508624289</c:v>
                </c:pt>
                <c:pt idx="1">
                  <c:v>1.1503721851939666</c:v>
                </c:pt>
                <c:pt idx="2">
                  <c:v>1.0444517663152764</c:v>
                </c:pt>
                <c:pt idx="3">
                  <c:v>1.1131914253979187</c:v>
                </c:pt>
                <c:pt idx="4">
                  <c:v>1.1460776067863607</c:v>
                </c:pt>
                <c:pt idx="5">
                  <c:v>1.2364365656986063</c:v>
                </c:pt>
              </c:numCache>
            </c:numRef>
          </c:yVal>
          <c:smooth val="1"/>
          <c:extLst>
            <c:ext xmlns:c16="http://schemas.microsoft.com/office/drawing/2014/chart" uri="{C3380CC4-5D6E-409C-BE32-E72D297353CC}">
              <c16:uniqueId val="{00000000-2F6E-A747-B9CE-C4427173AEDB}"/>
            </c:ext>
          </c:extLst>
        </c:ser>
        <c:ser>
          <c:idx val="1"/>
          <c:order val="1"/>
          <c:tx>
            <c:strRef>
              <c:f>limonj!$H$19</c:f>
              <c:strCache>
                <c:ptCount val="1"/>
                <c:pt idx="0">
                  <c:v>M Debt-to-Equity Ratio (x)</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limonj!$B$22:$B$27</c:f>
              <c:numCache>
                <c:formatCode>General</c:formatCode>
                <c:ptCount val="6"/>
                <c:pt idx="0">
                  <c:v>2016</c:v>
                </c:pt>
                <c:pt idx="1">
                  <c:v>2017</c:v>
                </c:pt>
                <c:pt idx="2">
                  <c:v>2018</c:v>
                </c:pt>
                <c:pt idx="3">
                  <c:v>2019</c:v>
                </c:pt>
                <c:pt idx="4">
                  <c:v>2020</c:v>
                </c:pt>
                <c:pt idx="5">
                  <c:v>2021</c:v>
                </c:pt>
              </c:numCache>
            </c:numRef>
          </c:xVal>
          <c:yVal>
            <c:numRef>
              <c:f>limonj!$H$22:$H$27</c:f>
              <c:numCache>
                <c:formatCode>0.00</c:formatCode>
                <c:ptCount val="6"/>
                <c:pt idx="0">
                  <c:v>3.5921813555401343</c:v>
                </c:pt>
                <c:pt idx="1">
                  <c:v>2.418473470826723</c:v>
                </c:pt>
                <c:pt idx="2">
                  <c:v>1.9822871348663766</c:v>
                </c:pt>
                <c:pt idx="3">
                  <c:v>2.3200564528775285</c:v>
                </c:pt>
                <c:pt idx="4">
                  <c:v>5.9353701527614575</c:v>
                </c:pt>
                <c:pt idx="5">
                  <c:v>3.8577740955537143</c:v>
                </c:pt>
              </c:numCache>
            </c:numRef>
          </c:yVal>
          <c:smooth val="1"/>
          <c:extLst>
            <c:ext xmlns:c16="http://schemas.microsoft.com/office/drawing/2014/chart" uri="{C3380CC4-5D6E-409C-BE32-E72D297353CC}">
              <c16:uniqueId val="{00000001-2F6E-A747-B9CE-C4427173AEDB}"/>
            </c:ext>
          </c:extLst>
        </c:ser>
        <c:dLbls>
          <c:showLegendKey val="0"/>
          <c:showVal val="0"/>
          <c:showCatName val="0"/>
          <c:showSerName val="0"/>
          <c:showPercent val="0"/>
          <c:showBubbleSize val="0"/>
        </c:dLbls>
        <c:axId val="179247663"/>
        <c:axId val="1554901887"/>
      </c:scatterChart>
      <c:valAx>
        <c:axId val="17924766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4901887"/>
        <c:crosses val="autoZero"/>
        <c:crossBetween val="midCat"/>
      </c:valAx>
      <c:valAx>
        <c:axId val="155490188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24766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Days in Receivables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limonj!$I$19</c:f>
              <c:strCache>
                <c:ptCount val="1"/>
                <c:pt idx="0">
                  <c:v>DDS Days in Receivables (days)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limonj!$B$22:$B$27</c:f>
              <c:numCache>
                <c:formatCode>General</c:formatCode>
                <c:ptCount val="6"/>
                <c:pt idx="0">
                  <c:v>2016</c:v>
                </c:pt>
                <c:pt idx="1">
                  <c:v>2017</c:v>
                </c:pt>
                <c:pt idx="2">
                  <c:v>2018</c:v>
                </c:pt>
                <c:pt idx="3">
                  <c:v>2019</c:v>
                </c:pt>
                <c:pt idx="4">
                  <c:v>2020</c:v>
                </c:pt>
                <c:pt idx="5">
                  <c:v>2021</c:v>
                </c:pt>
              </c:numCache>
            </c:numRef>
          </c:xVal>
          <c:yVal>
            <c:numRef>
              <c:f>limonj!$I$22:$I$27</c:f>
              <c:numCache>
                <c:formatCode>0.00</c:formatCode>
                <c:ptCount val="6"/>
                <c:pt idx="0">
                  <c:v>2.7428989270660105</c:v>
                </c:pt>
                <c:pt idx="1">
                  <c:v>2.253305320087764</c:v>
                </c:pt>
                <c:pt idx="2">
                  <c:v>2.8633816207618565</c:v>
                </c:pt>
                <c:pt idx="3">
                  <c:v>2.7815147564853198</c:v>
                </c:pt>
                <c:pt idx="4">
                  <c:v>12.809623329502378</c:v>
                </c:pt>
                <c:pt idx="5">
                  <c:v>2.3486009848334919</c:v>
                </c:pt>
              </c:numCache>
            </c:numRef>
          </c:yVal>
          <c:smooth val="1"/>
          <c:extLst>
            <c:ext xmlns:c16="http://schemas.microsoft.com/office/drawing/2014/chart" uri="{C3380CC4-5D6E-409C-BE32-E72D297353CC}">
              <c16:uniqueId val="{00000000-3C78-2749-86D2-52EF26AA3475}"/>
            </c:ext>
          </c:extLst>
        </c:ser>
        <c:ser>
          <c:idx val="1"/>
          <c:order val="1"/>
          <c:tx>
            <c:strRef>
              <c:f>limonj!$J$19</c:f>
              <c:strCache>
                <c:ptCount val="1"/>
                <c:pt idx="0">
                  <c:v>M Days in Receivables (days)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limonj!$B$22:$B$27</c:f>
              <c:numCache>
                <c:formatCode>General</c:formatCode>
                <c:ptCount val="6"/>
                <c:pt idx="0">
                  <c:v>2016</c:v>
                </c:pt>
                <c:pt idx="1">
                  <c:v>2017</c:v>
                </c:pt>
                <c:pt idx="2">
                  <c:v>2018</c:v>
                </c:pt>
                <c:pt idx="3">
                  <c:v>2019</c:v>
                </c:pt>
                <c:pt idx="4">
                  <c:v>2020</c:v>
                </c:pt>
                <c:pt idx="5">
                  <c:v>2021</c:v>
                </c:pt>
              </c:numCache>
            </c:numRef>
          </c:xVal>
          <c:yVal>
            <c:numRef>
              <c:f>limonj!$J$22:$J$27</c:f>
              <c:numCache>
                <c:formatCode>0.00</c:formatCode>
                <c:ptCount val="6"/>
                <c:pt idx="0">
                  <c:v>7.3911862828768724</c:v>
                </c:pt>
                <c:pt idx="1">
                  <c:v>5.3345814711921724</c:v>
                </c:pt>
                <c:pt idx="2">
                  <c:v>5.6723260421927817</c:v>
                </c:pt>
                <c:pt idx="3">
                  <c:v>5.8933717579250722</c:v>
                </c:pt>
                <c:pt idx="4">
                  <c:v>5.5666685085925849</c:v>
                </c:pt>
                <c:pt idx="5">
                  <c:v>4.2861379092203062</c:v>
                </c:pt>
              </c:numCache>
            </c:numRef>
          </c:yVal>
          <c:smooth val="1"/>
          <c:extLst>
            <c:ext xmlns:c16="http://schemas.microsoft.com/office/drawing/2014/chart" uri="{C3380CC4-5D6E-409C-BE32-E72D297353CC}">
              <c16:uniqueId val="{00000001-3C78-2749-86D2-52EF26AA3475}"/>
            </c:ext>
          </c:extLst>
        </c:ser>
        <c:dLbls>
          <c:showLegendKey val="0"/>
          <c:showVal val="0"/>
          <c:showCatName val="0"/>
          <c:showSerName val="0"/>
          <c:showPercent val="0"/>
          <c:showBubbleSize val="0"/>
        </c:dLbls>
        <c:axId val="1634829871"/>
        <c:axId val="1479469039"/>
      </c:scatterChart>
      <c:valAx>
        <c:axId val="163482987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9469039"/>
        <c:crosses val="autoZero"/>
        <c:crossBetween val="midCat"/>
      </c:valAx>
      <c:valAx>
        <c:axId val="1479469039"/>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482987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Return On Assets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limonj!$K$19</c:f>
              <c:strCache>
                <c:ptCount val="1"/>
                <c:pt idx="0">
                  <c:v>DDS ROA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limonj!$B$22:$B$27</c:f>
              <c:numCache>
                <c:formatCode>General</c:formatCode>
                <c:ptCount val="6"/>
                <c:pt idx="0">
                  <c:v>2016</c:v>
                </c:pt>
                <c:pt idx="1">
                  <c:v>2017</c:v>
                </c:pt>
                <c:pt idx="2">
                  <c:v>2018</c:v>
                </c:pt>
                <c:pt idx="3">
                  <c:v>2019</c:v>
                </c:pt>
                <c:pt idx="4">
                  <c:v>2020</c:v>
                </c:pt>
                <c:pt idx="5">
                  <c:v>2021</c:v>
                </c:pt>
              </c:numCache>
            </c:numRef>
          </c:xVal>
          <c:yVal>
            <c:numRef>
              <c:f>limonj!$K$22:$K$27</c:f>
              <c:numCache>
                <c:formatCode>0.00</c:formatCode>
                <c:ptCount val="6"/>
                <c:pt idx="0">
                  <c:v>4.3522140172051596E-2</c:v>
                </c:pt>
                <c:pt idx="1">
                  <c:v>6.0254238234069821E-2</c:v>
                </c:pt>
                <c:pt idx="2">
                  <c:v>4.9619554177938889E-2</c:v>
                </c:pt>
                <c:pt idx="3">
                  <c:v>3.2382704852726776E-2</c:v>
                </c:pt>
                <c:pt idx="4">
                  <c:v>-2.3170138220833206E-2</c:v>
                </c:pt>
                <c:pt idx="5">
                  <c:v>0.26573959415903031</c:v>
                </c:pt>
              </c:numCache>
            </c:numRef>
          </c:yVal>
          <c:smooth val="1"/>
          <c:extLst>
            <c:ext xmlns:c16="http://schemas.microsoft.com/office/drawing/2014/chart" uri="{C3380CC4-5D6E-409C-BE32-E72D297353CC}">
              <c16:uniqueId val="{00000000-6A05-5849-8A97-D5BB35CB8A18}"/>
            </c:ext>
          </c:extLst>
        </c:ser>
        <c:ser>
          <c:idx val="1"/>
          <c:order val="1"/>
          <c:tx>
            <c:strRef>
              <c:f>limonj!$L$19</c:f>
              <c:strCache>
                <c:ptCount val="1"/>
                <c:pt idx="0">
                  <c:v>M ROA (%)</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limonj!$B$22:$B$27</c:f>
              <c:numCache>
                <c:formatCode>General</c:formatCode>
                <c:ptCount val="6"/>
                <c:pt idx="0">
                  <c:v>2016</c:v>
                </c:pt>
                <c:pt idx="1">
                  <c:v>2017</c:v>
                </c:pt>
                <c:pt idx="2">
                  <c:v>2018</c:v>
                </c:pt>
                <c:pt idx="3">
                  <c:v>2019</c:v>
                </c:pt>
                <c:pt idx="4">
                  <c:v>2020</c:v>
                </c:pt>
                <c:pt idx="5">
                  <c:v>2021</c:v>
                </c:pt>
              </c:numCache>
            </c:numRef>
          </c:xVal>
          <c:yVal>
            <c:numRef>
              <c:f>limonj!$L$22:$L$27</c:f>
              <c:numCache>
                <c:formatCode>0.00</c:formatCode>
                <c:ptCount val="6"/>
                <c:pt idx="0">
                  <c:v>3.1182308196060653E-2</c:v>
                </c:pt>
                <c:pt idx="1">
                  <c:v>7.982044270161498E-2</c:v>
                </c:pt>
                <c:pt idx="2">
                  <c:v>5.7726372824841096E-2</c:v>
                </c:pt>
                <c:pt idx="3">
                  <c:v>2.6638957113168337E-2</c:v>
                </c:pt>
                <c:pt idx="4">
                  <c:v>-0.22274935050265446</c:v>
                </c:pt>
                <c:pt idx="5">
                  <c:v>8.1296191017623656E-2</c:v>
                </c:pt>
              </c:numCache>
            </c:numRef>
          </c:yVal>
          <c:smooth val="1"/>
          <c:extLst>
            <c:ext xmlns:c16="http://schemas.microsoft.com/office/drawing/2014/chart" uri="{C3380CC4-5D6E-409C-BE32-E72D297353CC}">
              <c16:uniqueId val="{00000001-6A05-5849-8A97-D5BB35CB8A18}"/>
            </c:ext>
          </c:extLst>
        </c:ser>
        <c:dLbls>
          <c:showLegendKey val="0"/>
          <c:showVal val="0"/>
          <c:showCatName val="0"/>
          <c:showSerName val="0"/>
          <c:showPercent val="0"/>
          <c:showBubbleSize val="0"/>
        </c:dLbls>
        <c:axId val="1631278255"/>
        <c:axId val="1542315327"/>
      </c:scatterChart>
      <c:valAx>
        <c:axId val="16312782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2315327"/>
        <c:crosses val="autoZero"/>
        <c:crossBetween val="midCat"/>
      </c:valAx>
      <c:valAx>
        <c:axId val="154231532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127825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Profit Margin 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limonj!$C$33</c:f>
              <c:strCache>
                <c:ptCount val="1"/>
                <c:pt idx="0">
                  <c:v>DDS Profit Margin Ratio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limonj!$B$36:$B$41</c:f>
              <c:numCache>
                <c:formatCode>General</c:formatCode>
                <c:ptCount val="6"/>
                <c:pt idx="0">
                  <c:v>2016</c:v>
                </c:pt>
                <c:pt idx="1">
                  <c:v>2017</c:v>
                </c:pt>
                <c:pt idx="2">
                  <c:v>2018</c:v>
                </c:pt>
                <c:pt idx="3">
                  <c:v>2019</c:v>
                </c:pt>
                <c:pt idx="4">
                  <c:v>2020</c:v>
                </c:pt>
                <c:pt idx="5">
                  <c:v>2021</c:v>
                </c:pt>
              </c:numCache>
            </c:numRef>
          </c:xVal>
          <c:yVal>
            <c:numRef>
              <c:f>limonj!$C$36:$C$41</c:f>
              <c:numCache>
                <c:formatCode>0.00</c:formatCode>
                <c:ptCount val="6"/>
                <c:pt idx="0">
                  <c:v>2.6366432331272831E-2</c:v>
                </c:pt>
                <c:pt idx="1">
                  <c:v>3.4459779693074975E-2</c:v>
                </c:pt>
                <c:pt idx="2">
                  <c:v>2.6180818529037884E-2</c:v>
                </c:pt>
                <c:pt idx="3">
                  <c:v>1.7511793317296239E-2</c:v>
                </c:pt>
                <c:pt idx="4">
                  <c:v>-1.6163097186334428E-2</c:v>
                </c:pt>
                <c:pt idx="5">
                  <c:v>0.13019900918848831</c:v>
                </c:pt>
              </c:numCache>
            </c:numRef>
          </c:yVal>
          <c:smooth val="1"/>
          <c:extLst>
            <c:ext xmlns:c16="http://schemas.microsoft.com/office/drawing/2014/chart" uri="{C3380CC4-5D6E-409C-BE32-E72D297353CC}">
              <c16:uniqueId val="{00000000-9896-0D44-9010-6704124BAE24}"/>
            </c:ext>
          </c:extLst>
        </c:ser>
        <c:ser>
          <c:idx val="1"/>
          <c:order val="1"/>
          <c:tx>
            <c:strRef>
              <c:f>limonj!$D$33</c:f>
              <c:strCache>
                <c:ptCount val="1"/>
                <c:pt idx="0">
                  <c:v>M Profit Margin Ratio (%)</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limonj!$B$36:$B$41</c:f>
              <c:numCache>
                <c:formatCode>General</c:formatCode>
                <c:ptCount val="6"/>
                <c:pt idx="0">
                  <c:v>2016</c:v>
                </c:pt>
                <c:pt idx="1">
                  <c:v>2017</c:v>
                </c:pt>
                <c:pt idx="2">
                  <c:v>2018</c:v>
                </c:pt>
                <c:pt idx="3">
                  <c:v>2019</c:v>
                </c:pt>
                <c:pt idx="4">
                  <c:v>2020</c:v>
                </c:pt>
                <c:pt idx="5">
                  <c:v>2021</c:v>
                </c:pt>
              </c:numCache>
            </c:numRef>
          </c:xVal>
          <c:yVal>
            <c:numRef>
              <c:f>limonj!$D$36:$D$41</c:f>
              <c:numCache>
                <c:formatCode>0.00</c:formatCode>
                <c:ptCount val="6"/>
                <c:pt idx="0">
                  <c:v>2.4012724028241134E-2</c:v>
                </c:pt>
                <c:pt idx="1">
                  <c:v>6.2286105407255307E-2</c:v>
                </c:pt>
                <c:pt idx="2">
                  <c:v>4.3047515443490426E-2</c:v>
                </c:pt>
                <c:pt idx="3">
                  <c:v>2.2265208637637677E-2</c:v>
                </c:pt>
                <c:pt idx="4">
                  <c:v>-0.21793667458694813</c:v>
                </c:pt>
                <c:pt idx="5">
                  <c:v>5.6539617270283095E-2</c:v>
                </c:pt>
              </c:numCache>
            </c:numRef>
          </c:yVal>
          <c:smooth val="1"/>
          <c:extLst>
            <c:ext xmlns:c16="http://schemas.microsoft.com/office/drawing/2014/chart" uri="{C3380CC4-5D6E-409C-BE32-E72D297353CC}">
              <c16:uniqueId val="{00000001-9896-0D44-9010-6704124BAE24}"/>
            </c:ext>
          </c:extLst>
        </c:ser>
        <c:dLbls>
          <c:showLegendKey val="0"/>
          <c:showVal val="0"/>
          <c:showCatName val="0"/>
          <c:showSerName val="0"/>
          <c:showPercent val="0"/>
          <c:showBubbleSize val="0"/>
        </c:dLbls>
        <c:axId val="1747536623"/>
        <c:axId val="1960056976"/>
      </c:scatterChart>
      <c:valAx>
        <c:axId val="174753662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0056976"/>
        <c:crosses val="autoZero"/>
        <c:crossBetween val="midCat"/>
      </c:valAx>
      <c:valAx>
        <c:axId val="19600569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753662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Return on Equity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limonj!$E$33</c:f>
              <c:strCache>
                <c:ptCount val="1"/>
                <c:pt idx="0">
                  <c:v>DDS ROE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limonj!$B$36:$B$41</c:f>
              <c:numCache>
                <c:formatCode>General</c:formatCode>
                <c:ptCount val="6"/>
                <c:pt idx="0">
                  <c:v>2016</c:v>
                </c:pt>
                <c:pt idx="1">
                  <c:v>2017</c:v>
                </c:pt>
                <c:pt idx="2">
                  <c:v>2018</c:v>
                </c:pt>
                <c:pt idx="3">
                  <c:v>2019</c:v>
                </c:pt>
                <c:pt idx="4">
                  <c:v>2020</c:v>
                </c:pt>
                <c:pt idx="5">
                  <c:v>2021</c:v>
                </c:pt>
              </c:numCache>
            </c:numRef>
          </c:xVal>
          <c:yVal>
            <c:numRef>
              <c:f>limonj!$E$36:$E$41</c:f>
              <c:numCache>
                <c:formatCode>0.00</c:formatCode>
                <c:ptCount val="6"/>
                <c:pt idx="0">
                  <c:v>9.8531690323316934E-2</c:v>
                </c:pt>
                <c:pt idx="1">
                  <c:v>0.12956903793859456</c:v>
                </c:pt>
                <c:pt idx="2">
                  <c:v>0.10144478518286372</c:v>
                </c:pt>
                <c:pt idx="3">
                  <c:v>6.8430854225973795E-2</c:v>
                </c:pt>
                <c:pt idx="4">
                  <c:v>-4.9724914781874907E-2</c:v>
                </c:pt>
                <c:pt idx="5">
                  <c:v>0.5943097453311631</c:v>
                </c:pt>
              </c:numCache>
            </c:numRef>
          </c:yVal>
          <c:smooth val="1"/>
          <c:extLst>
            <c:ext xmlns:c16="http://schemas.microsoft.com/office/drawing/2014/chart" uri="{C3380CC4-5D6E-409C-BE32-E72D297353CC}">
              <c16:uniqueId val="{00000000-A942-F146-8B86-66E5A142CFF5}"/>
            </c:ext>
          </c:extLst>
        </c:ser>
        <c:ser>
          <c:idx val="1"/>
          <c:order val="1"/>
          <c:tx>
            <c:strRef>
              <c:f>limonj!$F$33</c:f>
              <c:strCache>
                <c:ptCount val="1"/>
                <c:pt idx="0">
                  <c:v>M ROE (%)</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limonj!$B$36:$B$41</c:f>
              <c:numCache>
                <c:formatCode>General</c:formatCode>
                <c:ptCount val="6"/>
                <c:pt idx="0">
                  <c:v>2016</c:v>
                </c:pt>
                <c:pt idx="1">
                  <c:v>2017</c:v>
                </c:pt>
                <c:pt idx="2">
                  <c:v>2018</c:v>
                </c:pt>
                <c:pt idx="3">
                  <c:v>2019</c:v>
                </c:pt>
                <c:pt idx="4">
                  <c:v>2020</c:v>
                </c:pt>
                <c:pt idx="5">
                  <c:v>2021</c:v>
                </c:pt>
              </c:numCache>
            </c:numRef>
          </c:xVal>
          <c:yVal>
            <c:numRef>
              <c:f>limonj!$F$36:$F$41</c:f>
              <c:numCache>
                <c:formatCode>0.00</c:formatCode>
                <c:ptCount val="6"/>
                <c:pt idx="0">
                  <c:v>0.14318760120286839</c:v>
                </c:pt>
                <c:pt idx="1">
                  <c:v>0.2726952229860744</c:v>
                </c:pt>
                <c:pt idx="2">
                  <c:v>0.17215661901802362</c:v>
                </c:pt>
                <c:pt idx="3">
                  <c:v>8.8442841461502275E-2</c:v>
                </c:pt>
                <c:pt idx="4">
                  <c:v>-1.54484919702311</c:v>
                </c:pt>
                <c:pt idx="5">
                  <c:v>0.39491853079259875</c:v>
                </c:pt>
              </c:numCache>
            </c:numRef>
          </c:yVal>
          <c:smooth val="1"/>
          <c:extLst>
            <c:ext xmlns:c16="http://schemas.microsoft.com/office/drawing/2014/chart" uri="{C3380CC4-5D6E-409C-BE32-E72D297353CC}">
              <c16:uniqueId val="{00000001-A942-F146-8B86-66E5A142CFF5}"/>
            </c:ext>
          </c:extLst>
        </c:ser>
        <c:dLbls>
          <c:showLegendKey val="0"/>
          <c:showVal val="0"/>
          <c:showCatName val="0"/>
          <c:showSerName val="0"/>
          <c:showPercent val="0"/>
          <c:showBubbleSize val="0"/>
        </c:dLbls>
        <c:axId val="1550862031"/>
        <c:axId val="1635567231"/>
      </c:scatterChart>
      <c:valAx>
        <c:axId val="155086203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5567231"/>
        <c:crosses val="autoZero"/>
        <c:crossBetween val="midCat"/>
      </c:valAx>
      <c:valAx>
        <c:axId val="163556723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086203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Price-Earnings</a:t>
            </a:r>
            <a:r>
              <a:rPr lang="en-US" baseline="0"/>
              <a:t> Ratio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limonj!$G$33</c:f>
              <c:strCache>
                <c:ptCount val="1"/>
                <c:pt idx="0">
                  <c:v>DDS P/E Ratio (x)</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limonj!$B$36:$B$41</c:f>
              <c:numCache>
                <c:formatCode>General</c:formatCode>
                <c:ptCount val="6"/>
                <c:pt idx="0">
                  <c:v>2016</c:v>
                </c:pt>
                <c:pt idx="1">
                  <c:v>2017</c:v>
                </c:pt>
                <c:pt idx="2">
                  <c:v>2018</c:v>
                </c:pt>
                <c:pt idx="3">
                  <c:v>2019</c:v>
                </c:pt>
                <c:pt idx="4">
                  <c:v>2020</c:v>
                </c:pt>
                <c:pt idx="5">
                  <c:v>2021</c:v>
                </c:pt>
              </c:numCache>
            </c:numRef>
          </c:xVal>
          <c:yVal>
            <c:numRef>
              <c:f>limonj!$G$36:$G$41</c:f>
              <c:numCache>
                <c:formatCode>0.00</c:formatCode>
                <c:ptCount val="6"/>
                <c:pt idx="0">
                  <c:v>11.448275862068966</c:v>
                </c:pt>
                <c:pt idx="1">
                  <c:v>8.9960053262316908</c:v>
                </c:pt>
                <c:pt idx="2">
                  <c:v>10.720706260032102</c:v>
                </c:pt>
                <c:pt idx="3">
                  <c:v>13.863013698630137</c:v>
                </c:pt>
                <c:pt idx="4">
                  <c:v>-27.787974683544302</c:v>
                </c:pt>
                <c:pt idx="5">
                  <c:v>6.0582617000955103</c:v>
                </c:pt>
              </c:numCache>
            </c:numRef>
          </c:yVal>
          <c:smooth val="1"/>
          <c:extLst>
            <c:ext xmlns:c16="http://schemas.microsoft.com/office/drawing/2014/chart" uri="{C3380CC4-5D6E-409C-BE32-E72D297353CC}">
              <c16:uniqueId val="{00000000-A794-7142-B662-8BFEC154C69F}"/>
            </c:ext>
          </c:extLst>
        </c:ser>
        <c:ser>
          <c:idx val="1"/>
          <c:order val="1"/>
          <c:tx>
            <c:strRef>
              <c:f>limonj!$H$33</c:f>
              <c:strCache>
                <c:ptCount val="1"/>
                <c:pt idx="0">
                  <c:v>M P/E Ratio (x)</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limonj!$B$36:$B$41</c:f>
              <c:numCache>
                <c:formatCode>General</c:formatCode>
                <c:ptCount val="6"/>
                <c:pt idx="0">
                  <c:v>2016</c:v>
                </c:pt>
                <c:pt idx="1">
                  <c:v>2017</c:v>
                </c:pt>
                <c:pt idx="2">
                  <c:v>2018</c:v>
                </c:pt>
                <c:pt idx="3">
                  <c:v>2019</c:v>
                </c:pt>
                <c:pt idx="4">
                  <c:v>2020</c:v>
                </c:pt>
                <c:pt idx="5">
                  <c:v>2021</c:v>
                </c:pt>
              </c:numCache>
            </c:numRef>
          </c:xVal>
          <c:yVal>
            <c:numRef>
              <c:f>limonj!$H$36:$H$41</c:f>
              <c:numCache>
                <c:formatCode>0.00</c:formatCode>
                <c:ptCount val="6"/>
                <c:pt idx="0">
                  <c:v>14.696517412935325</c:v>
                </c:pt>
                <c:pt idx="1">
                  <c:v>5.1183431952662719</c:v>
                </c:pt>
                <c:pt idx="2">
                  <c:v>7.3055555555555554</c:v>
                </c:pt>
                <c:pt idx="3">
                  <c:v>8.7637362637362628</c:v>
                </c:pt>
                <c:pt idx="4">
                  <c:v>-1.1861198738170347</c:v>
                </c:pt>
                <c:pt idx="5">
                  <c:v>5.4935622317596566</c:v>
                </c:pt>
              </c:numCache>
            </c:numRef>
          </c:yVal>
          <c:smooth val="1"/>
          <c:extLst>
            <c:ext xmlns:c16="http://schemas.microsoft.com/office/drawing/2014/chart" uri="{C3380CC4-5D6E-409C-BE32-E72D297353CC}">
              <c16:uniqueId val="{00000001-A794-7142-B662-8BFEC154C69F}"/>
            </c:ext>
          </c:extLst>
        </c:ser>
        <c:dLbls>
          <c:showLegendKey val="0"/>
          <c:showVal val="0"/>
          <c:showCatName val="0"/>
          <c:showSerName val="0"/>
          <c:showPercent val="0"/>
          <c:showBubbleSize val="0"/>
        </c:dLbls>
        <c:axId val="1701383887"/>
        <c:axId val="1541654799"/>
      </c:scatterChart>
      <c:valAx>
        <c:axId val="170138388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1654799"/>
        <c:crosses val="autoZero"/>
        <c:crossBetween val="midCat"/>
      </c:valAx>
      <c:valAx>
        <c:axId val="1541654799"/>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138388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Price-to-Sales 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limonj!$I$33</c:f>
              <c:strCache>
                <c:ptCount val="1"/>
                <c:pt idx="0">
                  <c:v>DDS Price-to-Sales Ratio (x)</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limonj!$B$36:$B$41</c:f>
              <c:numCache>
                <c:formatCode>General</c:formatCode>
                <c:ptCount val="6"/>
                <c:pt idx="0">
                  <c:v>2016</c:v>
                </c:pt>
                <c:pt idx="1">
                  <c:v>2017</c:v>
                </c:pt>
                <c:pt idx="2">
                  <c:v>2018</c:v>
                </c:pt>
                <c:pt idx="3">
                  <c:v>2019</c:v>
                </c:pt>
                <c:pt idx="4">
                  <c:v>2020</c:v>
                </c:pt>
                <c:pt idx="5">
                  <c:v>2021</c:v>
                </c:pt>
              </c:numCache>
            </c:numRef>
          </c:xVal>
          <c:yVal>
            <c:numRef>
              <c:f>limonj!$I$36:$I$41</c:f>
              <c:numCache>
                <c:formatCode>0.00</c:formatCode>
                <c:ptCount val="6"/>
                <c:pt idx="0">
                  <c:v>0.28278880257101535</c:v>
                </c:pt>
                <c:pt idx="1">
                  <c:v>0.29564645017123703</c:v>
                </c:pt>
                <c:pt idx="2">
                  <c:v>0.27059641424749004</c:v>
                </c:pt>
                <c:pt idx="3">
                  <c:v>0.23162430510351931</c:v>
                </c:pt>
                <c:pt idx="4">
                  <c:v>0.4360605636805141</c:v>
                </c:pt>
                <c:pt idx="5">
                  <c:v>0.72102754916128831</c:v>
                </c:pt>
              </c:numCache>
            </c:numRef>
          </c:yVal>
          <c:smooth val="1"/>
          <c:extLst>
            <c:ext xmlns:c16="http://schemas.microsoft.com/office/drawing/2014/chart" uri="{C3380CC4-5D6E-409C-BE32-E72D297353CC}">
              <c16:uniqueId val="{00000000-1B1C-3A4B-9935-0205230BB185}"/>
            </c:ext>
          </c:extLst>
        </c:ser>
        <c:ser>
          <c:idx val="1"/>
          <c:order val="1"/>
          <c:tx>
            <c:strRef>
              <c:f>limonj!$J$33</c:f>
              <c:strCache>
                <c:ptCount val="1"/>
                <c:pt idx="0">
                  <c:v>M Price-to-Sales Ratio (x)</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limonj!$B$36:$B$41</c:f>
              <c:numCache>
                <c:formatCode>General</c:formatCode>
                <c:ptCount val="6"/>
                <c:pt idx="0">
                  <c:v>2016</c:v>
                </c:pt>
                <c:pt idx="1">
                  <c:v>2017</c:v>
                </c:pt>
                <c:pt idx="2">
                  <c:v>2018</c:v>
                </c:pt>
                <c:pt idx="3">
                  <c:v>2019</c:v>
                </c:pt>
                <c:pt idx="4">
                  <c:v>2020</c:v>
                </c:pt>
                <c:pt idx="5">
                  <c:v>2021</c:v>
                </c:pt>
              </c:numCache>
            </c:numRef>
          </c:xVal>
          <c:yVal>
            <c:numRef>
              <c:f>limonj!$J$36:$J$41</c:f>
              <c:numCache>
                <c:formatCode>0.00</c:formatCode>
                <c:ptCount val="6"/>
                <c:pt idx="0">
                  <c:v>0.34843746683218246</c:v>
                </c:pt>
                <c:pt idx="1">
                  <c:v>0.3184221826307525</c:v>
                </c:pt>
                <c:pt idx="2">
                  <c:v>0.31422261937138191</c:v>
                </c:pt>
                <c:pt idx="3">
                  <c:v>0.19458546642453908</c:v>
                </c:pt>
                <c:pt idx="4">
                  <c:v>0.25804940045311375</c:v>
                </c:pt>
                <c:pt idx="5">
                  <c:v>0.29591927882334335</c:v>
                </c:pt>
              </c:numCache>
            </c:numRef>
          </c:yVal>
          <c:smooth val="1"/>
          <c:extLst>
            <c:ext xmlns:c16="http://schemas.microsoft.com/office/drawing/2014/chart" uri="{C3380CC4-5D6E-409C-BE32-E72D297353CC}">
              <c16:uniqueId val="{00000001-1B1C-3A4B-9935-0205230BB185}"/>
            </c:ext>
          </c:extLst>
        </c:ser>
        <c:dLbls>
          <c:showLegendKey val="0"/>
          <c:showVal val="0"/>
          <c:showCatName val="0"/>
          <c:showSerName val="0"/>
          <c:showPercent val="0"/>
          <c:showBubbleSize val="0"/>
        </c:dLbls>
        <c:axId val="1635472367"/>
        <c:axId val="1747732751"/>
      </c:scatterChart>
      <c:valAx>
        <c:axId val="16354723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7732751"/>
        <c:crosses val="autoZero"/>
        <c:crossBetween val="midCat"/>
      </c:valAx>
      <c:valAx>
        <c:axId val="174773275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547236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C03D4-E065-FA49-BB28-FBE0F1384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25</Pages>
  <Words>5475</Words>
  <Characters>31209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Julissa Limon</dc:creator>
  <cp:keywords/>
  <dc:description/>
  <cp:lastModifiedBy>Julissa Limon</cp:lastModifiedBy>
  <cp:revision>42</cp:revision>
  <dcterms:created xsi:type="dcterms:W3CDTF">2022-08-09T16:32:00Z</dcterms:created>
  <dcterms:modified xsi:type="dcterms:W3CDTF">2022-08-13T01:39:00Z</dcterms:modified>
</cp:coreProperties>
</file>