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225F" w14:textId="1669C231" w:rsidR="003827DC" w:rsidRPr="003827DC" w:rsidRDefault="003827DC" w:rsidP="00760BB3">
      <w:pPr>
        <w:pStyle w:val="Ttulo1"/>
        <w:rPr>
          <w:rFonts w:asciiTheme="minorHAnsi" w:hAnsiTheme="minorHAnsi" w:cs="Arial"/>
          <w:b/>
          <w:color w:val="000000" w:themeColor="text1"/>
          <w:sz w:val="28"/>
          <w:szCs w:val="28"/>
        </w:rPr>
      </w:pPr>
      <w:bookmarkStart w:id="0" w:name="_Toc518516790"/>
      <w:r w:rsidRPr="003827DC">
        <w:rPr>
          <w:rFonts w:asciiTheme="minorHAnsi" w:hAnsiTheme="minorHAnsi" w:cs="Arial"/>
          <w:b/>
          <w:color w:val="000000" w:themeColor="text1"/>
          <w:sz w:val="28"/>
          <w:szCs w:val="28"/>
        </w:rPr>
        <w:t>¿QUE ES EL RANKING PAR?</w:t>
      </w:r>
    </w:p>
    <w:p w14:paraId="4E946A4A" w14:textId="7B157633" w:rsidR="0057663D" w:rsidRPr="003827DC" w:rsidRDefault="0057663D" w:rsidP="00760BB3">
      <w:pPr>
        <w:pStyle w:val="Ttulo1"/>
        <w:rPr>
          <w:rFonts w:asciiTheme="minorHAnsi" w:hAnsiTheme="minorHAnsi" w:cs="Arial"/>
          <w:b/>
          <w:color w:val="000000" w:themeColor="text1"/>
          <w:sz w:val="22"/>
          <w:szCs w:val="22"/>
          <w:u w:val="single"/>
        </w:rPr>
      </w:pPr>
      <w:r w:rsidRPr="002B5599">
        <w:rPr>
          <w:rFonts w:asciiTheme="minorHAnsi" w:hAnsiTheme="minorHAnsi" w:cs="Arial"/>
          <w:b/>
          <w:color w:val="000000" w:themeColor="text1"/>
          <w:sz w:val="22"/>
          <w:szCs w:val="22"/>
          <w:highlight w:val="cyan"/>
          <w:u w:val="single"/>
        </w:rPr>
        <w:t>AGRADECIMIENTOS</w:t>
      </w:r>
      <w:bookmarkEnd w:id="0"/>
      <w:r w:rsidR="003827DC">
        <w:rPr>
          <w:rFonts w:asciiTheme="minorHAnsi" w:hAnsiTheme="minorHAnsi" w:cs="Arial"/>
          <w:b/>
          <w:color w:val="000000" w:themeColor="text1"/>
          <w:sz w:val="22"/>
          <w:szCs w:val="22"/>
          <w:u w:val="single"/>
        </w:rPr>
        <w:br/>
      </w:r>
    </w:p>
    <w:p w14:paraId="6A9C3B4C" w14:textId="315E38A4" w:rsidR="00B92108" w:rsidRPr="003827DC" w:rsidRDefault="00B92108" w:rsidP="00324ECD">
      <w:pPr>
        <w:spacing w:line="240" w:lineRule="auto"/>
        <w:jc w:val="both"/>
        <w:rPr>
          <w:color w:val="000000" w:themeColor="text1"/>
        </w:rPr>
      </w:pPr>
      <w:r w:rsidRPr="003827DC">
        <w:rPr>
          <w:color w:val="000000" w:themeColor="text1"/>
        </w:rPr>
        <w:t xml:space="preserve">PAR es posible año a año gracias al esfuerzo y apoyo que </w:t>
      </w:r>
      <w:proofErr w:type="spellStart"/>
      <w:r w:rsidRPr="003827DC">
        <w:rPr>
          <w:color w:val="000000" w:themeColor="text1"/>
        </w:rPr>
        <w:t>Aequales</w:t>
      </w:r>
      <w:proofErr w:type="spellEnd"/>
      <w:r w:rsidRPr="003827DC">
        <w:rPr>
          <w:color w:val="000000" w:themeColor="text1"/>
        </w:rPr>
        <w:t xml:space="preserve"> ha encontrado en el Colegio de Estudios Superiores en Administración – CESA, en cabeza de Henry Bradford y la Secretaría Distrital de la Mujer, en cabeza de Ángela </w:t>
      </w:r>
      <w:proofErr w:type="spellStart"/>
      <w:r w:rsidRPr="003827DC">
        <w:rPr>
          <w:color w:val="000000" w:themeColor="text1"/>
        </w:rPr>
        <w:t>Anzola</w:t>
      </w:r>
      <w:proofErr w:type="spellEnd"/>
      <w:r w:rsidRPr="003827DC">
        <w:rPr>
          <w:color w:val="000000" w:themeColor="text1"/>
        </w:rPr>
        <w:t xml:space="preserve"> de Toro. La dedicación y trabajo duro de las organizaciones aliadas hoy permite posicionar al Ranking PAR como un referente de la equidad de género corporativa en Colombia. </w:t>
      </w:r>
    </w:p>
    <w:p w14:paraId="069BBBBD" w14:textId="60943850" w:rsidR="00B92108" w:rsidRPr="003827DC" w:rsidRDefault="00B92108" w:rsidP="00324ECD">
      <w:pPr>
        <w:spacing w:line="240" w:lineRule="auto"/>
        <w:jc w:val="both"/>
        <w:rPr>
          <w:color w:val="000000" w:themeColor="text1"/>
        </w:rPr>
      </w:pPr>
      <w:r w:rsidRPr="003827DC">
        <w:rPr>
          <w:color w:val="000000" w:themeColor="text1"/>
        </w:rPr>
        <w:t>Este ejercicio de corresponsabilidad del sector público y privado propende por reconocer las buenas prácticas para la equidad de género en las organizaciones, el intercambio de conocimientos y con ello, aportar a la garantía del derecho de las mujeres al trabajo en condiciones de igualdad y dignidad. La dinámica de la medición, su crecimiento</w:t>
      </w:r>
      <w:r w:rsidR="001804D1" w:rsidRPr="003827DC">
        <w:rPr>
          <w:color w:val="000000" w:themeColor="text1"/>
        </w:rPr>
        <w:t>,</w:t>
      </w:r>
      <w:r w:rsidRPr="003827DC">
        <w:rPr>
          <w:color w:val="000000" w:themeColor="text1"/>
        </w:rPr>
        <w:t xml:space="preserve"> y su vocación regional y global nos ha llevado a encontrarnos con todo tipo de organizaciones que con sus aportes han hecho del Ranking el proyecto exitoso que es hoy. </w:t>
      </w:r>
    </w:p>
    <w:p w14:paraId="1F7DFA88" w14:textId="75BEF613" w:rsidR="00B92108" w:rsidRPr="003827DC" w:rsidRDefault="00B92108" w:rsidP="00324ECD">
      <w:pPr>
        <w:spacing w:line="240" w:lineRule="auto"/>
        <w:jc w:val="both"/>
        <w:rPr>
          <w:color w:val="000000" w:themeColor="text1"/>
        </w:rPr>
      </w:pPr>
      <w:r w:rsidRPr="003827DC">
        <w:rPr>
          <w:color w:val="000000" w:themeColor="text1"/>
        </w:rPr>
        <w:t xml:space="preserve">Nuestros más sinceros agradecimientos al Departamento Administrativo de la Función Pública, el Departamento Administrativo del Servicio Civil Distrital – DASCD, la Cámara de Comercio de Bogotá, FTI </w:t>
      </w:r>
      <w:proofErr w:type="spellStart"/>
      <w:r w:rsidRPr="003827DC">
        <w:rPr>
          <w:color w:val="000000" w:themeColor="text1"/>
        </w:rPr>
        <w:t>Consulting</w:t>
      </w:r>
      <w:proofErr w:type="spellEnd"/>
      <w:r w:rsidRPr="003827DC">
        <w:rPr>
          <w:color w:val="000000" w:themeColor="text1"/>
        </w:rPr>
        <w:t xml:space="preserve">, la Cámara de Comercio Hispano Colombiana, </w:t>
      </w:r>
      <w:proofErr w:type="spellStart"/>
      <w:r w:rsidRPr="003827DC">
        <w:rPr>
          <w:color w:val="000000" w:themeColor="text1"/>
        </w:rPr>
        <w:t>Inspyra</w:t>
      </w:r>
      <w:proofErr w:type="spellEnd"/>
      <w:r w:rsidRPr="003827DC">
        <w:rPr>
          <w:color w:val="000000" w:themeColor="text1"/>
        </w:rPr>
        <w:t xml:space="preserve">, </w:t>
      </w:r>
      <w:proofErr w:type="spellStart"/>
      <w:r w:rsidRPr="003827DC">
        <w:rPr>
          <w:color w:val="000000" w:themeColor="text1"/>
        </w:rPr>
        <w:t>Matteria</w:t>
      </w:r>
      <w:proofErr w:type="spellEnd"/>
      <w:r w:rsidRPr="003827DC">
        <w:rPr>
          <w:color w:val="000000" w:themeColor="text1"/>
        </w:rPr>
        <w:t xml:space="preserve">, </w:t>
      </w:r>
      <w:proofErr w:type="spellStart"/>
      <w:r w:rsidRPr="003827DC">
        <w:rPr>
          <w:color w:val="000000" w:themeColor="text1"/>
        </w:rPr>
        <w:t>Andi</w:t>
      </w:r>
      <w:proofErr w:type="spellEnd"/>
      <w:r w:rsidRPr="003827DC">
        <w:rPr>
          <w:color w:val="000000" w:themeColor="text1"/>
        </w:rPr>
        <w:t xml:space="preserve"> del Futuro, la Asociación Colombiana de Ingenieros de Petróleo</w:t>
      </w:r>
      <w:r w:rsidR="007A74CB" w:rsidRPr="003827DC">
        <w:rPr>
          <w:color w:val="000000" w:themeColor="text1"/>
        </w:rPr>
        <w:t xml:space="preserve">s – ACIPET, PROCOLOMBIA y ACOPI por ayudarnos a </w:t>
      </w:r>
      <w:r w:rsidR="00481DAF" w:rsidRPr="003827DC">
        <w:rPr>
          <w:color w:val="000000" w:themeColor="text1"/>
        </w:rPr>
        <w:t xml:space="preserve">ampliar el alcance del proyecto. </w:t>
      </w:r>
    </w:p>
    <w:p w14:paraId="2ED15047" w14:textId="0164873B" w:rsidR="00D348DC" w:rsidRPr="003827DC" w:rsidRDefault="00D348DC" w:rsidP="00D348DC">
      <w:pPr>
        <w:pStyle w:val="Ttulo1"/>
        <w:spacing w:line="276" w:lineRule="auto"/>
        <w:rPr>
          <w:rFonts w:asciiTheme="minorHAnsi" w:hAnsiTheme="minorHAnsi" w:cs="Arial"/>
          <w:b/>
          <w:color w:val="000000" w:themeColor="text1"/>
          <w:sz w:val="22"/>
          <w:szCs w:val="22"/>
          <w:u w:val="single"/>
        </w:rPr>
      </w:pPr>
      <w:bookmarkStart w:id="1" w:name="_Toc518516791"/>
      <w:r w:rsidRPr="002B5599">
        <w:rPr>
          <w:rFonts w:asciiTheme="minorHAnsi" w:hAnsiTheme="minorHAnsi" w:cs="Arial"/>
          <w:b/>
          <w:color w:val="000000" w:themeColor="text1"/>
          <w:sz w:val="22"/>
          <w:szCs w:val="22"/>
          <w:highlight w:val="cyan"/>
          <w:u w:val="single"/>
        </w:rPr>
        <w:t>INTRODUCCIÓN</w:t>
      </w:r>
      <w:bookmarkEnd w:id="1"/>
      <w:r w:rsidR="002912F0" w:rsidRPr="002B5599">
        <w:rPr>
          <w:rFonts w:asciiTheme="minorHAnsi" w:hAnsiTheme="minorHAnsi" w:cs="Arial"/>
          <w:b/>
          <w:color w:val="000000" w:themeColor="text1"/>
          <w:sz w:val="22"/>
          <w:szCs w:val="22"/>
          <w:highlight w:val="cyan"/>
          <w:u w:val="single"/>
        </w:rPr>
        <w:t>: EL CASO DE NEGOCIO DE LA EQUIDAD DE GÉNERO</w:t>
      </w:r>
      <w:r w:rsidR="003827DC" w:rsidRPr="003827DC">
        <w:rPr>
          <w:rFonts w:asciiTheme="minorHAnsi" w:hAnsiTheme="minorHAnsi" w:cs="Arial"/>
          <w:b/>
          <w:color w:val="000000" w:themeColor="text1"/>
          <w:sz w:val="22"/>
          <w:szCs w:val="22"/>
          <w:u w:val="single"/>
        </w:rPr>
        <w:br/>
      </w:r>
    </w:p>
    <w:p w14:paraId="38404F26" w14:textId="340E465D" w:rsidR="00B92108" w:rsidRDefault="00B92108" w:rsidP="00B92108">
      <w:pPr>
        <w:autoSpaceDE w:val="0"/>
        <w:autoSpaceDN w:val="0"/>
        <w:adjustRightInd w:val="0"/>
        <w:spacing w:after="0" w:line="240" w:lineRule="auto"/>
        <w:jc w:val="both"/>
        <w:rPr>
          <w:color w:val="000000" w:themeColor="text1"/>
        </w:rPr>
      </w:pPr>
      <w:r w:rsidRPr="003827DC">
        <w:rPr>
          <w:rFonts w:cs="Arial"/>
          <w:color w:val="000000" w:themeColor="text1"/>
        </w:rPr>
        <w:t>En Colombia la ine</w:t>
      </w:r>
      <w:r w:rsidR="00DB6324" w:rsidRPr="003827DC">
        <w:rPr>
          <w:rFonts w:cs="Arial"/>
          <w:color w:val="000000" w:themeColor="text1"/>
        </w:rPr>
        <w:t>quidad es una realidad presente</w:t>
      </w:r>
      <w:r w:rsidR="004A4BAB" w:rsidRPr="003827DC">
        <w:rPr>
          <w:rFonts w:cs="Arial"/>
          <w:color w:val="000000" w:themeColor="text1"/>
        </w:rPr>
        <w:t xml:space="preserve"> en la sociedad y </w:t>
      </w:r>
      <w:r w:rsidRPr="003827DC">
        <w:rPr>
          <w:rFonts w:cs="Arial"/>
          <w:color w:val="000000" w:themeColor="text1"/>
        </w:rPr>
        <w:t>al interior de las organizaciones. En promedio, en el sector privado tan solo el 31,6% de las posiciones de liderazgo</w:t>
      </w:r>
      <w:r w:rsidR="006D39FC" w:rsidRPr="003827DC">
        <w:rPr>
          <w:rFonts w:cs="Arial"/>
          <w:color w:val="000000" w:themeColor="text1"/>
        </w:rPr>
        <w:t xml:space="preserve"> (</w:t>
      </w:r>
      <w:r w:rsidR="0041701D" w:rsidRPr="003827DC">
        <w:rPr>
          <w:rFonts w:cs="Arial"/>
          <w:color w:val="000000" w:themeColor="text1"/>
        </w:rPr>
        <w:t>junta directiva, primer nivel y segundo nivel)</w:t>
      </w:r>
      <w:r w:rsidRPr="003827DC">
        <w:rPr>
          <w:rFonts w:cs="Arial"/>
          <w:color w:val="000000" w:themeColor="text1"/>
        </w:rPr>
        <w:t xml:space="preserve"> están siendo ocupadas por mujeres, y la brecha salarial a favor de hombres en el nivel de Gerencias de áreas y equivalentes asciende a 32,47%. A pesar del aparente interés por alcanzar la equidad de género, </w:t>
      </w:r>
      <w:r w:rsidRPr="003827DC">
        <w:rPr>
          <w:color w:val="000000" w:themeColor="text1"/>
        </w:rPr>
        <w:t xml:space="preserve">esta no hace parte de la estrategia de negocio de la gran mayoría de organizaciones, entre otras cosas, porque aún es extensa la desinformación sobre las ventajas competitivas y beneficios que esta trae a la organización. Ahora conocemos que la equidad de género es también un caso de negocio, haciendo a las organizaciones más innovadoras y rentables. </w:t>
      </w:r>
    </w:p>
    <w:p w14:paraId="6FCB63A7" w14:textId="77777777" w:rsidR="002B5599" w:rsidRDefault="002B5599" w:rsidP="00B92108">
      <w:pPr>
        <w:autoSpaceDE w:val="0"/>
        <w:autoSpaceDN w:val="0"/>
        <w:adjustRightInd w:val="0"/>
        <w:spacing w:after="0" w:line="240" w:lineRule="auto"/>
        <w:jc w:val="both"/>
        <w:rPr>
          <w:color w:val="000000" w:themeColor="text1"/>
        </w:rPr>
      </w:pPr>
    </w:p>
    <w:p w14:paraId="12D5E5B3" w14:textId="3786209B" w:rsidR="00B92108" w:rsidRPr="002B5599" w:rsidRDefault="002B5599" w:rsidP="002B5599">
      <w:pPr>
        <w:autoSpaceDE w:val="0"/>
        <w:autoSpaceDN w:val="0"/>
        <w:adjustRightInd w:val="0"/>
        <w:spacing w:after="0" w:line="240" w:lineRule="auto"/>
        <w:jc w:val="both"/>
        <w:rPr>
          <w:i/>
          <w:color w:val="FF0000"/>
        </w:rPr>
      </w:pPr>
      <w:r w:rsidRPr="002B5599">
        <w:rPr>
          <w:i/>
          <w:color w:val="FF0000"/>
        </w:rPr>
        <w:t>Acá van los iconos…</w:t>
      </w:r>
    </w:p>
    <w:p w14:paraId="11D872D6" w14:textId="77777777" w:rsidR="002B5599" w:rsidRPr="003827DC" w:rsidRDefault="002B5599" w:rsidP="002B5599">
      <w:pPr>
        <w:autoSpaceDE w:val="0"/>
        <w:autoSpaceDN w:val="0"/>
        <w:adjustRightInd w:val="0"/>
        <w:spacing w:after="0" w:line="240" w:lineRule="auto"/>
        <w:jc w:val="both"/>
        <w:rPr>
          <w:rFonts w:cs="Helvetica"/>
          <w:color w:val="000000" w:themeColor="text1"/>
          <w:shd w:val="clear" w:color="auto" w:fill="FFFFFF"/>
        </w:rPr>
      </w:pPr>
    </w:p>
    <w:p w14:paraId="66479730" w14:textId="07691F68" w:rsidR="00B92108" w:rsidRPr="003827DC" w:rsidRDefault="00B92108" w:rsidP="00B92108">
      <w:pPr>
        <w:autoSpaceDE w:val="0"/>
        <w:autoSpaceDN w:val="0"/>
        <w:adjustRightInd w:val="0"/>
        <w:spacing w:after="0" w:line="240" w:lineRule="auto"/>
        <w:jc w:val="both"/>
        <w:rPr>
          <w:rFonts w:cs="Arial"/>
          <w:color w:val="000000" w:themeColor="text1"/>
        </w:rPr>
      </w:pPr>
      <w:r w:rsidRPr="003827DC">
        <w:rPr>
          <w:rFonts w:cs="Arial"/>
          <w:color w:val="000000" w:themeColor="text1"/>
        </w:rPr>
        <w:t xml:space="preserve">Teniendo lo anterior en cuenta, </w:t>
      </w:r>
      <w:proofErr w:type="spellStart"/>
      <w:r w:rsidRPr="003827DC">
        <w:rPr>
          <w:rFonts w:cs="Arial"/>
          <w:color w:val="000000" w:themeColor="text1"/>
        </w:rPr>
        <w:t>Aequales</w:t>
      </w:r>
      <w:proofErr w:type="spellEnd"/>
      <w:r w:rsidRPr="003827DC">
        <w:rPr>
          <w:rFonts w:cs="Arial"/>
          <w:color w:val="000000" w:themeColor="text1"/>
        </w:rPr>
        <w:t xml:space="preserve"> en alianza con el Colegio de Estudios Superiores de Administración – CESA, y la Secretaría Distrital de la Mujer de Bogotá, en su compromiso por propender por la equidad de género, realizó la </w:t>
      </w:r>
      <w:r w:rsidR="00DE0A5D" w:rsidRPr="003827DC">
        <w:rPr>
          <w:rFonts w:cs="Arial"/>
          <w:color w:val="000000" w:themeColor="text1"/>
        </w:rPr>
        <w:t>cuarta</w:t>
      </w:r>
      <w:r w:rsidRPr="003827DC">
        <w:rPr>
          <w:rFonts w:cs="Arial"/>
          <w:color w:val="000000" w:themeColor="text1"/>
        </w:rPr>
        <w:t xml:space="preserve"> versión de PAR: Ranking de Equidad de Género en las Organizaciones. El ranking es una herramienta gratuita que permite generar líneas base en términos de equidad de género, mediante una medición de las organizaciones públicas y privadas de Perú y Colombia. Esta medición evalúa el desempeño de las organizaciones en cuanto a equidad, premia a las organizaciones que ya promueven prácticas equitativas y sirve de acompañamiento para aquellas interesadas en iniciar su camino a la equidad. Dentro de los elementos más significativos que se evalúan se encuentran: la brecha de género en la estructura organizacional, la brecha salarial y las mejores prácticas organizacionales existentes.</w:t>
      </w:r>
    </w:p>
    <w:p w14:paraId="637FF569" w14:textId="77777777" w:rsidR="00B92108" w:rsidRPr="003827DC" w:rsidRDefault="00B92108" w:rsidP="00B92108">
      <w:pPr>
        <w:autoSpaceDE w:val="0"/>
        <w:autoSpaceDN w:val="0"/>
        <w:adjustRightInd w:val="0"/>
        <w:spacing w:after="0" w:line="240" w:lineRule="auto"/>
        <w:jc w:val="both"/>
        <w:rPr>
          <w:rFonts w:cs="Arial"/>
          <w:color w:val="000000" w:themeColor="text1"/>
        </w:rPr>
      </w:pPr>
    </w:p>
    <w:p w14:paraId="3EF6A957" w14:textId="77777777" w:rsidR="00B92108" w:rsidRPr="003827DC" w:rsidRDefault="00B92108" w:rsidP="00B92108">
      <w:pPr>
        <w:spacing w:line="276" w:lineRule="auto"/>
        <w:jc w:val="both"/>
        <w:rPr>
          <w:rFonts w:cs="Arial"/>
          <w:color w:val="000000" w:themeColor="text1"/>
        </w:rPr>
      </w:pPr>
      <w:r w:rsidRPr="003827DC">
        <w:rPr>
          <w:rFonts w:cs="Arial"/>
          <w:color w:val="000000" w:themeColor="text1"/>
        </w:rPr>
        <w:t>Mediante la realización de PAR, se busca cumplir con los siguientes objetivos:</w:t>
      </w:r>
    </w:p>
    <w:p w14:paraId="17CB5389" w14:textId="77777777" w:rsidR="00B92108" w:rsidRPr="003827DC" w:rsidRDefault="00B92108" w:rsidP="00B92108">
      <w:pPr>
        <w:pStyle w:val="Prrafodelista"/>
        <w:numPr>
          <w:ilvl w:val="0"/>
          <w:numId w:val="1"/>
        </w:numPr>
        <w:spacing w:line="276" w:lineRule="auto"/>
        <w:jc w:val="both"/>
        <w:rPr>
          <w:rFonts w:cs="Arial"/>
          <w:color w:val="000000" w:themeColor="text1"/>
        </w:rPr>
      </w:pPr>
      <w:r w:rsidRPr="003827DC">
        <w:rPr>
          <w:rFonts w:cs="Arial"/>
          <w:color w:val="000000" w:themeColor="text1"/>
        </w:rPr>
        <w:t>Promover las mejores prácticas organizacionales en equidad de género.</w:t>
      </w:r>
    </w:p>
    <w:p w14:paraId="6E507BF1" w14:textId="77777777" w:rsidR="00B92108" w:rsidRPr="003827DC" w:rsidRDefault="00B92108" w:rsidP="00B92108">
      <w:pPr>
        <w:pStyle w:val="Prrafodelista"/>
        <w:numPr>
          <w:ilvl w:val="0"/>
          <w:numId w:val="1"/>
        </w:numPr>
        <w:spacing w:line="276" w:lineRule="auto"/>
        <w:jc w:val="both"/>
        <w:rPr>
          <w:rFonts w:cs="Arial"/>
          <w:color w:val="000000" w:themeColor="text1"/>
        </w:rPr>
      </w:pPr>
      <w:r w:rsidRPr="003827DC">
        <w:rPr>
          <w:rFonts w:cs="Arial"/>
          <w:color w:val="000000" w:themeColor="text1"/>
        </w:rPr>
        <w:lastRenderedPageBreak/>
        <w:t>Reconocer las barreras que enfrentan las mujeres para ocupar posiciones de liderazgo.</w:t>
      </w:r>
    </w:p>
    <w:p w14:paraId="20AFD034" w14:textId="77777777" w:rsidR="00B92108" w:rsidRPr="003827DC" w:rsidRDefault="00B92108" w:rsidP="00B92108">
      <w:pPr>
        <w:pStyle w:val="Prrafodelista"/>
        <w:numPr>
          <w:ilvl w:val="0"/>
          <w:numId w:val="1"/>
        </w:numPr>
        <w:spacing w:line="276" w:lineRule="auto"/>
        <w:jc w:val="both"/>
        <w:rPr>
          <w:rFonts w:cs="Arial"/>
          <w:color w:val="000000" w:themeColor="text1"/>
        </w:rPr>
      </w:pPr>
      <w:r w:rsidRPr="003827DC">
        <w:rPr>
          <w:rFonts w:cs="Arial"/>
          <w:color w:val="000000" w:themeColor="text1"/>
        </w:rPr>
        <w:t>Generar consciencia sobre las barreras y oportunidades laborales en Colombia y Perú frente a la equidad de género.</w:t>
      </w:r>
    </w:p>
    <w:p w14:paraId="13D313EA" w14:textId="77777777" w:rsidR="00B92108" w:rsidRPr="003827DC" w:rsidRDefault="00B92108" w:rsidP="00B92108">
      <w:pPr>
        <w:pStyle w:val="Prrafodelista"/>
        <w:numPr>
          <w:ilvl w:val="0"/>
          <w:numId w:val="1"/>
        </w:numPr>
        <w:spacing w:line="276" w:lineRule="auto"/>
        <w:jc w:val="both"/>
        <w:rPr>
          <w:rFonts w:cs="Arial"/>
          <w:color w:val="000000" w:themeColor="text1"/>
        </w:rPr>
      </w:pPr>
      <w:r w:rsidRPr="003827DC">
        <w:rPr>
          <w:rFonts w:cs="Arial"/>
          <w:color w:val="000000" w:themeColor="text1"/>
        </w:rPr>
        <w:t>Entregar herramientas que permitan desarrollar estrategias encaminadas al equilibrio laboral entre mujeres y hombres.</w:t>
      </w:r>
    </w:p>
    <w:p w14:paraId="23AFB441" w14:textId="66E686DC" w:rsidR="00B92108" w:rsidRPr="003827DC" w:rsidRDefault="00B92108" w:rsidP="00B92108">
      <w:pPr>
        <w:spacing w:line="276" w:lineRule="auto"/>
        <w:jc w:val="both"/>
        <w:rPr>
          <w:rFonts w:cs="Arial"/>
          <w:color w:val="000000" w:themeColor="text1"/>
        </w:rPr>
      </w:pPr>
      <w:r w:rsidRPr="003827DC">
        <w:rPr>
          <w:rFonts w:cs="Arial"/>
          <w:color w:val="000000" w:themeColor="text1"/>
        </w:rPr>
        <w:t>La equidad de género corporativa se ha venido fundamentando en la forma cómo esta impacta de manera positiva los indicadores de rentabilidad de las organizaciones, mucho se ha dicho sobre los avances y mejoras que tiene la equidad de género sobre las organizaciones, sobre las personas que se emplean en ellas y sobre sus familias. Garantizar el ejercicio de las mujeres al trabajo y</w:t>
      </w:r>
      <w:r w:rsidR="001804D1" w:rsidRPr="003827DC">
        <w:rPr>
          <w:rFonts w:cs="Arial"/>
          <w:color w:val="000000" w:themeColor="text1"/>
        </w:rPr>
        <w:t>,</w:t>
      </w:r>
      <w:r w:rsidRPr="003827DC">
        <w:rPr>
          <w:rFonts w:cs="Arial"/>
          <w:color w:val="000000" w:themeColor="text1"/>
        </w:rPr>
        <w:t xml:space="preserve"> más aún, garantizar que las mujeres lleguen a posiciones de liderazgo es una tarea que se inicia una vez se reconocen todas aquellas barreras que existen al interior de las organizaciones y de nuestra sociedad pero</w:t>
      </w:r>
      <w:r w:rsidR="00CC2364" w:rsidRPr="003827DC">
        <w:rPr>
          <w:rFonts w:cs="Arial"/>
          <w:color w:val="000000" w:themeColor="text1"/>
        </w:rPr>
        <w:t>,</w:t>
      </w:r>
      <w:r w:rsidRPr="003827DC">
        <w:rPr>
          <w:rFonts w:cs="Arial"/>
          <w:color w:val="000000" w:themeColor="text1"/>
        </w:rPr>
        <w:t xml:space="preserve"> aunque es un ejercicio necesario, no es suficiente. Más allá de reconocer</w:t>
      </w:r>
      <w:r w:rsidR="00CC2364" w:rsidRPr="003827DC">
        <w:rPr>
          <w:rFonts w:cs="Arial"/>
          <w:color w:val="000000" w:themeColor="text1"/>
        </w:rPr>
        <w:t>,</w:t>
      </w:r>
      <w:r w:rsidRPr="003827DC">
        <w:rPr>
          <w:rFonts w:cs="Arial"/>
          <w:color w:val="000000" w:themeColor="text1"/>
        </w:rPr>
        <w:t xml:space="preserve"> hay que medir, y se mide para identificar no solo el tramo recorrido, sino aquel que nos falta por recorrer. </w:t>
      </w:r>
    </w:p>
    <w:p w14:paraId="26A2D697" w14:textId="41D59E91" w:rsidR="00B92108" w:rsidRPr="003827DC" w:rsidRDefault="00B92108" w:rsidP="00B92108">
      <w:pPr>
        <w:spacing w:line="276" w:lineRule="auto"/>
        <w:jc w:val="both"/>
        <w:rPr>
          <w:rFonts w:cs="Arial"/>
          <w:color w:val="000000" w:themeColor="text1"/>
        </w:rPr>
      </w:pPr>
      <w:r w:rsidRPr="003827DC">
        <w:rPr>
          <w:rFonts w:cs="Arial"/>
          <w:color w:val="000000" w:themeColor="text1"/>
        </w:rPr>
        <w:t>Como cualquier camino, el Camino a la Equidad se recorre con pasos firmes hacia adelante, con la sabiduría de lo aprendido en los pasos precedentes. Cada vez que una organización inicia su Camino a la Equidad, lo inician con ella cientos o miles de mujeres. Si la equidad de género corporativa avanza, avanzan las mujeres y avanza el país. Cada año hacemos un alto en el Camino, evaluamos el avance de las organizaciones y reconocemos aquellas que se encuentran más adelante.</w:t>
      </w:r>
    </w:p>
    <w:p w14:paraId="4EB07AAB" w14:textId="247C7EAD" w:rsidR="00B92108" w:rsidRPr="003827DC" w:rsidRDefault="00B92108" w:rsidP="00B92108">
      <w:pPr>
        <w:jc w:val="both"/>
        <w:rPr>
          <w:color w:val="000000" w:themeColor="text1"/>
        </w:rPr>
      </w:pPr>
      <w:r w:rsidRPr="003827DC">
        <w:rPr>
          <w:rFonts w:cs="Arial"/>
          <w:color w:val="000000" w:themeColor="text1"/>
        </w:rPr>
        <w:t xml:space="preserve">Finalmente, queremos reconocer </w:t>
      </w:r>
      <w:r w:rsidR="00CC2364" w:rsidRPr="003827DC">
        <w:rPr>
          <w:rFonts w:cs="Arial"/>
          <w:color w:val="000000" w:themeColor="text1"/>
        </w:rPr>
        <w:t xml:space="preserve">la disciplina y </w:t>
      </w:r>
      <w:r w:rsidRPr="003827DC">
        <w:rPr>
          <w:rFonts w:cs="Arial"/>
          <w:color w:val="000000" w:themeColor="text1"/>
        </w:rPr>
        <w:t xml:space="preserve">el esfuerzo </w:t>
      </w:r>
      <w:r w:rsidR="00CC2364" w:rsidRPr="003827DC">
        <w:rPr>
          <w:rFonts w:cs="Arial"/>
          <w:color w:val="000000" w:themeColor="text1"/>
        </w:rPr>
        <w:t xml:space="preserve">que han tenido </w:t>
      </w:r>
      <w:proofErr w:type="gramStart"/>
      <w:r w:rsidR="00CC2364" w:rsidRPr="003827DC">
        <w:rPr>
          <w:rFonts w:cs="Arial"/>
          <w:color w:val="000000" w:themeColor="text1"/>
        </w:rPr>
        <w:t xml:space="preserve">las </w:t>
      </w:r>
      <w:r w:rsidRPr="003827DC">
        <w:rPr>
          <w:rFonts w:cs="Arial"/>
          <w:color w:val="000000" w:themeColor="text1"/>
        </w:rPr>
        <w:t xml:space="preserve"> organizaciones</w:t>
      </w:r>
      <w:proofErr w:type="gramEnd"/>
      <w:r w:rsidRPr="003827DC">
        <w:rPr>
          <w:rFonts w:cs="Arial"/>
          <w:color w:val="000000" w:themeColor="text1"/>
        </w:rPr>
        <w:t xml:space="preserve"> que han hecho parte del Ranking PAR desde su primera medición en el </w:t>
      </w:r>
      <w:r w:rsidR="00CC2364" w:rsidRPr="003827DC">
        <w:rPr>
          <w:rFonts w:cs="Arial"/>
          <w:color w:val="000000" w:themeColor="text1"/>
        </w:rPr>
        <w:t xml:space="preserve">año </w:t>
      </w:r>
      <w:r w:rsidRPr="003827DC">
        <w:rPr>
          <w:rFonts w:cs="Arial"/>
          <w:color w:val="000000" w:themeColor="text1"/>
        </w:rPr>
        <w:t>2015</w:t>
      </w:r>
      <w:r w:rsidR="00CC2364" w:rsidRPr="003827DC">
        <w:rPr>
          <w:rFonts w:cs="Arial"/>
          <w:color w:val="000000" w:themeColor="text1"/>
        </w:rPr>
        <w:t xml:space="preserve"> hasta esta cuarta versión.</w:t>
      </w:r>
      <w:r w:rsidRPr="003827DC">
        <w:rPr>
          <w:rFonts w:cs="Arial"/>
          <w:color w:val="000000" w:themeColor="text1"/>
        </w:rPr>
        <w:t xml:space="preserve"> </w:t>
      </w:r>
      <w:r w:rsidRPr="003827DC">
        <w:rPr>
          <w:rFonts w:cs="Arial"/>
          <w:b/>
          <w:color w:val="000000" w:themeColor="text1"/>
        </w:rPr>
        <w:t xml:space="preserve">Gracias 3M, Johnson &amp; Johnson, </w:t>
      </w:r>
      <w:proofErr w:type="spellStart"/>
      <w:r w:rsidRPr="003827DC">
        <w:rPr>
          <w:rFonts w:cs="Arial"/>
          <w:b/>
          <w:color w:val="000000" w:themeColor="text1"/>
        </w:rPr>
        <w:t>Citibank</w:t>
      </w:r>
      <w:proofErr w:type="spellEnd"/>
      <w:r w:rsidRPr="003827DC">
        <w:rPr>
          <w:rFonts w:cs="Arial"/>
          <w:b/>
          <w:color w:val="000000" w:themeColor="text1"/>
        </w:rPr>
        <w:t xml:space="preserve">, Old Mutual, Grupo </w:t>
      </w:r>
      <w:proofErr w:type="spellStart"/>
      <w:r w:rsidRPr="003827DC">
        <w:rPr>
          <w:rFonts w:cs="Arial"/>
          <w:b/>
          <w:color w:val="000000" w:themeColor="text1"/>
        </w:rPr>
        <w:t>Enel</w:t>
      </w:r>
      <w:proofErr w:type="spellEnd"/>
      <w:r w:rsidRPr="003827DC">
        <w:rPr>
          <w:rFonts w:cs="Arial"/>
          <w:b/>
          <w:color w:val="000000" w:themeColor="text1"/>
        </w:rPr>
        <w:t xml:space="preserve"> y </w:t>
      </w:r>
      <w:proofErr w:type="spellStart"/>
      <w:r w:rsidRPr="003827DC">
        <w:rPr>
          <w:rFonts w:cs="Arial"/>
          <w:b/>
          <w:color w:val="000000" w:themeColor="text1"/>
        </w:rPr>
        <w:t>Celistics</w:t>
      </w:r>
      <w:proofErr w:type="spellEnd"/>
      <w:r w:rsidRPr="003827DC">
        <w:rPr>
          <w:rFonts w:cs="Arial"/>
          <w:b/>
          <w:color w:val="000000" w:themeColor="text1"/>
        </w:rPr>
        <w:t>.</w:t>
      </w:r>
    </w:p>
    <w:p w14:paraId="2087D240" w14:textId="731691B6" w:rsidR="00D348DC" w:rsidRPr="003827DC" w:rsidRDefault="00D348DC" w:rsidP="00D348DC">
      <w:pPr>
        <w:pStyle w:val="Ttulo1"/>
        <w:spacing w:line="276" w:lineRule="auto"/>
        <w:rPr>
          <w:rFonts w:asciiTheme="minorHAnsi" w:hAnsiTheme="minorHAnsi" w:cs="Arial"/>
          <w:b/>
          <w:color w:val="000000" w:themeColor="text1"/>
          <w:sz w:val="22"/>
          <w:szCs w:val="22"/>
          <w:u w:val="single"/>
        </w:rPr>
      </w:pPr>
      <w:bookmarkStart w:id="2" w:name="_Toc518516792"/>
      <w:r w:rsidRPr="003827DC">
        <w:rPr>
          <w:rFonts w:asciiTheme="minorHAnsi" w:hAnsiTheme="minorHAnsi" w:cs="Arial"/>
          <w:b/>
          <w:color w:val="000000" w:themeColor="text1"/>
          <w:sz w:val="22"/>
          <w:szCs w:val="22"/>
          <w:u w:val="single"/>
        </w:rPr>
        <w:t xml:space="preserve">IMPORTANCIA DE </w:t>
      </w:r>
      <w:r w:rsidR="00D61A6F" w:rsidRPr="003827DC">
        <w:rPr>
          <w:rFonts w:asciiTheme="minorHAnsi" w:hAnsiTheme="minorHAnsi" w:cs="Arial"/>
          <w:b/>
          <w:color w:val="000000" w:themeColor="text1"/>
          <w:sz w:val="22"/>
          <w:szCs w:val="22"/>
          <w:u w:val="single"/>
        </w:rPr>
        <w:t xml:space="preserve">MEDIR </w:t>
      </w:r>
      <w:r w:rsidRPr="003827DC">
        <w:rPr>
          <w:rFonts w:asciiTheme="minorHAnsi" w:hAnsiTheme="minorHAnsi" w:cs="Arial"/>
          <w:b/>
          <w:color w:val="000000" w:themeColor="text1"/>
          <w:sz w:val="22"/>
          <w:szCs w:val="22"/>
          <w:u w:val="single"/>
        </w:rPr>
        <w:t>LA EQUIDAD DE GÉNERO EN LAS ORGANIZACIONES</w:t>
      </w:r>
      <w:bookmarkEnd w:id="2"/>
    </w:p>
    <w:p w14:paraId="27CD2010" w14:textId="60D5ABD8" w:rsidR="00B92108" w:rsidRPr="003827DC" w:rsidRDefault="00DE27ED" w:rsidP="00B92108">
      <w:pPr>
        <w:jc w:val="both"/>
        <w:rPr>
          <w:color w:val="000000" w:themeColor="text1"/>
        </w:rPr>
      </w:pPr>
      <w:r>
        <w:rPr>
          <w:color w:val="000000" w:themeColor="text1"/>
        </w:rPr>
        <w:br/>
      </w:r>
      <w:r w:rsidR="00B92108" w:rsidRPr="003827DC">
        <w:rPr>
          <w:color w:val="000000" w:themeColor="text1"/>
        </w:rPr>
        <w:t>En los últimos años en Colombia se ha reconocido que existe un problema de inequidad y que las organizaciones juegan un papel importante a la hora de transformar esa cultura inequitativa. Muchas organizaciones han comenzado a adoptar un discurso que avala la equidad de género, pero, al final, lo que define un avance depende de pocas decisiones que toman las empresas cada día: quién es contratado, quién es capacitado y promovido, qué salario es justo.</w:t>
      </w:r>
    </w:p>
    <w:p w14:paraId="0353C07C" w14:textId="77777777" w:rsidR="00B92108" w:rsidRPr="003827DC" w:rsidRDefault="00B92108" w:rsidP="00B92108">
      <w:pPr>
        <w:jc w:val="both"/>
        <w:rPr>
          <w:color w:val="000000" w:themeColor="text1"/>
        </w:rPr>
      </w:pPr>
      <w:r w:rsidRPr="003827DC">
        <w:rPr>
          <w:color w:val="000000" w:themeColor="text1"/>
        </w:rPr>
        <w:t xml:space="preserve">De este modo, la equidad de género se alcanza desde distintos frentes, pero para poder reconocer el avance en cada uno de ellos es necesario medirlos. Lo que no se mide no se hace ni se mejora, esto es cierto tanto para la equidad de género, como para cualquier otra área de negocio. Además, lo que no se mide, tampoco es sostenible en el tiempo. Todos los negocios se transforman con el fin de mantener su competitividad en el mercado. En este sentido, de no haber indicadores que permitan hacer seguimiento continuo a las cuestiones ligadas a equidad, el desarrollo de la empresa puede fácilmente dejarlas de lado y deshacer lo avanzado.   </w:t>
      </w:r>
    </w:p>
    <w:p w14:paraId="3F0C1124" w14:textId="77777777" w:rsidR="00B92108" w:rsidRPr="003827DC" w:rsidRDefault="00B92108" w:rsidP="00B92108">
      <w:pPr>
        <w:jc w:val="both"/>
        <w:rPr>
          <w:color w:val="000000" w:themeColor="text1"/>
        </w:rPr>
      </w:pPr>
      <w:r w:rsidRPr="003827DC">
        <w:rPr>
          <w:color w:val="000000" w:themeColor="text1"/>
        </w:rPr>
        <w:t xml:space="preserve">Ahora bien ¿cómo puede medirse la equidad de género? Las organizaciones miden el éxito </w:t>
      </w:r>
      <w:proofErr w:type="gramStart"/>
      <w:r w:rsidRPr="003827DC">
        <w:rPr>
          <w:color w:val="000000" w:themeColor="text1"/>
        </w:rPr>
        <w:t>de</w:t>
      </w:r>
      <w:proofErr w:type="gramEnd"/>
      <w:r w:rsidRPr="003827DC">
        <w:rPr>
          <w:color w:val="000000" w:themeColor="text1"/>
        </w:rPr>
        <w:t xml:space="preserve"> sus áreas y negocios mediante la rentabilidad, esto es la capacidad de lograr un beneficio económico. Al final, la equidad de género también debe medirse de esta forma, </w:t>
      </w:r>
      <w:r w:rsidRPr="003827DC">
        <w:rPr>
          <w:color w:val="000000" w:themeColor="text1"/>
        </w:rPr>
        <w:lastRenderedPageBreak/>
        <w:t>demostrando que equipos gerenciales más diversos y organizaciones con una cultura equitativa resultan también en un beneficio económico y no solamente en un beneficio social.</w:t>
      </w:r>
    </w:p>
    <w:p w14:paraId="410DC82E" w14:textId="7DECB14A" w:rsidR="00D348DC" w:rsidRPr="00DE27ED" w:rsidRDefault="007643D7" w:rsidP="00D348DC">
      <w:pPr>
        <w:pStyle w:val="Ttulo1"/>
        <w:spacing w:line="276" w:lineRule="auto"/>
        <w:rPr>
          <w:rFonts w:asciiTheme="minorHAnsi" w:hAnsiTheme="minorHAnsi" w:cs="Arial"/>
          <w:b/>
          <w:color w:val="000000" w:themeColor="text1"/>
          <w:sz w:val="22"/>
          <w:szCs w:val="22"/>
          <w:u w:val="single"/>
        </w:rPr>
      </w:pPr>
      <w:bookmarkStart w:id="3" w:name="_Toc518516793"/>
      <w:r w:rsidRPr="00DE27ED">
        <w:rPr>
          <w:rFonts w:asciiTheme="minorHAnsi" w:hAnsiTheme="minorHAnsi" w:cs="Arial"/>
          <w:b/>
          <w:color w:val="000000" w:themeColor="text1"/>
          <w:sz w:val="22"/>
          <w:szCs w:val="22"/>
          <w:u w:val="single"/>
        </w:rPr>
        <w:t>ELABORACIÓN</w:t>
      </w:r>
      <w:r w:rsidR="00D348DC" w:rsidRPr="00DE27ED">
        <w:rPr>
          <w:rFonts w:asciiTheme="minorHAnsi" w:hAnsiTheme="minorHAnsi" w:cs="Arial"/>
          <w:b/>
          <w:color w:val="000000" w:themeColor="text1"/>
          <w:sz w:val="22"/>
          <w:szCs w:val="22"/>
          <w:u w:val="single"/>
        </w:rPr>
        <w:t xml:space="preserve"> DEL RANKING</w:t>
      </w:r>
      <w:bookmarkEnd w:id="3"/>
    </w:p>
    <w:p w14:paraId="7804044E" w14:textId="77777777" w:rsidR="007643D7" w:rsidRPr="003827DC" w:rsidRDefault="007643D7" w:rsidP="007643D7">
      <w:pPr>
        <w:rPr>
          <w:color w:val="000000" w:themeColor="text1"/>
        </w:rPr>
      </w:pPr>
    </w:p>
    <w:p w14:paraId="7EFB0B10" w14:textId="1C2D3C7A" w:rsidR="00014082" w:rsidRPr="003827DC" w:rsidRDefault="00223583" w:rsidP="008D787D">
      <w:pPr>
        <w:spacing w:line="276" w:lineRule="auto"/>
        <w:jc w:val="both"/>
        <w:rPr>
          <w:rFonts w:cs="Arial"/>
          <w:color w:val="000000" w:themeColor="text1"/>
          <w:lang w:val="es-ES"/>
        </w:rPr>
      </w:pPr>
      <w:r w:rsidRPr="003827DC">
        <w:rPr>
          <w:color w:val="000000" w:themeColor="text1"/>
        </w:rPr>
        <w:t>El ranking inicia con la participación voluntaria de las organizaciones para completar un cuestionario que se compone de 5</w:t>
      </w:r>
      <w:r w:rsidR="00C67C13" w:rsidRPr="003827DC">
        <w:rPr>
          <w:color w:val="000000" w:themeColor="text1"/>
        </w:rPr>
        <w:t>0</w:t>
      </w:r>
      <w:r w:rsidRPr="003827DC">
        <w:rPr>
          <w:color w:val="000000" w:themeColor="text1"/>
        </w:rPr>
        <w:t xml:space="preserve"> preguntas (dicotómicas, descriptivas o de selección múltiple). En este cuestionario se evalúan cuatro capítulos, entendidos como áreas fundamentales para la equidad. Estos capítulos son: </w:t>
      </w:r>
      <w:r w:rsidRPr="003827DC">
        <w:rPr>
          <w:rFonts w:cs="Arial"/>
          <w:color w:val="000000" w:themeColor="text1"/>
          <w:lang w:val="es-ES"/>
        </w:rPr>
        <w:t xml:space="preserve">gestión de objetivos, cultura organizacional, estructura organizacional y gestión del talento. </w:t>
      </w:r>
    </w:p>
    <w:p w14:paraId="7920AF78" w14:textId="47C3136E" w:rsidR="00014082" w:rsidRPr="003827DC" w:rsidRDefault="00014082" w:rsidP="008D787D">
      <w:pPr>
        <w:spacing w:line="276" w:lineRule="auto"/>
        <w:jc w:val="both"/>
        <w:rPr>
          <w:rFonts w:cs="Arial"/>
          <w:color w:val="000000" w:themeColor="text1"/>
          <w:lang w:val="es-ES"/>
        </w:rPr>
      </w:pPr>
      <w:r w:rsidRPr="003827DC">
        <w:rPr>
          <w:rFonts w:cs="Arial"/>
          <w:color w:val="000000" w:themeColor="text1"/>
          <w:lang w:val="es-ES"/>
        </w:rPr>
        <w:t xml:space="preserve">Posteriormente, las respuestas de todas las organizaciones pasan por un proceso de </w:t>
      </w:r>
      <w:r w:rsidR="00933232" w:rsidRPr="003827DC">
        <w:rPr>
          <w:rFonts w:cs="Arial"/>
          <w:color w:val="000000" w:themeColor="text1"/>
          <w:lang w:val="es-ES"/>
        </w:rPr>
        <w:t>auditoría</w:t>
      </w:r>
      <w:r w:rsidRPr="003827DC">
        <w:rPr>
          <w:rFonts w:cs="Arial"/>
          <w:color w:val="000000" w:themeColor="text1"/>
          <w:lang w:val="es-ES"/>
        </w:rPr>
        <w:t xml:space="preserve"> </w:t>
      </w:r>
      <w:r w:rsidR="007643D7" w:rsidRPr="003827DC">
        <w:rPr>
          <w:rFonts w:cs="Arial"/>
          <w:color w:val="000000" w:themeColor="text1"/>
          <w:lang w:val="es-ES"/>
        </w:rPr>
        <w:t xml:space="preserve">que revisa las respuestas ingresadas por las organizaciones y evalúa </w:t>
      </w:r>
      <w:r w:rsidRPr="003827DC">
        <w:rPr>
          <w:rFonts w:cs="Arial"/>
          <w:color w:val="000000" w:themeColor="text1"/>
          <w:lang w:val="es-ES"/>
        </w:rPr>
        <w:t xml:space="preserve">que los distintos documentos que maneja la empresa (como política de equidad de género y/o diversidad, mecanismos de evaluación de desempeño, tabla de remuneración documentada, etc.) </w:t>
      </w:r>
      <w:r w:rsidR="00933232" w:rsidRPr="003827DC">
        <w:rPr>
          <w:rFonts w:cs="Arial"/>
          <w:color w:val="000000" w:themeColor="text1"/>
          <w:lang w:val="es-ES"/>
        </w:rPr>
        <w:t>sean válidos</w:t>
      </w:r>
      <w:r w:rsidRPr="003827DC">
        <w:rPr>
          <w:rFonts w:cs="Arial"/>
          <w:color w:val="000000" w:themeColor="text1"/>
          <w:lang w:val="es-ES"/>
        </w:rPr>
        <w:t xml:space="preserve"> para otorgar puntos por su utilización.</w:t>
      </w:r>
    </w:p>
    <w:p w14:paraId="49D1681D" w14:textId="029D5C43" w:rsidR="006357B9" w:rsidRDefault="007643D7" w:rsidP="008D787D">
      <w:pPr>
        <w:spacing w:line="276" w:lineRule="auto"/>
        <w:jc w:val="both"/>
        <w:rPr>
          <w:rFonts w:cs="Arial"/>
          <w:color w:val="000000" w:themeColor="text1"/>
          <w:lang w:val="es-ES"/>
        </w:rPr>
      </w:pPr>
      <w:r w:rsidRPr="003827DC">
        <w:rPr>
          <w:rFonts w:cs="Arial"/>
          <w:color w:val="000000" w:themeColor="text1"/>
          <w:lang w:val="es-ES"/>
        </w:rPr>
        <w:t>Una vez f</w:t>
      </w:r>
      <w:r w:rsidR="00014082" w:rsidRPr="003827DC">
        <w:rPr>
          <w:rFonts w:cs="Arial"/>
          <w:color w:val="000000" w:themeColor="text1"/>
          <w:lang w:val="es-ES"/>
        </w:rPr>
        <w:t xml:space="preserve">inalizado el proceso de auditoría, se calcula el puntaje obtenido por cada organización. </w:t>
      </w:r>
      <w:r w:rsidR="008D787D" w:rsidRPr="003827DC">
        <w:rPr>
          <w:rFonts w:cs="Arial"/>
          <w:color w:val="000000" w:themeColor="text1"/>
          <w:lang w:val="es-ES"/>
        </w:rPr>
        <w:t>En total los</w:t>
      </w:r>
      <w:r w:rsidR="006A3005" w:rsidRPr="003827DC">
        <w:rPr>
          <w:rFonts w:cs="Arial"/>
          <w:color w:val="000000" w:themeColor="text1"/>
          <w:lang w:val="es-ES"/>
        </w:rPr>
        <w:t xml:space="preserve"> cuatro</w:t>
      </w:r>
      <w:r w:rsidR="008D787D" w:rsidRPr="003827DC">
        <w:rPr>
          <w:rFonts w:cs="Arial"/>
          <w:color w:val="000000" w:themeColor="text1"/>
          <w:lang w:val="es-ES"/>
        </w:rPr>
        <w:t xml:space="preserve"> capítulos suman 1.000 puntos; cada capítulo aporta alguna cantidad de puntos de acuerdo con su importancia para alcanzar la equidad en los distintos aspectos de la organización</w:t>
      </w:r>
      <w:r w:rsidRPr="003827DC">
        <w:rPr>
          <w:rFonts w:cs="Arial"/>
          <w:color w:val="000000" w:themeColor="text1"/>
          <w:lang w:val="es-ES"/>
        </w:rPr>
        <w:t>, según se ilustra a continuación:</w:t>
      </w:r>
      <w:r w:rsidR="008D787D" w:rsidRPr="003827DC">
        <w:rPr>
          <w:rFonts w:cs="Arial"/>
          <w:color w:val="000000" w:themeColor="text1"/>
          <w:lang w:val="es-ES"/>
        </w:rPr>
        <w:t xml:space="preserve"> </w:t>
      </w:r>
    </w:p>
    <w:p w14:paraId="6E23FAA3" w14:textId="12C67F73" w:rsidR="002B5599" w:rsidRDefault="002B5599" w:rsidP="002B5599">
      <w:pPr>
        <w:autoSpaceDE w:val="0"/>
        <w:autoSpaceDN w:val="0"/>
        <w:adjustRightInd w:val="0"/>
        <w:spacing w:after="0" w:line="240" w:lineRule="auto"/>
        <w:jc w:val="both"/>
        <w:rPr>
          <w:i/>
          <w:color w:val="FF0000"/>
        </w:rPr>
      </w:pPr>
      <w:r w:rsidRPr="002B5599">
        <w:rPr>
          <w:i/>
          <w:color w:val="FF0000"/>
        </w:rPr>
        <w:t>Acá van los iconos…</w:t>
      </w:r>
    </w:p>
    <w:p w14:paraId="6414213D" w14:textId="77777777" w:rsidR="002B5599" w:rsidRPr="002B5599" w:rsidRDefault="002B5599" w:rsidP="002B5599">
      <w:pPr>
        <w:autoSpaceDE w:val="0"/>
        <w:autoSpaceDN w:val="0"/>
        <w:adjustRightInd w:val="0"/>
        <w:spacing w:after="0" w:line="240" w:lineRule="auto"/>
        <w:jc w:val="both"/>
        <w:rPr>
          <w:i/>
          <w:color w:val="FF0000"/>
        </w:rPr>
      </w:pPr>
    </w:p>
    <w:p w14:paraId="052B3D09" w14:textId="6BD9970E" w:rsidR="006357B9" w:rsidRDefault="007643D7" w:rsidP="007643D7">
      <w:pPr>
        <w:spacing w:line="276" w:lineRule="auto"/>
        <w:jc w:val="both"/>
        <w:rPr>
          <w:rFonts w:cs="Arial"/>
          <w:color w:val="000000" w:themeColor="text1"/>
          <w:lang w:val="es-ES"/>
        </w:rPr>
      </w:pPr>
      <w:r w:rsidRPr="003827DC">
        <w:rPr>
          <w:rFonts w:cs="Arial"/>
          <w:color w:val="000000" w:themeColor="text1"/>
          <w:lang w:val="es-ES"/>
        </w:rPr>
        <w:t>Finalmente, del ordenamiento del puntaje total de las empresas participantes se elabora el ranking PAR</w:t>
      </w:r>
      <w:r w:rsidR="002F4991" w:rsidRPr="003827DC">
        <w:rPr>
          <w:rFonts w:cs="Arial"/>
          <w:color w:val="000000" w:themeColor="text1"/>
          <w:lang w:val="es-ES"/>
        </w:rPr>
        <w:t xml:space="preserve"> 2018</w:t>
      </w:r>
      <w:r w:rsidRPr="003827DC">
        <w:rPr>
          <w:rFonts w:cs="Arial"/>
          <w:color w:val="000000" w:themeColor="text1"/>
          <w:lang w:val="es-ES"/>
        </w:rPr>
        <w:t>.</w:t>
      </w:r>
      <w:bookmarkStart w:id="4" w:name="_GoBack"/>
      <w:bookmarkEnd w:id="4"/>
    </w:p>
    <w:sectPr w:rsidR="006357B9" w:rsidSect="00145D50">
      <w:footerReference w:type="default" r:id="rId8"/>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B02678" w16cid:durableId="1EDFE3F5"/>
  <w16cid:commentId w16cid:paraId="3B1E642B" w16cid:durableId="1EE85643"/>
  <w16cid:commentId w16cid:paraId="5DC195BF" w16cid:durableId="1EE8D43E"/>
  <w16cid:commentId w16cid:paraId="076E0009" w16cid:durableId="1EDFE48A"/>
  <w16cid:commentId w16cid:paraId="03A35474" w16cid:durableId="1EE8564B"/>
  <w16cid:commentId w16cid:paraId="1B31DD2E" w16cid:durableId="1EE50A36"/>
  <w16cid:commentId w16cid:paraId="4AB1EC29" w16cid:durableId="1EE8D50A"/>
  <w16cid:commentId w16cid:paraId="442A6912" w16cid:durableId="1EE85656"/>
  <w16cid:commentId w16cid:paraId="09775E7F" w16cid:durableId="1EE85657"/>
  <w16cid:commentId w16cid:paraId="5F722721" w16cid:durableId="1EE8D68F"/>
  <w16cid:commentId w16cid:paraId="0C5EB906" w16cid:durableId="1EE85658"/>
  <w16cid:commentId w16cid:paraId="59783A40" w16cid:durableId="1EE8D715"/>
  <w16cid:commentId w16cid:paraId="45AFD0B6" w16cid:durableId="1EE85669"/>
  <w16cid:commentId w16cid:paraId="2F231299" w16cid:durableId="1EE664EF"/>
  <w16cid:commentId w16cid:paraId="5674B249" w16cid:durableId="1EE85676"/>
  <w16cid:commentId w16cid:paraId="0B2F73BF" w16cid:durableId="1EE8DB7A"/>
  <w16cid:commentId w16cid:paraId="2CD5F111" w16cid:durableId="1EE85683"/>
  <w16cid:commentId w16cid:paraId="52D8194D" w16cid:durableId="1EE510B0"/>
  <w16cid:commentId w16cid:paraId="7CA6D2A7" w16cid:durableId="1EE66678"/>
  <w16cid:commentId w16cid:paraId="112DDE72" w16cid:durableId="1EE85687"/>
  <w16cid:commentId w16cid:paraId="7E0044E2" w16cid:durableId="1EE85688"/>
  <w16cid:commentId w16cid:paraId="3DAF6EC2" w16cid:durableId="1EE8DC84"/>
  <w16cid:commentId w16cid:paraId="15C7350F" w16cid:durableId="1EDFE068"/>
  <w16cid:commentId w16cid:paraId="1EF82DFD" w16cid:durableId="1EE8568A"/>
  <w16cid:commentId w16cid:paraId="7D25688B" w16cid:durableId="1EE8DCB3"/>
  <w16cid:commentId w16cid:paraId="3C308555" w16cid:durableId="1EE8DCD2"/>
  <w16cid:commentId w16cid:paraId="41D570EB" w16cid:durableId="1EE511B1"/>
  <w16cid:commentId w16cid:paraId="54D33259" w16cid:durableId="1EDFF1B4"/>
  <w16cid:commentId w16cid:paraId="3ADE2DD6" w16cid:durableId="1EE51352"/>
  <w16cid:commentId w16cid:paraId="396F71BC" w16cid:durableId="1EE85699"/>
  <w16cid:commentId w16cid:paraId="7DBD0336" w16cid:durableId="1EE8DD8B"/>
  <w16cid:commentId w16cid:paraId="47E5E15B" w16cid:durableId="1EDFE06B"/>
  <w16cid:commentId w16cid:paraId="752F7CDA" w16cid:durableId="1EE8DDDD"/>
  <w16cid:commentId w16cid:paraId="5C13C8DF" w16cid:durableId="1EE513DE"/>
  <w16cid:commentId w16cid:paraId="79A6CC46" w16cid:durableId="1EE856A0"/>
  <w16cid:commentId w16cid:paraId="1D59F122" w16cid:durableId="1EE8DED3"/>
  <w16cid:commentId w16cid:paraId="17147F00" w16cid:durableId="1EDFF31D"/>
  <w16cid:commentId w16cid:paraId="36B29EBC" w16cid:durableId="1EE856A3"/>
  <w16cid:commentId w16cid:paraId="278620D9" w16cid:durableId="1EE8DF5D"/>
  <w16cid:commentId w16cid:paraId="5F1DCBB2" w16cid:durableId="1EE51619"/>
  <w16cid:commentId w16cid:paraId="2F1A7719" w16cid:durableId="1EE856B3"/>
  <w16cid:commentId w16cid:paraId="7A5C60DD" w16cid:durableId="1EE8E09D"/>
  <w16cid:commentId w16cid:paraId="321E7E87" w16cid:durableId="1EDFF548"/>
  <w16cid:commentId w16cid:paraId="702D014B" w16cid:durableId="1EE856B5"/>
  <w16cid:commentId w16cid:paraId="40DEB411" w16cid:durableId="1EE8E0BC"/>
  <w16cid:commentId w16cid:paraId="3B64F985" w16cid:durableId="1EDFE070"/>
  <w16cid:commentId w16cid:paraId="3CA7868F" w16cid:durableId="1EDFF528"/>
  <w16cid:commentId w16cid:paraId="6D982B30" w16cid:durableId="1EE8E0CC"/>
  <w16cid:commentId w16cid:paraId="2391329B" w16cid:durableId="1EDFF5F0"/>
  <w16cid:commentId w16cid:paraId="253C16A7" w16cid:durableId="1EE51753"/>
  <w16cid:commentId w16cid:paraId="3D0349C6" w16cid:durableId="1EE856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234AC" w14:textId="77777777" w:rsidR="004B4A89" w:rsidRDefault="004B4A89" w:rsidP="004469A3">
      <w:pPr>
        <w:spacing w:after="0" w:line="240" w:lineRule="auto"/>
      </w:pPr>
      <w:r>
        <w:separator/>
      </w:r>
    </w:p>
  </w:endnote>
  <w:endnote w:type="continuationSeparator" w:id="0">
    <w:p w14:paraId="04204222" w14:textId="77777777" w:rsidR="004B4A89" w:rsidRDefault="004B4A89" w:rsidP="00446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yant Pro Regular">
    <w:altName w:val="Calibri"/>
    <w:panose1 w:val="00000000000000000000"/>
    <w:charset w:val="00"/>
    <w:family w:val="modern"/>
    <w:notTrueType/>
    <w:pitch w:val="variable"/>
    <w:sig w:usb0="A00000AF" w:usb1="5000204A" w:usb2="00000000" w:usb3="00000000" w:csb0="00000093" w:csb1="00000000"/>
  </w:font>
  <w:font w:name="Bryant Pro Medium">
    <w:panose1 w:val="02000603030000020004"/>
    <w:charset w:val="00"/>
    <w:family w:val="modern"/>
    <w:notTrueType/>
    <w:pitch w:val="variable"/>
    <w:sig w:usb0="A00000AF" w:usb1="5000204A" w:usb2="00000000" w:usb3="00000000" w:csb0="00000093"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063720"/>
      <w:docPartObj>
        <w:docPartGallery w:val="Page Numbers (Bottom of Page)"/>
        <w:docPartUnique/>
      </w:docPartObj>
    </w:sdtPr>
    <w:sdtEndPr/>
    <w:sdtContent>
      <w:p w14:paraId="5F0582A6" w14:textId="0D6C07EC" w:rsidR="00C660D5" w:rsidRDefault="00C660D5">
        <w:pPr>
          <w:pStyle w:val="Piedepgina"/>
          <w:jc w:val="right"/>
        </w:pPr>
        <w:r>
          <w:fldChar w:fldCharType="begin"/>
        </w:r>
        <w:r>
          <w:instrText>PAGE   \* MERGEFORMAT</w:instrText>
        </w:r>
        <w:r>
          <w:fldChar w:fldCharType="separate"/>
        </w:r>
        <w:r w:rsidR="00C94197" w:rsidRPr="00C94197">
          <w:rPr>
            <w:noProof/>
            <w:lang w:val="es-ES"/>
          </w:rPr>
          <w:t>3</w:t>
        </w:r>
        <w:r>
          <w:fldChar w:fldCharType="end"/>
        </w:r>
      </w:p>
    </w:sdtContent>
  </w:sdt>
  <w:p w14:paraId="017063FB" w14:textId="77777777" w:rsidR="00C660D5" w:rsidRDefault="00C660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A2C47" w14:textId="77777777" w:rsidR="004B4A89" w:rsidRDefault="004B4A89" w:rsidP="004469A3">
      <w:pPr>
        <w:spacing w:after="0" w:line="240" w:lineRule="auto"/>
      </w:pPr>
      <w:r>
        <w:separator/>
      </w:r>
    </w:p>
  </w:footnote>
  <w:footnote w:type="continuationSeparator" w:id="0">
    <w:p w14:paraId="682F720C" w14:textId="77777777" w:rsidR="004B4A89" w:rsidRDefault="004B4A89" w:rsidP="00446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71E0"/>
    <w:multiLevelType w:val="hybridMultilevel"/>
    <w:tmpl w:val="F234446C"/>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1B6046E"/>
    <w:multiLevelType w:val="hybridMultilevel"/>
    <w:tmpl w:val="D9202464"/>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2627E7"/>
    <w:multiLevelType w:val="hybridMultilevel"/>
    <w:tmpl w:val="090E971E"/>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4D10A9"/>
    <w:multiLevelType w:val="hybridMultilevel"/>
    <w:tmpl w:val="5B10FEC0"/>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006439"/>
    <w:multiLevelType w:val="hybridMultilevel"/>
    <w:tmpl w:val="BEB49522"/>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7CC127D"/>
    <w:multiLevelType w:val="hybridMultilevel"/>
    <w:tmpl w:val="740EA800"/>
    <w:lvl w:ilvl="0" w:tplc="EFD67066">
      <w:start w:val="40"/>
      <w:numFmt w:val="bullet"/>
      <w:lvlText w:val="-"/>
      <w:lvlJc w:val="left"/>
      <w:pPr>
        <w:ind w:left="720" w:hanging="360"/>
      </w:pPr>
      <w:rPr>
        <w:rFonts w:ascii="Bryant Pro Regular" w:eastAsiaTheme="minorHAnsi" w:hAnsi="Bryant Pro Regular"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684563F"/>
    <w:multiLevelType w:val="hybridMultilevel"/>
    <w:tmpl w:val="3B3CD616"/>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8F743E3"/>
    <w:multiLevelType w:val="hybridMultilevel"/>
    <w:tmpl w:val="4CC0B5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B8705E7"/>
    <w:multiLevelType w:val="hybridMultilevel"/>
    <w:tmpl w:val="AEBC029C"/>
    <w:lvl w:ilvl="0" w:tplc="2FCAA0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EB51995"/>
    <w:multiLevelType w:val="hybridMultilevel"/>
    <w:tmpl w:val="489864AE"/>
    <w:lvl w:ilvl="0" w:tplc="EFD67066">
      <w:start w:val="40"/>
      <w:numFmt w:val="bullet"/>
      <w:lvlText w:val="-"/>
      <w:lvlJc w:val="left"/>
      <w:pPr>
        <w:ind w:left="720" w:hanging="360"/>
      </w:pPr>
      <w:rPr>
        <w:rFonts w:ascii="Bryant Pro Regular" w:eastAsiaTheme="minorHAnsi" w:hAnsi="Bryant Pro Regular"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25D66FD"/>
    <w:multiLevelType w:val="hybridMultilevel"/>
    <w:tmpl w:val="75DCDBD0"/>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62C77D5"/>
    <w:multiLevelType w:val="hybridMultilevel"/>
    <w:tmpl w:val="E8D494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CF674F1"/>
    <w:multiLevelType w:val="hybridMultilevel"/>
    <w:tmpl w:val="70F4D2DC"/>
    <w:lvl w:ilvl="0" w:tplc="9A448E1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3">
    <w:nsid w:val="6EBF6B97"/>
    <w:multiLevelType w:val="hybridMultilevel"/>
    <w:tmpl w:val="85D6C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12"/>
  </w:num>
  <w:num w:numId="5">
    <w:abstractNumId w:val="3"/>
  </w:num>
  <w:num w:numId="6">
    <w:abstractNumId w:val="1"/>
  </w:num>
  <w:num w:numId="7">
    <w:abstractNumId w:val="4"/>
  </w:num>
  <w:num w:numId="8">
    <w:abstractNumId w:val="10"/>
  </w:num>
  <w:num w:numId="9">
    <w:abstractNumId w:val="13"/>
  </w:num>
  <w:num w:numId="10">
    <w:abstractNumId w:val="0"/>
  </w:num>
  <w:num w:numId="11">
    <w:abstractNumId w:val="6"/>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DC"/>
    <w:rsid w:val="000005F4"/>
    <w:rsid w:val="00002D9A"/>
    <w:rsid w:val="000073E0"/>
    <w:rsid w:val="00011C70"/>
    <w:rsid w:val="00014082"/>
    <w:rsid w:val="00016062"/>
    <w:rsid w:val="00026B4A"/>
    <w:rsid w:val="000307D1"/>
    <w:rsid w:val="0003547E"/>
    <w:rsid w:val="00035A3E"/>
    <w:rsid w:val="00053FF0"/>
    <w:rsid w:val="00060504"/>
    <w:rsid w:val="0006241B"/>
    <w:rsid w:val="00066714"/>
    <w:rsid w:val="00071B8C"/>
    <w:rsid w:val="000817FD"/>
    <w:rsid w:val="00082656"/>
    <w:rsid w:val="00083B5A"/>
    <w:rsid w:val="00093292"/>
    <w:rsid w:val="00096511"/>
    <w:rsid w:val="000B1909"/>
    <w:rsid w:val="000B77E8"/>
    <w:rsid w:val="000C7829"/>
    <w:rsid w:val="000D077A"/>
    <w:rsid w:val="000D16FD"/>
    <w:rsid w:val="000D4E21"/>
    <w:rsid w:val="000D5E8D"/>
    <w:rsid w:val="000D64DA"/>
    <w:rsid w:val="000E5A08"/>
    <w:rsid w:val="000F3A89"/>
    <w:rsid w:val="00103A90"/>
    <w:rsid w:val="00105F15"/>
    <w:rsid w:val="00112C61"/>
    <w:rsid w:val="00121151"/>
    <w:rsid w:val="001269B3"/>
    <w:rsid w:val="00126E6E"/>
    <w:rsid w:val="0013075E"/>
    <w:rsid w:val="00132485"/>
    <w:rsid w:val="001432BC"/>
    <w:rsid w:val="00145D50"/>
    <w:rsid w:val="00146360"/>
    <w:rsid w:val="001508B7"/>
    <w:rsid w:val="00172C32"/>
    <w:rsid w:val="00176A59"/>
    <w:rsid w:val="001804D1"/>
    <w:rsid w:val="00180D90"/>
    <w:rsid w:val="001845FD"/>
    <w:rsid w:val="00186677"/>
    <w:rsid w:val="0018765C"/>
    <w:rsid w:val="001A0AA4"/>
    <w:rsid w:val="001B0630"/>
    <w:rsid w:val="001B1DFB"/>
    <w:rsid w:val="001B4C85"/>
    <w:rsid w:val="001C08BC"/>
    <w:rsid w:val="001C7830"/>
    <w:rsid w:val="001D06F8"/>
    <w:rsid w:val="001D0B14"/>
    <w:rsid w:val="001D6E49"/>
    <w:rsid w:val="001E39AD"/>
    <w:rsid w:val="001E5917"/>
    <w:rsid w:val="001E5975"/>
    <w:rsid w:val="001F444F"/>
    <w:rsid w:val="001F4D5B"/>
    <w:rsid w:val="001F532B"/>
    <w:rsid w:val="001F6331"/>
    <w:rsid w:val="00213862"/>
    <w:rsid w:val="00221779"/>
    <w:rsid w:val="00223583"/>
    <w:rsid w:val="002322FD"/>
    <w:rsid w:val="00233568"/>
    <w:rsid w:val="00233DE7"/>
    <w:rsid w:val="00237F8D"/>
    <w:rsid w:val="002426C7"/>
    <w:rsid w:val="002456F6"/>
    <w:rsid w:val="00247ADB"/>
    <w:rsid w:val="00254769"/>
    <w:rsid w:val="00261AB5"/>
    <w:rsid w:val="00267339"/>
    <w:rsid w:val="0027161F"/>
    <w:rsid w:val="00273385"/>
    <w:rsid w:val="00282DD0"/>
    <w:rsid w:val="002912F0"/>
    <w:rsid w:val="00292BBD"/>
    <w:rsid w:val="00294E1E"/>
    <w:rsid w:val="002975E4"/>
    <w:rsid w:val="002A4D16"/>
    <w:rsid w:val="002B4E40"/>
    <w:rsid w:val="002B5599"/>
    <w:rsid w:val="002B5C76"/>
    <w:rsid w:val="002C4B75"/>
    <w:rsid w:val="002D3C12"/>
    <w:rsid w:val="002E3071"/>
    <w:rsid w:val="002F4991"/>
    <w:rsid w:val="002F57EC"/>
    <w:rsid w:val="002F72FD"/>
    <w:rsid w:val="00301471"/>
    <w:rsid w:val="003040E9"/>
    <w:rsid w:val="00311256"/>
    <w:rsid w:val="0031151E"/>
    <w:rsid w:val="00312B28"/>
    <w:rsid w:val="0031581D"/>
    <w:rsid w:val="00324ECD"/>
    <w:rsid w:val="00326341"/>
    <w:rsid w:val="00353DB0"/>
    <w:rsid w:val="003724FA"/>
    <w:rsid w:val="0037655D"/>
    <w:rsid w:val="003827DC"/>
    <w:rsid w:val="0038638C"/>
    <w:rsid w:val="003924F5"/>
    <w:rsid w:val="00393707"/>
    <w:rsid w:val="003A15D7"/>
    <w:rsid w:val="003B03C0"/>
    <w:rsid w:val="003B2434"/>
    <w:rsid w:val="003B2FEB"/>
    <w:rsid w:val="003B33EA"/>
    <w:rsid w:val="003C5567"/>
    <w:rsid w:val="003C760D"/>
    <w:rsid w:val="003D0C42"/>
    <w:rsid w:val="003D1A96"/>
    <w:rsid w:val="003D3954"/>
    <w:rsid w:val="003D3B42"/>
    <w:rsid w:val="003D7911"/>
    <w:rsid w:val="003F00B2"/>
    <w:rsid w:val="003F0C9A"/>
    <w:rsid w:val="003F4C79"/>
    <w:rsid w:val="0041701D"/>
    <w:rsid w:val="0042475A"/>
    <w:rsid w:val="00433925"/>
    <w:rsid w:val="00435F02"/>
    <w:rsid w:val="004469A3"/>
    <w:rsid w:val="004527A1"/>
    <w:rsid w:val="00463BD9"/>
    <w:rsid w:val="00481DAF"/>
    <w:rsid w:val="00485686"/>
    <w:rsid w:val="00494E89"/>
    <w:rsid w:val="004A4221"/>
    <w:rsid w:val="004A44FB"/>
    <w:rsid w:val="004A4BAB"/>
    <w:rsid w:val="004A60F0"/>
    <w:rsid w:val="004A6748"/>
    <w:rsid w:val="004B4A89"/>
    <w:rsid w:val="004B623C"/>
    <w:rsid w:val="004C1C8A"/>
    <w:rsid w:val="004C2046"/>
    <w:rsid w:val="004C2D08"/>
    <w:rsid w:val="004C4341"/>
    <w:rsid w:val="004C7E38"/>
    <w:rsid w:val="004D111F"/>
    <w:rsid w:val="004D15AC"/>
    <w:rsid w:val="004D6843"/>
    <w:rsid w:val="004E1162"/>
    <w:rsid w:val="004E35A7"/>
    <w:rsid w:val="004E660A"/>
    <w:rsid w:val="0050037C"/>
    <w:rsid w:val="00503666"/>
    <w:rsid w:val="00515292"/>
    <w:rsid w:val="0052642C"/>
    <w:rsid w:val="00530B95"/>
    <w:rsid w:val="00536356"/>
    <w:rsid w:val="00540D70"/>
    <w:rsid w:val="005520CB"/>
    <w:rsid w:val="00553EED"/>
    <w:rsid w:val="005705F3"/>
    <w:rsid w:val="00570DDF"/>
    <w:rsid w:val="0057663D"/>
    <w:rsid w:val="00576E9D"/>
    <w:rsid w:val="005903F5"/>
    <w:rsid w:val="005C26A9"/>
    <w:rsid w:val="005C41DE"/>
    <w:rsid w:val="005C61B7"/>
    <w:rsid w:val="005C7DAC"/>
    <w:rsid w:val="005D6C68"/>
    <w:rsid w:val="005E1F6A"/>
    <w:rsid w:val="005E25BC"/>
    <w:rsid w:val="005E4571"/>
    <w:rsid w:val="005F1385"/>
    <w:rsid w:val="005F4CD0"/>
    <w:rsid w:val="005F5E61"/>
    <w:rsid w:val="00610644"/>
    <w:rsid w:val="006170D9"/>
    <w:rsid w:val="00627969"/>
    <w:rsid w:val="006349AA"/>
    <w:rsid w:val="006357B9"/>
    <w:rsid w:val="00643E15"/>
    <w:rsid w:val="006446A0"/>
    <w:rsid w:val="006460C9"/>
    <w:rsid w:val="0066376D"/>
    <w:rsid w:val="00672690"/>
    <w:rsid w:val="00677BCE"/>
    <w:rsid w:val="00682E11"/>
    <w:rsid w:val="00691603"/>
    <w:rsid w:val="006A0FFA"/>
    <w:rsid w:val="006A110B"/>
    <w:rsid w:val="006A3005"/>
    <w:rsid w:val="006A3E35"/>
    <w:rsid w:val="006B4869"/>
    <w:rsid w:val="006B4FBE"/>
    <w:rsid w:val="006D39FC"/>
    <w:rsid w:val="006D6CD3"/>
    <w:rsid w:val="007006C4"/>
    <w:rsid w:val="00702713"/>
    <w:rsid w:val="00703AEA"/>
    <w:rsid w:val="00705F22"/>
    <w:rsid w:val="00713243"/>
    <w:rsid w:val="00717ED8"/>
    <w:rsid w:val="00720665"/>
    <w:rsid w:val="00721FC3"/>
    <w:rsid w:val="00732EE3"/>
    <w:rsid w:val="007376A4"/>
    <w:rsid w:val="00737ACB"/>
    <w:rsid w:val="0074234C"/>
    <w:rsid w:val="00743B8D"/>
    <w:rsid w:val="00743ED6"/>
    <w:rsid w:val="0074686C"/>
    <w:rsid w:val="00747594"/>
    <w:rsid w:val="00756C63"/>
    <w:rsid w:val="00760BB3"/>
    <w:rsid w:val="007643D7"/>
    <w:rsid w:val="007667AC"/>
    <w:rsid w:val="00784218"/>
    <w:rsid w:val="007916A0"/>
    <w:rsid w:val="007946F1"/>
    <w:rsid w:val="007A3CE2"/>
    <w:rsid w:val="007A617E"/>
    <w:rsid w:val="007A716F"/>
    <w:rsid w:val="007A74CB"/>
    <w:rsid w:val="007B19FF"/>
    <w:rsid w:val="007B46E6"/>
    <w:rsid w:val="007B486B"/>
    <w:rsid w:val="007B78CB"/>
    <w:rsid w:val="007C3A14"/>
    <w:rsid w:val="007D04A4"/>
    <w:rsid w:val="007D126C"/>
    <w:rsid w:val="007E301D"/>
    <w:rsid w:val="007E792D"/>
    <w:rsid w:val="007F3D14"/>
    <w:rsid w:val="007F5651"/>
    <w:rsid w:val="007F680F"/>
    <w:rsid w:val="007F6E18"/>
    <w:rsid w:val="0080013C"/>
    <w:rsid w:val="00801FAC"/>
    <w:rsid w:val="00814034"/>
    <w:rsid w:val="008539F6"/>
    <w:rsid w:val="00857057"/>
    <w:rsid w:val="008606E5"/>
    <w:rsid w:val="00863A81"/>
    <w:rsid w:val="00865483"/>
    <w:rsid w:val="008710A6"/>
    <w:rsid w:val="008852AD"/>
    <w:rsid w:val="0089226F"/>
    <w:rsid w:val="008A35DE"/>
    <w:rsid w:val="008A7E64"/>
    <w:rsid w:val="008B1513"/>
    <w:rsid w:val="008B2F1A"/>
    <w:rsid w:val="008B43C3"/>
    <w:rsid w:val="008D2801"/>
    <w:rsid w:val="008D4231"/>
    <w:rsid w:val="008D5798"/>
    <w:rsid w:val="008D787D"/>
    <w:rsid w:val="008E4CA1"/>
    <w:rsid w:val="008E4CE0"/>
    <w:rsid w:val="009250A3"/>
    <w:rsid w:val="00930BBA"/>
    <w:rsid w:val="00932A09"/>
    <w:rsid w:val="00933232"/>
    <w:rsid w:val="00941A27"/>
    <w:rsid w:val="00944863"/>
    <w:rsid w:val="00964EB9"/>
    <w:rsid w:val="0097112B"/>
    <w:rsid w:val="0097293E"/>
    <w:rsid w:val="00980574"/>
    <w:rsid w:val="00991658"/>
    <w:rsid w:val="00994B6A"/>
    <w:rsid w:val="00995875"/>
    <w:rsid w:val="009A35A3"/>
    <w:rsid w:val="009A4A7D"/>
    <w:rsid w:val="009A50FF"/>
    <w:rsid w:val="009A675A"/>
    <w:rsid w:val="009A7629"/>
    <w:rsid w:val="009B4ABA"/>
    <w:rsid w:val="009B74B0"/>
    <w:rsid w:val="009D0587"/>
    <w:rsid w:val="009D6F9F"/>
    <w:rsid w:val="009E2F53"/>
    <w:rsid w:val="009E416D"/>
    <w:rsid w:val="00A010F4"/>
    <w:rsid w:val="00A039E3"/>
    <w:rsid w:val="00A12DDA"/>
    <w:rsid w:val="00A20C86"/>
    <w:rsid w:val="00A3135B"/>
    <w:rsid w:val="00A328A7"/>
    <w:rsid w:val="00A41D72"/>
    <w:rsid w:val="00A53603"/>
    <w:rsid w:val="00A55CD1"/>
    <w:rsid w:val="00A57F31"/>
    <w:rsid w:val="00A61411"/>
    <w:rsid w:val="00A74496"/>
    <w:rsid w:val="00A84F15"/>
    <w:rsid w:val="00A8560C"/>
    <w:rsid w:val="00A94678"/>
    <w:rsid w:val="00AC05D6"/>
    <w:rsid w:val="00AC2610"/>
    <w:rsid w:val="00AC4CF2"/>
    <w:rsid w:val="00AE1095"/>
    <w:rsid w:val="00AF01FD"/>
    <w:rsid w:val="00B02F56"/>
    <w:rsid w:val="00B030C3"/>
    <w:rsid w:val="00B07F50"/>
    <w:rsid w:val="00B1204B"/>
    <w:rsid w:val="00B135C6"/>
    <w:rsid w:val="00B1421B"/>
    <w:rsid w:val="00B2033F"/>
    <w:rsid w:val="00B22945"/>
    <w:rsid w:val="00B3462C"/>
    <w:rsid w:val="00B416A4"/>
    <w:rsid w:val="00B449D1"/>
    <w:rsid w:val="00B56DA7"/>
    <w:rsid w:val="00B6011C"/>
    <w:rsid w:val="00B757BD"/>
    <w:rsid w:val="00B83CC4"/>
    <w:rsid w:val="00B85497"/>
    <w:rsid w:val="00B879D0"/>
    <w:rsid w:val="00B9084D"/>
    <w:rsid w:val="00B91571"/>
    <w:rsid w:val="00B92108"/>
    <w:rsid w:val="00B94BCA"/>
    <w:rsid w:val="00B97B0B"/>
    <w:rsid w:val="00BA5050"/>
    <w:rsid w:val="00BB08DE"/>
    <w:rsid w:val="00BC2717"/>
    <w:rsid w:val="00BD7099"/>
    <w:rsid w:val="00BF09BB"/>
    <w:rsid w:val="00BF1227"/>
    <w:rsid w:val="00BF5036"/>
    <w:rsid w:val="00C0015E"/>
    <w:rsid w:val="00C003C0"/>
    <w:rsid w:val="00C05849"/>
    <w:rsid w:val="00C205FB"/>
    <w:rsid w:val="00C25DBA"/>
    <w:rsid w:val="00C30255"/>
    <w:rsid w:val="00C46B93"/>
    <w:rsid w:val="00C5471A"/>
    <w:rsid w:val="00C660D5"/>
    <w:rsid w:val="00C67C13"/>
    <w:rsid w:val="00C75562"/>
    <w:rsid w:val="00C77E97"/>
    <w:rsid w:val="00C80AE3"/>
    <w:rsid w:val="00C85FCE"/>
    <w:rsid w:val="00C875BB"/>
    <w:rsid w:val="00C94197"/>
    <w:rsid w:val="00C96765"/>
    <w:rsid w:val="00C97925"/>
    <w:rsid w:val="00CA17B0"/>
    <w:rsid w:val="00CB14B6"/>
    <w:rsid w:val="00CC2364"/>
    <w:rsid w:val="00CD1D73"/>
    <w:rsid w:val="00CD30C2"/>
    <w:rsid w:val="00CD6D35"/>
    <w:rsid w:val="00D0553C"/>
    <w:rsid w:val="00D1216B"/>
    <w:rsid w:val="00D13352"/>
    <w:rsid w:val="00D139F1"/>
    <w:rsid w:val="00D173AD"/>
    <w:rsid w:val="00D22948"/>
    <w:rsid w:val="00D26F8E"/>
    <w:rsid w:val="00D2738C"/>
    <w:rsid w:val="00D320D3"/>
    <w:rsid w:val="00D348DC"/>
    <w:rsid w:val="00D363CA"/>
    <w:rsid w:val="00D515EA"/>
    <w:rsid w:val="00D52EB6"/>
    <w:rsid w:val="00D57026"/>
    <w:rsid w:val="00D573AD"/>
    <w:rsid w:val="00D61A6F"/>
    <w:rsid w:val="00D61C45"/>
    <w:rsid w:val="00D80236"/>
    <w:rsid w:val="00D90B6D"/>
    <w:rsid w:val="00D91C6D"/>
    <w:rsid w:val="00D963DD"/>
    <w:rsid w:val="00DA1D38"/>
    <w:rsid w:val="00DA32E9"/>
    <w:rsid w:val="00DA33EC"/>
    <w:rsid w:val="00DA6B1F"/>
    <w:rsid w:val="00DB6324"/>
    <w:rsid w:val="00DD5DDF"/>
    <w:rsid w:val="00DD74B7"/>
    <w:rsid w:val="00DE0A5D"/>
    <w:rsid w:val="00DE27ED"/>
    <w:rsid w:val="00DE4584"/>
    <w:rsid w:val="00DE7959"/>
    <w:rsid w:val="00DF1A20"/>
    <w:rsid w:val="00DF3204"/>
    <w:rsid w:val="00DF5869"/>
    <w:rsid w:val="00DF62EB"/>
    <w:rsid w:val="00E03C0B"/>
    <w:rsid w:val="00E14780"/>
    <w:rsid w:val="00E2066E"/>
    <w:rsid w:val="00E211FC"/>
    <w:rsid w:val="00E40048"/>
    <w:rsid w:val="00E6238C"/>
    <w:rsid w:val="00E6423A"/>
    <w:rsid w:val="00E80DFC"/>
    <w:rsid w:val="00EA1A6D"/>
    <w:rsid w:val="00EA3193"/>
    <w:rsid w:val="00EA478E"/>
    <w:rsid w:val="00EB06CF"/>
    <w:rsid w:val="00EB6CF1"/>
    <w:rsid w:val="00EC07A3"/>
    <w:rsid w:val="00EC2DD7"/>
    <w:rsid w:val="00EE63E3"/>
    <w:rsid w:val="00F00D47"/>
    <w:rsid w:val="00F063F2"/>
    <w:rsid w:val="00F11648"/>
    <w:rsid w:val="00F13E9E"/>
    <w:rsid w:val="00F17C9D"/>
    <w:rsid w:val="00F223F4"/>
    <w:rsid w:val="00F30463"/>
    <w:rsid w:val="00F44E08"/>
    <w:rsid w:val="00F664DA"/>
    <w:rsid w:val="00F66AF1"/>
    <w:rsid w:val="00F71BA5"/>
    <w:rsid w:val="00F722FF"/>
    <w:rsid w:val="00F905D0"/>
    <w:rsid w:val="00F91187"/>
    <w:rsid w:val="00F93F44"/>
    <w:rsid w:val="00F9522F"/>
    <w:rsid w:val="00F96711"/>
    <w:rsid w:val="00FA38CB"/>
    <w:rsid w:val="00FA5963"/>
    <w:rsid w:val="00FB0A37"/>
    <w:rsid w:val="00FB386E"/>
    <w:rsid w:val="00FD10E5"/>
    <w:rsid w:val="00FE05F7"/>
    <w:rsid w:val="00FE4C93"/>
    <w:rsid w:val="00FE5941"/>
    <w:rsid w:val="00FE7A6B"/>
    <w:rsid w:val="00FF33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8678"/>
  <w15:chartTrackingRefBased/>
  <w15:docId w15:val="{62D7939E-689A-4181-BB41-482F1739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8DC"/>
  </w:style>
  <w:style w:type="paragraph" w:styleId="Ttulo1">
    <w:name w:val="heading 1"/>
    <w:basedOn w:val="Normal"/>
    <w:next w:val="Normal"/>
    <w:link w:val="Ttulo1Car"/>
    <w:uiPriority w:val="9"/>
    <w:qFormat/>
    <w:rsid w:val="00D348DC"/>
    <w:pPr>
      <w:keepNext/>
      <w:keepLines/>
      <w:spacing w:before="240" w:after="0"/>
      <w:outlineLvl w:val="0"/>
    </w:pPr>
    <w:rPr>
      <w:rFonts w:asciiTheme="majorHAnsi" w:eastAsiaTheme="majorEastAsia" w:hAnsiTheme="majorHAnsi" w:cstheme="majorBidi"/>
      <w:color w:val="A97700" w:themeColor="accent1" w:themeShade="BF"/>
      <w:sz w:val="32"/>
      <w:szCs w:val="32"/>
    </w:rPr>
  </w:style>
  <w:style w:type="paragraph" w:styleId="Ttulo2">
    <w:name w:val="heading 2"/>
    <w:basedOn w:val="Normal"/>
    <w:next w:val="Normal"/>
    <w:link w:val="Ttulo2Car"/>
    <w:uiPriority w:val="9"/>
    <w:unhideWhenUsed/>
    <w:qFormat/>
    <w:rsid w:val="007B78CB"/>
    <w:pPr>
      <w:keepNext/>
      <w:keepLines/>
      <w:spacing w:before="40" w:after="0"/>
      <w:outlineLvl w:val="1"/>
    </w:pPr>
    <w:rPr>
      <w:rFonts w:asciiTheme="majorHAnsi" w:eastAsiaTheme="majorEastAsia" w:hAnsiTheme="majorHAnsi" w:cstheme="majorBidi"/>
      <w:color w:val="A9770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8DC"/>
    <w:pPr>
      <w:ind w:left="720"/>
      <w:contextualSpacing/>
    </w:pPr>
  </w:style>
  <w:style w:type="character" w:styleId="Refdecomentario">
    <w:name w:val="annotation reference"/>
    <w:basedOn w:val="Fuentedeprrafopredeter"/>
    <w:uiPriority w:val="99"/>
    <w:semiHidden/>
    <w:unhideWhenUsed/>
    <w:rsid w:val="00D348DC"/>
    <w:rPr>
      <w:sz w:val="16"/>
      <w:szCs w:val="16"/>
    </w:rPr>
  </w:style>
  <w:style w:type="paragraph" w:styleId="Textocomentario">
    <w:name w:val="annotation text"/>
    <w:basedOn w:val="Normal"/>
    <w:link w:val="TextocomentarioCar"/>
    <w:uiPriority w:val="99"/>
    <w:semiHidden/>
    <w:unhideWhenUsed/>
    <w:rsid w:val="00D348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48DC"/>
    <w:rPr>
      <w:sz w:val="20"/>
      <w:szCs w:val="20"/>
    </w:rPr>
  </w:style>
  <w:style w:type="paragraph" w:styleId="Asuntodelcomentario">
    <w:name w:val="annotation subject"/>
    <w:basedOn w:val="Textocomentario"/>
    <w:next w:val="Textocomentario"/>
    <w:link w:val="AsuntodelcomentarioCar"/>
    <w:uiPriority w:val="99"/>
    <w:semiHidden/>
    <w:unhideWhenUsed/>
    <w:rsid w:val="00D348DC"/>
    <w:rPr>
      <w:b/>
      <w:bCs/>
    </w:rPr>
  </w:style>
  <w:style w:type="character" w:customStyle="1" w:styleId="AsuntodelcomentarioCar">
    <w:name w:val="Asunto del comentario Car"/>
    <w:basedOn w:val="TextocomentarioCar"/>
    <w:link w:val="Asuntodelcomentario"/>
    <w:uiPriority w:val="99"/>
    <w:semiHidden/>
    <w:rsid w:val="00D348DC"/>
    <w:rPr>
      <w:b/>
      <w:bCs/>
      <w:sz w:val="20"/>
      <w:szCs w:val="20"/>
    </w:rPr>
  </w:style>
  <w:style w:type="paragraph" w:styleId="Textodeglobo">
    <w:name w:val="Balloon Text"/>
    <w:basedOn w:val="Normal"/>
    <w:link w:val="TextodegloboCar"/>
    <w:uiPriority w:val="99"/>
    <w:semiHidden/>
    <w:unhideWhenUsed/>
    <w:rsid w:val="00D348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8DC"/>
    <w:rPr>
      <w:rFonts w:ascii="Segoe UI" w:hAnsi="Segoe UI" w:cs="Segoe UI"/>
      <w:sz w:val="18"/>
      <w:szCs w:val="18"/>
    </w:rPr>
  </w:style>
  <w:style w:type="character" w:customStyle="1" w:styleId="Ttulo1Car">
    <w:name w:val="Título 1 Car"/>
    <w:basedOn w:val="Fuentedeprrafopredeter"/>
    <w:link w:val="Ttulo1"/>
    <w:uiPriority w:val="9"/>
    <w:rsid w:val="00D348DC"/>
    <w:rPr>
      <w:rFonts w:asciiTheme="majorHAnsi" w:eastAsiaTheme="majorEastAsia" w:hAnsiTheme="majorHAnsi" w:cstheme="majorBidi"/>
      <w:color w:val="A97700" w:themeColor="accent1" w:themeShade="BF"/>
      <w:sz w:val="32"/>
      <w:szCs w:val="32"/>
    </w:rPr>
  </w:style>
  <w:style w:type="table" w:styleId="Tablaconcuadrcula">
    <w:name w:val="Table Grid"/>
    <w:basedOn w:val="Tablanormal"/>
    <w:uiPriority w:val="39"/>
    <w:rsid w:val="00D34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B78CB"/>
    <w:rPr>
      <w:rFonts w:asciiTheme="majorHAnsi" w:eastAsiaTheme="majorEastAsia" w:hAnsiTheme="majorHAnsi" w:cstheme="majorBidi"/>
      <w:color w:val="A97700" w:themeColor="accent1" w:themeShade="BF"/>
      <w:sz w:val="26"/>
      <w:szCs w:val="26"/>
    </w:rPr>
  </w:style>
  <w:style w:type="paragraph" w:styleId="NormalWeb">
    <w:name w:val="Normal (Web)"/>
    <w:basedOn w:val="Normal"/>
    <w:uiPriority w:val="99"/>
    <w:semiHidden/>
    <w:unhideWhenUsed/>
    <w:rsid w:val="00932A09"/>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tulodeTDC">
    <w:name w:val="TOC Heading"/>
    <w:basedOn w:val="Ttulo1"/>
    <w:next w:val="Normal"/>
    <w:uiPriority w:val="39"/>
    <w:unhideWhenUsed/>
    <w:qFormat/>
    <w:rsid w:val="0057663D"/>
    <w:pPr>
      <w:outlineLvl w:val="9"/>
    </w:pPr>
    <w:rPr>
      <w:lang w:eastAsia="es-CO"/>
    </w:rPr>
  </w:style>
  <w:style w:type="paragraph" w:styleId="TDC1">
    <w:name w:val="toc 1"/>
    <w:basedOn w:val="Normal"/>
    <w:next w:val="Normal"/>
    <w:autoRedefine/>
    <w:uiPriority w:val="39"/>
    <w:unhideWhenUsed/>
    <w:rsid w:val="0057663D"/>
    <w:pPr>
      <w:spacing w:after="100"/>
    </w:pPr>
  </w:style>
  <w:style w:type="paragraph" w:styleId="TDC2">
    <w:name w:val="toc 2"/>
    <w:basedOn w:val="Normal"/>
    <w:next w:val="Normal"/>
    <w:autoRedefine/>
    <w:uiPriority w:val="39"/>
    <w:unhideWhenUsed/>
    <w:rsid w:val="0057663D"/>
    <w:pPr>
      <w:spacing w:after="100"/>
      <w:ind w:left="220"/>
    </w:pPr>
  </w:style>
  <w:style w:type="character" w:styleId="Hipervnculo">
    <w:name w:val="Hyperlink"/>
    <w:basedOn w:val="Fuentedeprrafopredeter"/>
    <w:uiPriority w:val="99"/>
    <w:unhideWhenUsed/>
    <w:rsid w:val="0057663D"/>
    <w:rPr>
      <w:color w:val="0563C1" w:themeColor="hyperlink"/>
      <w:u w:val="single"/>
    </w:rPr>
  </w:style>
  <w:style w:type="paragraph" w:styleId="Bibliografa">
    <w:name w:val="Bibliography"/>
    <w:basedOn w:val="Normal"/>
    <w:next w:val="Normal"/>
    <w:uiPriority w:val="37"/>
    <w:unhideWhenUsed/>
    <w:rsid w:val="00261AB5"/>
  </w:style>
  <w:style w:type="paragraph" w:styleId="Revisin">
    <w:name w:val="Revision"/>
    <w:hidden/>
    <w:uiPriority w:val="99"/>
    <w:semiHidden/>
    <w:rsid w:val="008D5798"/>
    <w:pPr>
      <w:spacing w:after="0" w:line="240" w:lineRule="auto"/>
    </w:pPr>
  </w:style>
  <w:style w:type="paragraph" w:styleId="Encabezado">
    <w:name w:val="header"/>
    <w:basedOn w:val="Normal"/>
    <w:link w:val="EncabezadoCar"/>
    <w:uiPriority w:val="99"/>
    <w:unhideWhenUsed/>
    <w:rsid w:val="00446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9A3"/>
  </w:style>
  <w:style w:type="paragraph" w:styleId="Piedepgina">
    <w:name w:val="footer"/>
    <w:basedOn w:val="Normal"/>
    <w:link w:val="PiedepginaCar"/>
    <w:uiPriority w:val="99"/>
    <w:unhideWhenUsed/>
    <w:rsid w:val="00446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79691">
      <w:bodyDiv w:val="1"/>
      <w:marLeft w:val="0"/>
      <w:marRight w:val="0"/>
      <w:marTop w:val="0"/>
      <w:marBottom w:val="0"/>
      <w:divBdr>
        <w:top w:val="none" w:sz="0" w:space="0" w:color="auto"/>
        <w:left w:val="none" w:sz="0" w:space="0" w:color="auto"/>
        <w:bottom w:val="none" w:sz="0" w:space="0" w:color="auto"/>
        <w:right w:val="none" w:sz="0" w:space="0" w:color="auto"/>
      </w:divBdr>
    </w:div>
    <w:div w:id="127944338">
      <w:bodyDiv w:val="1"/>
      <w:marLeft w:val="0"/>
      <w:marRight w:val="0"/>
      <w:marTop w:val="0"/>
      <w:marBottom w:val="0"/>
      <w:divBdr>
        <w:top w:val="none" w:sz="0" w:space="0" w:color="auto"/>
        <w:left w:val="none" w:sz="0" w:space="0" w:color="auto"/>
        <w:bottom w:val="none" w:sz="0" w:space="0" w:color="auto"/>
        <w:right w:val="none" w:sz="0" w:space="0" w:color="auto"/>
      </w:divBdr>
    </w:div>
    <w:div w:id="144322497">
      <w:bodyDiv w:val="1"/>
      <w:marLeft w:val="0"/>
      <w:marRight w:val="0"/>
      <w:marTop w:val="0"/>
      <w:marBottom w:val="0"/>
      <w:divBdr>
        <w:top w:val="none" w:sz="0" w:space="0" w:color="auto"/>
        <w:left w:val="none" w:sz="0" w:space="0" w:color="auto"/>
        <w:bottom w:val="none" w:sz="0" w:space="0" w:color="auto"/>
        <w:right w:val="none" w:sz="0" w:space="0" w:color="auto"/>
      </w:divBdr>
    </w:div>
    <w:div w:id="209269044">
      <w:bodyDiv w:val="1"/>
      <w:marLeft w:val="0"/>
      <w:marRight w:val="0"/>
      <w:marTop w:val="0"/>
      <w:marBottom w:val="0"/>
      <w:divBdr>
        <w:top w:val="none" w:sz="0" w:space="0" w:color="auto"/>
        <w:left w:val="none" w:sz="0" w:space="0" w:color="auto"/>
        <w:bottom w:val="none" w:sz="0" w:space="0" w:color="auto"/>
        <w:right w:val="none" w:sz="0" w:space="0" w:color="auto"/>
      </w:divBdr>
    </w:div>
    <w:div w:id="279264987">
      <w:bodyDiv w:val="1"/>
      <w:marLeft w:val="0"/>
      <w:marRight w:val="0"/>
      <w:marTop w:val="0"/>
      <w:marBottom w:val="0"/>
      <w:divBdr>
        <w:top w:val="none" w:sz="0" w:space="0" w:color="auto"/>
        <w:left w:val="none" w:sz="0" w:space="0" w:color="auto"/>
        <w:bottom w:val="none" w:sz="0" w:space="0" w:color="auto"/>
        <w:right w:val="none" w:sz="0" w:space="0" w:color="auto"/>
      </w:divBdr>
    </w:div>
    <w:div w:id="311720273">
      <w:bodyDiv w:val="1"/>
      <w:marLeft w:val="0"/>
      <w:marRight w:val="0"/>
      <w:marTop w:val="0"/>
      <w:marBottom w:val="0"/>
      <w:divBdr>
        <w:top w:val="none" w:sz="0" w:space="0" w:color="auto"/>
        <w:left w:val="none" w:sz="0" w:space="0" w:color="auto"/>
        <w:bottom w:val="none" w:sz="0" w:space="0" w:color="auto"/>
        <w:right w:val="none" w:sz="0" w:space="0" w:color="auto"/>
      </w:divBdr>
    </w:div>
    <w:div w:id="513567952">
      <w:bodyDiv w:val="1"/>
      <w:marLeft w:val="0"/>
      <w:marRight w:val="0"/>
      <w:marTop w:val="0"/>
      <w:marBottom w:val="0"/>
      <w:divBdr>
        <w:top w:val="none" w:sz="0" w:space="0" w:color="auto"/>
        <w:left w:val="none" w:sz="0" w:space="0" w:color="auto"/>
        <w:bottom w:val="none" w:sz="0" w:space="0" w:color="auto"/>
        <w:right w:val="none" w:sz="0" w:space="0" w:color="auto"/>
      </w:divBdr>
    </w:div>
    <w:div w:id="553204329">
      <w:bodyDiv w:val="1"/>
      <w:marLeft w:val="0"/>
      <w:marRight w:val="0"/>
      <w:marTop w:val="0"/>
      <w:marBottom w:val="0"/>
      <w:divBdr>
        <w:top w:val="none" w:sz="0" w:space="0" w:color="auto"/>
        <w:left w:val="none" w:sz="0" w:space="0" w:color="auto"/>
        <w:bottom w:val="none" w:sz="0" w:space="0" w:color="auto"/>
        <w:right w:val="none" w:sz="0" w:space="0" w:color="auto"/>
      </w:divBdr>
    </w:div>
    <w:div w:id="585186665">
      <w:bodyDiv w:val="1"/>
      <w:marLeft w:val="0"/>
      <w:marRight w:val="0"/>
      <w:marTop w:val="0"/>
      <w:marBottom w:val="0"/>
      <w:divBdr>
        <w:top w:val="none" w:sz="0" w:space="0" w:color="auto"/>
        <w:left w:val="none" w:sz="0" w:space="0" w:color="auto"/>
        <w:bottom w:val="none" w:sz="0" w:space="0" w:color="auto"/>
        <w:right w:val="none" w:sz="0" w:space="0" w:color="auto"/>
      </w:divBdr>
    </w:div>
    <w:div w:id="650789822">
      <w:bodyDiv w:val="1"/>
      <w:marLeft w:val="0"/>
      <w:marRight w:val="0"/>
      <w:marTop w:val="0"/>
      <w:marBottom w:val="0"/>
      <w:divBdr>
        <w:top w:val="none" w:sz="0" w:space="0" w:color="auto"/>
        <w:left w:val="none" w:sz="0" w:space="0" w:color="auto"/>
        <w:bottom w:val="none" w:sz="0" w:space="0" w:color="auto"/>
        <w:right w:val="none" w:sz="0" w:space="0" w:color="auto"/>
      </w:divBdr>
    </w:div>
    <w:div w:id="778531065">
      <w:bodyDiv w:val="1"/>
      <w:marLeft w:val="0"/>
      <w:marRight w:val="0"/>
      <w:marTop w:val="0"/>
      <w:marBottom w:val="0"/>
      <w:divBdr>
        <w:top w:val="none" w:sz="0" w:space="0" w:color="auto"/>
        <w:left w:val="none" w:sz="0" w:space="0" w:color="auto"/>
        <w:bottom w:val="none" w:sz="0" w:space="0" w:color="auto"/>
        <w:right w:val="none" w:sz="0" w:space="0" w:color="auto"/>
      </w:divBdr>
    </w:div>
    <w:div w:id="847871774">
      <w:bodyDiv w:val="1"/>
      <w:marLeft w:val="0"/>
      <w:marRight w:val="0"/>
      <w:marTop w:val="0"/>
      <w:marBottom w:val="0"/>
      <w:divBdr>
        <w:top w:val="none" w:sz="0" w:space="0" w:color="auto"/>
        <w:left w:val="none" w:sz="0" w:space="0" w:color="auto"/>
        <w:bottom w:val="none" w:sz="0" w:space="0" w:color="auto"/>
        <w:right w:val="none" w:sz="0" w:space="0" w:color="auto"/>
      </w:divBdr>
    </w:div>
    <w:div w:id="984967335">
      <w:bodyDiv w:val="1"/>
      <w:marLeft w:val="0"/>
      <w:marRight w:val="0"/>
      <w:marTop w:val="0"/>
      <w:marBottom w:val="0"/>
      <w:divBdr>
        <w:top w:val="none" w:sz="0" w:space="0" w:color="auto"/>
        <w:left w:val="none" w:sz="0" w:space="0" w:color="auto"/>
        <w:bottom w:val="none" w:sz="0" w:space="0" w:color="auto"/>
        <w:right w:val="none" w:sz="0" w:space="0" w:color="auto"/>
      </w:divBdr>
    </w:div>
    <w:div w:id="994844521">
      <w:bodyDiv w:val="1"/>
      <w:marLeft w:val="0"/>
      <w:marRight w:val="0"/>
      <w:marTop w:val="0"/>
      <w:marBottom w:val="0"/>
      <w:divBdr>
        <w:top w:val="none" w:sz="0" w:space="0" w:color="auto"/>
        <w:left w:val="none" w:sz="0" w:space="0" w:color="auto"/>
        <w:bottom w:val="none" w:sz="0" w:space="0" w:color="auto"/>
        <w:right w:val="none" w:sz="0" w:space="0" w:color="auto"/>
      </w:divBdr>
    </w:div>
    <w:div w:id="1007905309">
      <w:bodyDiv w:val="1"/>
      <w:marLeft w:val="0"/>
      <w:marRight w:val="0"/>
      <w:marTop w:val="0"/>
      <w:marBottom w:val="0"/>
      <w:divBdr>
        <w:top w:val="none" w:sz="0" w:space="0" w:color="auto"/>
        <w:left w:val="none" w:sz="0" w:space="0" w:color="auto"/>
        <w:bottom w:val="none" w:sz="0" w:space="0" w:color="auto"/>
        <w:right w:val="none" w:sz="0" w:space="0" w:color="auto"/>
      </w:divBdr>
    </w:div>
    <w:div w:id="1065834945">
      <w:bodyDiv w:val="1"/>
      <w:marLeft w:val="0"/>
      <w:marRight w:val="0"/>
      <w:marTop w:val="0"/>
      <w:marBottom w:val="0"/>
      <w:divBdr>
        <w:top w:val="none" w:sz="0" w:space="0" w:color="auto"/>
        <w:left w:val="none" w:sz="0" w:space="0" w:color="auto"/>
        <w:bottom w:val="none" w:sz="0" w:space="0" w:color="auto"/>
        <w:right w:val="none" w:sz="0" w:space="0" w:color="auto"/>
      </w:divBdr>
    </w:div>
    <w:div w:id="1155604525">
      <w:bodyDiv w:val="1"/>
      <w:marLeft w:val="0"/>
      <w:marRight w:val="0"/>
      <w:marTop w:val="0"/>
      <w:marBottom w:val="0"/>
      <w:divBdr>
        <w:top w:val="none" w:sz="0" w:space="0" w:color="auto"/>
        <w:left w:val="none" w:sz="0" w:space="0" w:color="auto"/>
        <w:bottom w:val="none" w:sz="0" w:space="0" w:color="auto"/>
        <w:right w:val="none" w:sz="0" w:space="0" w:color="auto"/>
      </w:divBdr>
    </w:div>
    <w:div w:id="1193107567">
      <w:bodyDiv w:val="1"/>
      <w:marLeft w:val="0"/>
      <w:marRight w:val="0"/>
      <w:marTop w:val="0"/>
      <w:marBottom w:val="0"/>
      <w:divBdr>
        <w:top w:val="none" w:sz="0" w:space="0" w:color="auto"/>
        <w:left w:val="none" w:sz="0" w:space="0" w:color="auto"/>
        <w:bottom w:val="none" w:sz="0" w:space="0" w:color="auto"/>
        <w:right w:val="none" w:sz="0" w:space="0" w:color="auto"/>
      </w:divBdr>
    </w:div>
    <w:div w:id="1212503213">
      <w:bodyDiv w:val="1"/>
      <w:marLeft w:val="0"/>
      <w:marRight w:val="0"/>
      <w:marTop w:val="0"/>
      <w:marBottom w:val="0"/>
      <w:divBdr>
        <w:top w:val="none" w:sz="0" w:space="0" w:color="auto"/>
        <w:left w:val="none" w:sz="0" w:space="0" w:color="auto"/>
        <w:bottom w:val="none" w:sz="0" w:space="0" w:color="auto"/>
        <w:right w:val="none" w:sz="0" w:space="0" w:color="auto"/>
      </w:divBdr>
    </w:div>
    <w:div w:id="1239436855">
      <w:bodyDiv w:val="1"/>
      <w:marLeft w:val="0"/>
      <w:marRight w:val="0"/>
      <w:marTop w:val="0"/>
      <w:marBottom w:val="0"/>
      <w:divBdr>
        <w:top w:val="none" w:sz="0" w:space="0" w:color="auto"/>
        <w:left w:val="none" w:sz="0" w:space="0" w:color="auto"/>
        <w:bottom w:val="none" w:sz="0" w:space="0" w:color="auto"/>
        <w:right w:val="none" w:sz="0" w:space="0" w:color="auto"/>
      </w:divBdr>
    </w:div>
    <w:div w:id="1314868254">
      <w:bodyDiv w:val="1"/>
      <w:marLeft w:val="0"/>
      <w:marRight w:val="0"/>
      <w:marTop w:val="0"/>
      <w:marBottom w:val="0"/>
      <w:divBdr>
        <w:top w:val="none" w:sz="0" w:space="0" w:color="auto"/>
        <w:left w:val="none" w:sz="0" w:space="0" w:color="auto"/>
        <w:bottom w:val="none" w:sz="0" w:space="0" w:color="auto"/>
        <w:right w:val="none" w:sz="0" w:space="0" w:color="auto"/>
      </w:divBdr>
    </w:div>
    <w:div w:id="1423377624">
      <w:bodyDiv w:val="1"/>
      <w:marLeft w:val="0"/>
      <w:marRight w:val="0"/>
      <w:marTop w:val="0"/>
      <w:marBottom w:val="0"/>
      <w:divBdr>
        <w:top w:val="none" w:sz="0" w:space="0" w:color="auto"/>
        <w:left w:val="none" w:sz="0" w:space="0" w:color="auto"/>
        <w:bottom w:val="none" w:sz="0" w:space="0" w:color="auto"/>
        <w:right w:val="none" w:sz="0" w:space="0" w:color="auto"/>
      </w:divBdr>
    </w:div>
    <w:div w:id="1506936134">
      <w:bodyDiv w:val="1"/>
      <w:marLeft w:val="0"/>
      <w:marRight w:val="0"/>
      <w:marTop w:val="0"/>
      <w:marBottom w:val="0"/>
      <w:divBdr>
        <w:top w:val="none" w:sz="0" w:space="0" w:color="auto"/>
        <w:left w:val="none" w:sz="0" w:space="0" w:color="auto"/>
        <w:bottom w:val="none" w:sz="0" w:space="0" w:color="auto"/>
        <w:right w:val="none" w:sz="0" w:space="0" w:color="auto"/>
      </w:divBdr>
    </w:div>
    <w:div w:id="1610159013">
      <w:bodyDiv w:val="1"/>
      <w:marLeft w:val="0"/>
      <w:marRight w:val="0"/>
      <w:marTop w:val="0"/>
      <w:marBottom w:val="0"/>
      <w:divBdr>
        <w:top w:val="none" w:sz="0" w:space="0" w:color="auto"/>
        <w:left w:val="none" w:sz="0" w:space="0" w:color="auto"/>
        <w:bottom w:val="none" w:sz="0" w:space="0" w:color="auto"/>
        <w:right w:val="none" w:sz="0" w:space="0" w:color="auto"/>
      </w:divBdr>
    </w:div>
    <w:div w:id="1613786888">
      <w:bodyDiv w:val="1"/>
      <w:marLeft w:val="0"/>
      <w:marRight w:val="0"/>
      <w:marTop w:val="0"/>
      <w:marBottom w:val="0"/>
      <w:divBdr>
        <w:top w:val="none" w:sz="0" w:space="0" w:color="auto"/>
        <w:left w:val="none" w:sz="0" w:space="0" w:color="auto"/>
        <w:bottom w:val="none" w:sz="0" w:space="0" w:color="auto"/>
        <w:right w:val="none" w:sz="0" w:space="0" w:color="auto"/>
      </w:divBdr>
    </w:div>
    <w:div w:id="1645623597">
      <w:bodyDiv w:val="1"/>
      <w:marLeft w:val="0"/>
      <w:marRight w:val="0"/>
      <w:marTop w:val="0"/>
      <w:marBottom w:val="0"/>
      <w:divBdr>
        <w:top w:val="none" w:sz="0" w:space="0" w:color="auto"/>
        <w:left w:val="none" w:sz="0" w:space="0" w:color="auto"/>
        <w:bottom w:val="none" w:sz="0" w:space="0" w:color="auto"/>
        <w:right w:val="none" w:sz="0" w:space="0" w:color="auto"/>
      </w:divBdr>
    </w:div>
    <w:div w:id="1838377474">
      <w:bodyDiv w:val="1"/>
      <w:marLeft w:val="0"/>
      <w:marRight w:val="0"/>
      <w:marTop w:val="0"/>
      <w:marBottom w:val="0"/>
      <w:divBdr>
        <w:top w:val="none" w:sz="0" w:space="0" w:color="auto"/>
        <w:left w:val="none" w:sz="0" w:space="0" w:color="auto"/>
        <w:bottom w:val="none" w:sz="0" w:space="0" w:color="auto"/>
        <w:right w:val="none" w:sz="0" w:space="0" w:color="auto"/>
      </w:divBdr>
    </w:div>
    <w:div w:id="1971740812">
      <w:bodyDiv w:val="1"/>
      <w:marLeft w:val="0"/>
      <w:marRight w:val="0"/>
      <w:marTop w:val="0"/>
      <w:marBottom w:val="0"/>
      <w:divBdr>
        <w:top w:val="none" w:sz="0" w:space="0" w:color="auto"/>
        <w:left w:val="none" w:sz="0" w:space="0" w:color="auto"/>
        <w:bottom w:val="none" w:sz="0" w:space="0" w:color="auto"/>
        <w:right w:val="none" w:sz="0" w:space="0" w:color="auto"/>
      </w:divBdr>
    </w:div>
    <w:div w:id="212410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78" Type="http://schemas.microsoft.com/office/2016/09/relationships/commentsIds" Target="commentsIds.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44546A"/>
      </a:dk2>
      <a:lt2>
        <a:srgbClr val="E7E6E6"/>
      </a:lt2>
      <a:accent1>
        <a:srgbClr val="E2A100"/>
      </a:accent1>
      <a:accent2>
        <a:srgbClr val="5CBCAB"/>
      </a:accent2>
      <a:accent3>
        <a:srgbClr val="6F6F6E"/>
      </a:accent3>
      <a:accent4>
        <a:srgbClr val="DD616D"/>
      </a:accent4>
      <a:accent5>
        <a:srgbClr val="BCF478"/>
      </a:accent5>
      <a:accent6>
        <a:srgbClr val="954F72"/>
      </a:accent6>
      <a:hlink>
        <a:srgbClr val="0563C1"/>
      </a:hlink>
      <a:folHlink>
        <a:srgbClr val="00B0F0"/>
      </a:folHlink>
    </a:clrScheme>
    <a:fontScheme name="Aequales">
      <a:majorFont>
        <a:latin typeface="Bryant Pro Medium"/>
        <a:ea typeface=""/>
        <a:cs typeface=""/>
      </a:majorFont>
      <a:minorFont>
        <a:latin typeface="Bryant Pro Regula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Ofi</b:Tag>
    <b:SourceType>InternetSite</b:SourceType>
    <b:Guid>{643A57D3-A449-49D9-A29B-ABA8FFC378F3}</b:Guid>
    <b:URL>http://www.un.org/womenwatch/osagi/conceptsandefinitions.htm</b:URL>
    <b:Author>
      <b:Author>
        <b:Corporate>Oficina del Asesor Especial en Cuestiones de Género y Adelanto de la Mujer (OSAGI) </b:Corporate>
      </b:Author>
    </b:Author>
    <b:RefOrder>5</b:RefOrder>
  </b:Source>
  <b:Source>
    <b:Tag>Lor</b:Tag>
    <b:SourceType>ElectronicSource</b:SourceType>
    <b:Guid>{4EF28F5E-B6BF-46EA-861A-D5F824FE929C}</b:Guid>
    <b:Title>De qué forma la diversidad laboral crea equipos más innovadores</b:Title>
    <b:URL>https://www.ted.com/talks/rocio_lorenzo_want_a_more_innovative_company_hire_more_women/up-next?amp=aPa5ppExCkiVk&amp;amp_network=FACEBOOKPAGE&amp;utm_medium=social&amp;utm_source=amplify&amp;language=es</b:URL>
    <b:Author>
      <b:Author>
        <b:NameList>
          <b:Person>
            <b:Last>Lorenzo</b:Last>
            <b:First>Rocío</b:First>
          </b:Person>
          <b:Person>
            <b:Last>Universidad Técnica de Munich</b:Last>
          </b:Person>
        </b:NameList>
      </b:Author>
    </b:Author>
    <b:RefOrder>1</b:RefOrder>
  </b:Source>
  <b:Source>
    <b:Tag>Nol161</b:Tag>
    <b:SourceType>JournalArticle</b:SourceType>
    <b:Guid>{0726C6FA-9AE3-437C-B7A2-BEC465DE7A1A}</b:Guid>
    <b:Title>Is Gender Divesity Profitable? Evidence from a Global Survey</b:Title>
    <b:Year>2016</b:Year>
    <b:JournalName>Peterson Institute for Intenational Economics Working Paper No. 16-3.</b:JournalName>
    <b:Author>
      <b:Author>
        <b:NameList>
          <b:Person>
            <b:Last>Noland</b:Last>
            <b:First>Marcus</b:First>
          </b:Person>
          <b:Person>
            <b:Last>Moran</b:Last>
            <b:First>Taylor</b:First>
          </b:Person>
          <b:Person>
            <b:Last>Kotschwar</b:Last>
            <b:First>Barbara</b:First>
          </b:Person>
        </b:NameList>
      </b:Author>
    </b:Author>
    <b:URL>https://ssrn.com/abstract=2729348</b:URL>
    <b:RefOrder>2</b:RefOrder>
  </b:Source>
  <b:Source>
    <b:Tag>McK18</b:Tag>
    <b:SourceType>Report</b:SourceType>
    <b:Guid>{EFBE91CB-12B5-4E7D-99E9-CB286343C614}</b:Guid>
    <b:Title>Delivering through Diversity</b:Title>
    <b:Year>2018</b:Year>
    <b:Author>
      <b:Author>
        <b:Corporate>McKinsey&amp;Company</b:Corporate>
      </b:Author>
    </b:Author>
    <b:RefOrder>3</b:RefOrder>
  </b:Source>
  <b:Source>
    <b:Tag>The17</b:Tag>
    <b:SourceType>Report</b:SourceType>
    <b:Guid>{52B74360-3840-4A27-89A0-731354A63B8C}</b:Guid>
    <b:Author>
      <b:Author>
        <b:Corporate>The Boston Consulting Group</b:Corporate>
      </b:Author>
    </b:Author>
    <b:Title>Dispelling the Myths of the Gender "Ambition Gap"</b:Title>
    <b:Year>2017</b:Year>
    <b:RefOrder>4</b:RefOrder>
  </b:Source>
  <b:Source>
    <b:Tag>acc18</b:Tag>
    <b:SourceType>Report</b:SourceType>
    <b:Guid>{5183E848-57F7-481A-BFA8-32FD939CD2AE}</b:Guid>
    <b:Author>
      <b:Author>
        <b:Corporate>Accenture</b:Corporate>
      </b:Author>
    </b:Author>
    <b:Title>WHEN SHE RISES, WE ALL RISE</b:Title>
    <b:Year>2018</b:Year>
    <b:RefOrder>6</b:RefOrder>
  </b:Source>
</b:Sources>
</file>

<file path=customXml/itemProps1.xml><?xml version="1.0" encoding="utf-8"?>
<ds:datastoreItem xmlns:ds="http://schemas.openxmlformats.org/officeDocument/2006/customXml" ds:itemID="{376CF9FA-59FA-470C-87E9-1A41E6A37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Amparo García</cp:lastModifiedBy>
  <cp:revision>7</cp:revision>
  <dcterms:created xsi:type="dcterms:W3CDTF">2018-07-06T21:06:00Z</dcterms:created>
  <dcterms:modified xsi:type="dcterms:W3CDTF">2018-07-07T04:39:00Z</dcterms:modified>
</cp:coreProperties>
</file>