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44"/>
        </w:rPr>
        <w:t>INFORME TÉCNICO EXHAUSTIVO: CICLO DE VIDA DEVOPS EN 8 FASES</w:t>
      </w:r>
    </w:p>
    <w:p>
      <w:pPr>
        <w:spacing w:before="0" w:after="240"/>
      </w:pPr>
      <w:r>
        <w:rPr>
          <w:rFonts w:ascii="Calibri" w:hAnsi="Calibri"/>
          <w:i/>
          <w:color w:val="0D7685"/>
          <w:sz w:val="24"/>
        </w:rPr>
        <w:t>Proyecto SeniorAssist – Asistente Autónomo por Voz y Tutor para Adultos Mayores</w:t>
      </w:r>
    </w:p>
    <w:tbl>
      <w:tblPr>
        <w:tblW w:type="auto" w:w="0"/>
        <w:jc w:val="center"/>
        <w:tblLayout w:type="fixed"/>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4824"/>
        <w:gridCol w:w="4824"/>
      </w:tblGrid>
      <w:tr>
        <w:tc>
          <w:tcPr>
            <w:tcW w:type="dxa" w:w="3168"/>
            <w:shd w:fill="EDF2F7"/>
            <w:tcMar>
              <w:top w:w="60" w:type="dxa"/>
              <w:bottom w:w="60" w:type="dxa"/>
              <w:left w:w="100" w:type="dxa"/>
              <w:right w:w="100" w:type="dxa"/>
            </w:tcMar>
          </w:tcPr>
          <w:p>
            <w:pPr>
              <w:spacing w:after="0"/>
            </w:pPr>
            <w:r>
              <w:rPr>
                <w:b/>
                <w:color w:val="1A365D"/>
                <w:sz w:val="19"/>
              </w:rPr>
              <w:t>Institución Educativa:</w:t>
            </w:r>
          </w:p>
        </w:tc>
        <w:tc>
          <w:tcPr>
            <w:tcW w:type="dxa" w:w="6480"/>
            <w:shd w:fill="F8FAFC"/>
            <w:tcMar>
              <w:top w:w="60" w:type="dxa"/>
              <w:bottom w:w="60" w:type="dxa"/>
              <w:left w:w="100" w:type="dxa"/>
              <w:right w:w="100" w:type="dxa"/>
            </w:tcMar>
          </w:tcPr>
          <w:p>
            <w:pPr>
              <w:spacing w:after="0"/>
            </w:pPr>
            <w:r>
              <w:rPr>
                <w:color w:val="2D3748"/>
                <w:sz w:val="19"/>
              </w:rPr>
              <w:t>Unidades Tecnológicas de Santander (UTS)</w:t>
            </w:r>
          </w:p>
        </w:tc>
      </w:tr>
      <w:tr>
        <w:tc>
          <w:tcPr>
            <w:tcW w:type="dxa" w:w="3168"/>
            <w:shd w:fill="EDF2F7"/>
            <w:tcMar>
              <w:top w:w="60" w:type="dxa"/>
              <w:bottom w:w="60" w:type="dxa"/>
              <w:left w:w="100" w:type="dxa"/>
              <w:right w:w="100" w:type="dxa"/>
            </w:tcMar>
          </w:tcPr>
          <w:p>
            <w:pPr>
              <w:spacing w:after="0"/>
            </w:pPr>
            <w:r>
              <w:rPr>
                <w:b/>
                <w:color w:val="1A365D"/>
                <w:sz w:val="19"/>
              </w:rPr>
              <w:t>Asignatura / Semestre:</w:t>
            </w:r>
          </w:p>
        </w:tc>
        <w:tc>
          <w:tcPr>
            <w:tcW w:type="dxa" w:w="6480"/>
            <w:shd w:fill="F8FAFC"/>
            <w:tcMar>
              <w:top w:w="60" w:type="dxa"/>
              <w:bottom w:w="60" w:type="dxa"/>
              <w:left w:w="100" w:type="dxa"/>
              <w:right w:w="100" w:type="dxa"/>
            </w:tcMar>
          </w:tcPr>
          <w:p>
            <w:pPr>
              <w:spacing w:after="0"/>
            </w:pPr>
            <w:r>
              <w:rPr>
                <w:color w:val="2D3748"/>
                <w:sz w:val="19"/>
              </w:rPr>
              <w:t>Nuevas Tecnologías de Desarrollo – 6° Semestre</w:t>
            </w:r>
          </w:p>
        </w:tc>
      </w:tr>
      <w:tr>
        <w:tc>
          <w:tcPr>
            <w:tcW w:type="dxa" w:w="3168"/>
            <w:shd w:fill="EDF2F7"/>
            <w:tcMar>
              <w:top w:w="60" w:type="dxa"/>
              <w:bottom w:w="60" w:type="dxa"/>
              <w:left w:w="100" w:type="dxa"/>
              <w:right w:w="100" w:type="dxa"/>
            </w:tcMar>
          </w:tcPr>
          <w:p>
            <w:pPr>
              <w:spacing w:after="0"/>
            </w:pPr>
            <w:r>
              <w:rPr>
                <w:b/>
                <w:color w:val="1A365D"/>
                <w:sz w:val="19"/>
              </w:rPr>
              <w:t>Equipo de Desarrollo:</w:t>
            </w:r>
          </w:p>
        </w:tc>
        <w:tc>
          <w:tcPr>
            <w:tcW w:type="dxa" w:w="6480"/>
            <w:shd w:fill="F8FAFC"/>
            <w:tcMar>
              <w:top w:w="60" w:type="dxa"/>
              <w:bottom w:w="60" w:type="dxa"/>
              <w:left w:w="100" w:type="dxa"/>
              <w:right w:w="100" w:type="dxa"/>
            </w:tcMar>
          </w:tcPr>
          <w:p>
            <w:pPr>
              <w:spacing w:after="0"/>
            </w:pPr>
            <w:r>
              <w:rPr>
                <w:color w:val="2D3748"/>
                <w:sz w:val="19"/>
              </w:rPr>
              <w:t>SeniorAssist DevOps Engineering Team</w:t>
            </w:r>
          </w:p>
        </w:tc>
      </w:tr>
      <w:tr>
        <w:tc>
          <w:tcPr>
            <w:tcW w:type="dxa" w:w="3168"/>
            <w:shd w:fill="EDF2F7"/>
            <w:tcMar>
              <w:top w:w="60" w:type="dxa"/>
              <w:bottom w:w="60" w:type="dxa"/>
              <w:left w:w="100" w:type="dxa"/>
              <w:right w:w="100" w:type="dxa"/>
            </w:tcMar>
          </w:tcPr>
          <w:p>
            <w:pPr>
              <w:spacing w:after="0"/>
            </w:pPr>
            <w:r>
              <w:rPr>
                <w:b/>
                <w:color w:val="1A365D"/>
                <w:sz w:val="19"/>
              </w:rPr>
              <w:t>Versión del Sistema:</w:t>
            </w:r>
          </w:p>
        </w:tc>
        <w:tc>
          <w:tcPr>
            <w:tcW w:type="dxa" w:w="6480"/>
            <w:shd w:fill="F8FAFC"/>
            <w:tcMar>
              <w:top w:w="60" w:type="dxa"/>
              <w:bottom w:w="60" w:type="dxa"/>
              <w:left w:w="100" w:type="dxa"/>
              <w:right w:w="100" w:type="dxa"/>
            </w:tcMar>
          </w:tcPr>
          <w:p>
            <w:pPr>
              <w:spacing w:after="0"/>
            </w:pPr>
            <w:r>
              <w:rPr>
                <w:color w:val="2D3748"/>
                <w:sz w:val="19"/>
              </w:rPr>
              <w:t>v1.0.0 (Release Oficial de Producción)</w:t>
            </w:r>
          </w:p>
        </w:tc>
      </w:tr>
      <w:tr>
        <w:tc>
          <w:tcPr>
            <w:tcW w:type="dxa" w:w="3168"/>
            <w:shd w:fill="EDF2F7"/>
            <w:tcMar>
              <w:top w:w="60" w:type="dxa"/>
              <w:bottom w:w="60" w:type="dxa"/>
              <w:left w:w="100" w:type="dxa"/>
              <w:right w:w="100" w:type="dxa"/>
            </w:tcMar>
          </w:tcPr>
          <w:p>
            <w:pPr>
              <w:spacing w:after="0"/>
            </w:pPr>
            <w:r>
              <w:rPr>
                <w:b/>
                <w:color w:val="1A365D"/>
                <w:sz w:val="19"/>
              </w:rPr>
              <w:t>Repositorio Oficial:</w:t>
            </w:r>
          </w:p>
        </w:tc>
        <w:tc>
          <w:tcPr>
            <w:tcW w:type="dxa" w:w="6480"/>
            <w:shd w:fill="F8FAFC"/>
            <w:tcMar>
              <w:top w:w="60" w:type="dxa"/>
              <w:bottom w:w="60" w:type="dxa"/>
              <w:left w:w="100" w:type="dxa"/>
              <w:right w:w="100" w:type="dxa"/>
            </w:tcMar>
          </w:tcPr>
          <w:p>
            <w:pPr>
              <w:spacing w:after="0"/>
            </w:pPr>
            <w:r>
              <w:rPr>
                <w:color w:val="2D3748"/>
                <w:sz w:val="19"/>
              </w:rPr>
              <w:t>https://github.com/Julitosh07/SeniorAssist</w:t>
            </w:r>
          </w:p>
        </w:tc>
      </w:tr>
      <w:tr>
        <w:tc>
          <w:tcPr>
            <w:tcW w:type="dxa" w:w="3168"/>
            <w:shd w:fill="EDF2F7"/>
            <w:tcMar>
              <w:top w:w="60" w:type="dxa"/>
              <w:bottom w:w="60" w:type="dxa"/>
              <w:left w:w="100" w:type="dxa"/>
              <w:right w:w="100" w:type="dxa"/>
            </w:tcMar>
          </w:tcPr>
          <w:p>
            <w:pPr>
              <w:spacing w:after="0"/>
            </w:pPr>
            <w:r>
              <w:rPr>
                <w:b/>
                <w:color w:val="1A365D"/>
                <w:sz w:val="19"/>
              </w:rPr>
              <w:t>Backend en Producción:</w:t>
            </w:r>
          </w:p>
        </w:tc>
        <w:tc>
          <w:tcPr>
            <w:tcW w:type="dxa" w:w="6480"/>
            <w:shd w:fill="F8FAFC"/>
            <w:tcMar>
              <w:top w:w="60" w:type="dxa"/>
              <w:bottom w:w="60" w:type="dxa"/>
              <w:left w:w="100" w:type="dxa"/>
              <w:right w:w="100" w:type="dxa"/>
            </w:tcMar>
          </w:tcPr>
          <w:p>
            <w:pPr>
              <w:spacing w:after="0"/>
            </w:pPr>
            <w:r>
              <w:rPr>
                <w:color w:val="2D3748"/>
                <w:sz w:val="19"/>
              </w:rPr>
              <w:t>https://seniorassist.onrender.com (Render Cloud PaaS)</w:t>
            </w:r>
          </w:p>
        </w:tc>
      </w:tr>
      <w:tr>
        <w:tc>
          <w:tcPr>
            <w:tcW w:type="dxa" w:w="3168"/>
            <w:shd w:fill="EDF2F7"/>
            <w:tcMar>
              <w:top w:w="60" w:type="dxa"/>
              <w:bottom w:w="60" w:type="dxa"/>
              <w:left w:w="100" w:type="dxa"/>
              <w:right w:w="100" w:type="dxa"/>
            </w:tcMar>
          </w:tcPr>
          <w:p>
            <w:pPr>
              <w:spacing w:after="0"/>
            </w:pPr>
            <w:r>
              <w:rPr>
                <w:b/>
                <w:color w:val="1A365D"/>
                <w:sz w:val="19"/>
              </w:rPr>
              <w:t>Fecha de Entrega:</w:t>
            </w:r>
          </w:p>
        </w:tc>
        <w:tc>
          <w:tcPr>
            <w:tcW w:type="dxa" w:w="6480"/>
            <w:shd w:fill="F8FAFC"/>
            <w:tcMar>
              <w:top w:w="60" w:type="dxa"/>
              <w:bottom w:w="60" w:type="dxa"/>
              <w:left w:w="100" w:type="dxa"/>
              <w:right w:w="100" w:type="dxa"/>
            </w:tcMar>
          </w:tcPr>
          <w:p>
            <w:pPr>
              <w:spacing w:after="0"/>
            </w:pPr>
            <w:r>
              <w:rPr>
                <w:color w:val="2D3748"/>
                <w:sz w:val="19"/>
              </w:rPr>
              <w:t>Octubre 2026</w:t>
            </w:r>
          </w:p>
        </w:tc>
      </w:tr>
    </w:tbl>
    <w:p>
      <w:pPr>
        <w:spacing w:after="160"/>
      </w:pPr>
    </w:p>
    <w:p>
      <w:pPr>
        <w:pStyle w:val="Heading1"/>
        <w:keepNext/>
        <w:spacing w:before="320" w:after="120"/>
      </w:pPr>
      <w:r>
        <w:rPr>
          <w:rFonts w:ascii="Calibri" w:hAnsi="Calibri"/>
          <w:b/>
          <w:color w:val="1A365D"/>
          <w:sz w:val="30"/>
        </w:rPr>
        <w:t>1. RESUMEN EJECUTIVO Y ARQUITECTURA GENERAL</w:t>
      </w:r>
    </w:p>
    <w:p>
      <w:pPr>
        <w:spacing w:after="100" w:line="276" w:lineRule="auto"/>
      </w:pPr>
      <w:r>
        <w:rPr>
          <w:rFonts w:ascii="Calibri" w:hAnsi="Calibri"/>
          <w:color w:val="2D3748"/>
          <w:sz w:val="21"/>
        </w:rPr>
        <w:t>SeniorAssist es un ecosistema de software distribuido diseñado para cerrar la brecha digital en adultos mayores. A diferencia de aplicaciones web convencionales, SeniorAssist opera como una arquitectura híbrida compuesta por: (1) un cliente móvil nativo Android de alta accesibilidad ergonómica (React Native / Expo) con capacidad Offline-First, y (2) un microservicio inteligente de procesamiento de voz y autenticación en la nube desarrollado en Python 3.10 con FastAPI y Uvicorn.</w:t>
      </w:r>
    </w:p>
    <w:p>
      <w:pPr>
        <w:spacing w:after="100" w:line="276" w:lineRule="auto"/>
      </w:pPr>
      <w:r>
        <w:rPr>
          <w:rFonts w:ascii="Calibri" w:hAnsi="Calibri"/>
          <w:color w:val="2D3748"/>
          <w:sz w:val="21"/>
        </w:rPr>
        <w:t>Para asegurar calidad, repetibilidad y alta disponibilidad en cada iteración, se implementó un Ciclo de Vida DevOps completo de 8 fases articulado bajo los principios de 'Shift-Left Security' (seguridad integrada desde el diseño) y 'Continuous Feedback' (retroalimentación continua de observabilidad hacia la planificación).</w:t>
      </w:r>
    </w:p>
    <w:p>
      <w:pPr>
        <w:pStyle w:val="Heading1"/>
        <w:keepNext/>
        <w:spacing w:before="320" w:after="120"/>
      </w:pPr>
      <w:r>
        <w:rPr>
          <w:rFonts w:ascii="Calibri" w:hAnsi="Calibri"/>
          <w:b/>
          <w:color w:val="1A365D"/>
          <w:sz w:val="30"/>
        </w:rPr>
        <w:t>2. MATRIZ RESUMEN DE LAS 8 FASES DEVOPS EN SENIORASSIST</w:t>
      </w:r>
    </w:p>
    <w:tbl>
      <w:tblPr>
        <w:tblW w:type="auto" w:w="0"/>
        <w:jc w:val="center"/>
        <w:tblLayout w:type="fixed"/>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412"/>
        <w:gridCol w:w="2412"/>
        <w:gridCol w:w="2412"/>
        <w:gridCol w:w="2412"/>
      </w:tblGrid>
      <w:tr>
        <w:tc>
          <w:tcPr>
            <w:tcW w:type="dxa" w:w="1728"/>
            <w:shd w:fill="1A365D"/>
            <w:tcMar>
              <w:top w:w="80" w:type="dxa"/>
              <w:bottom w:w="80" w:type="dxa"/>
              <w:left w:w="100" w:type="dxa"/>
              <w:right w:w="100" w:type="dxa"/>
            </w:tcMar>
          </w:tcPr>
          <w:p>
            <w:pPr>
              <w:spacing w:after="0"/>
            </w:pPr>
            <w:r>
              <w:rPr>
                <w:b/>
                <w:color w:val="FFFFFF"/>
                <w:sz w:val="19"/>
              </w:rPr>
              <w:t>Fase DevOps</w:t>
            </w:r>
          </w:p>
        </w:tc>
        <w:tc>
          <w:tcPr>
            <w:tcW w:type="dxa" w:w="2304"/>
            <w:shd w:fill="1A365D"/>
            <w:tcMar>
              <w:top w:w="80" w:type="dxa"/>
              <w:bottom w:w="80" w:type="dxa"/>
              <w:left w:w="100" w:type="dxa"/>
              <w:right w:w="100" w:type="dxa"/>
            </w:tcMar>
          </w:tcPr>
          <w:p>
            <w:pPr>
              <w:spacing w:after="0"/>
            </w:pPr>
            <w:r>
              <w:rPr>
                <w:b/>
                <w:color w:val="FFFFFF"/>
                <w:sz w:val="19"/>
              </w:rPr>
              <w:t>Herramientas</w:t>
            </w:r>
          </w:p>
        </w:tc>
        <w:tc>
          <w:tcPr>
            <w:tcW w:type="dxa" w:w="3312"/>
            <w:shd w:fill="1A365D"/>
            <w:tcMar>
              <w:top w:w="80" w:type="dxa"/>
              <w:bottom w:w="80" w:type="dxa"/>
              <w:left w:w="100" w:type="dxa"/>
              <w:right w:w="100" w:type="dxa"/>
            </w:tcMar>
          </w:tcPr>
          <w:p>
            <w:pPr>
              <w:spacing w:after="0"/>
            </w:pPr>
            <w:r>
              <w:rPr>
                <w:b/>
                <w:color w:val="FFFFFF"/>
                <w:sz w:val="19"/>
              </w:rPr>
              <w:t>Qué se Creó / Implementó</w:t>
            </w:r>
          </w:p>
        </w:tc>
        <w:tc>
          <w:tcPr>
            <w:tcW w:type="dxa" w:w="2304"/>
            <w:shd w:fill="1A365D"/>
            <w:tcMar>
              <w:top w:w="80" w:type="dxa"/>
              <w:bottom w:w="80" w:type="dxa"/>
              <w:left w:w="100" w:type="dxa"/>
              <w:right w:w="100" w:type="dxa"/>
            </w:tcMar>
          </w:tcPr>
          <w:p>
            <w:pPr>
              <w:spacing w:after="0"/>
            </w:pPr>
            <w:r>
              <w:rPr>
                <w:b/>
                <w:color w:val="FFFFFF"/>
                <w:sz w:val="19"/>
              </w:rPr>
              <w:t>Archivos Clave en Repo</w:t>
            </w:r>
          </w:p>
        </w:tc>
      </w:tr>
      <w:tr>
        <w:tc>
          <w:tcPr>
            <w:tcW w:type="dxa" w:w="1728"/>
            <w:shd w:fill="F8FAFC"/>
            <w:tcMar>
              <w:top w:w="60" w:type="dxa"/>
              <w:bottom w:w="60" w:type="dxa"/>
              <w:left w:w="100" w:type="dxa"/>
              <w:right w:w="100" w:type="dxa"/>
            </w:tcMar>
          </w:tcPr>
          <w:p>
            <w:pPr>
              <w:spacing w:after="0"/>
            </w:pPr>
            <w:r>
              <w:rPr>
                <w:b/>
                <w:color w:val="1A365D"/>
                <w:sz w:val="17"/>
              </w:rPr>
              <w:t>1. PLAN</w:t>
            </w:r>
          </w:p>
        </w:tc>
        <w:tc>
          <w:tcPr>
            <w:tcW w:type="dxa" w:w="2304"/>
            <w:shd w:fill="F8FAFC"/>
            <w:tcMar>
              <w:top w:w="60" w:type="dxa"/>
              <w:bottom w:w="60" w:type="dxa"/>
              <w:left w:w="100" w:type="dxa"/>
              <w:right w:w="100" w:type="dxa"/>
            </w:tcMar>
          </w:tcPr>
          <w:p>
            <w:pPr>
              <w:spacing w:after="0"/>
            </w:pPr>
            <w:r>
              <w:rPr>
                <w:color w:val="2D3748"/>
                <w:sz w:val="17"/>
              </w:rPr>
              <w:t>Jira, IEEE 830, WCAG AAA</w:t>
            </w:r>
          </w:p>
        </w:tc>
        <w:tc>
          <w:tcPr>
            <w:tcW w:type="dxa" w:w="3312"/>
            <w:shd w:fill="F8FAFC"/>
            <w:tcMar>
              <w:top w:w="60" w:type="dxa"/>
              <w:bottom w:w="60" w:type="dxa"/>
              <w:left w:w="100" w:type="dxa"/>
              <w:right w:w="100" w:type="dxa"/>
            </w:tcMar>
          </w:tcPr>
          <w:p>
            <w:pPr>
              <w:spacing w:after="0"/>
            </w:pPr>
            <w:r>
              <w:rPr>
                <w:color w:val="2D3748"/>
                <w:sz w:val="17"/>
              </w:rPr>
              <w:t>Requisitos RF01-RF11, lista blanca estricta de 16 acciones.</w:t>
            </w:r>
          </w:p>
        </w:tc>
        <w:tc>
          <w:tcPr>
            <w:tcW w:type="dxa" w:w="2304"/>
            <w:shd w:fill="F8FAFC"/>
            <w:tcMar>
              <w:top w:w="60" w:type="dxa"/>
              <w:bottom w:w="60" w:type="dxa"/>
              <w:left w:w="100" w:type="dxa"/>
              <w:right w:w="100" w:type="dxa"/>
            </w:tcMar>
          </w:tcPr>
          <w:p>
            <w:pPr>
              <w:spacing w:after="0"/>
            </w:pPr>
            <w:r>
              <w:rPr>
                <w:color w:val="2D3748"/>
                <w:sz w:val="17"/>
              </w:rPr>
              <w:t>src/constants/actions.ts</w:t>
              <w:br/>
              <w:t>CHANGELOG.md</w:t>
            </w:r>
          </w:p>
        </w:tc>
      </w:tr>
      <w:tr>
        <w:tc>
          <w:tcPr>
            <w:tcW w:type="dxa" w:w="1728"/>
            <w:shd w:fill="FFFFFF"/>
            <w:tcMar>
              <w:top w:w="60" w:type="dxa"/>
              <w:bottom w:w="60" w:type="dxa"/>
              <w:left w:w="100" w:type="dxa"/>
              <w:right w:w="100" w:type="dxa"/>
            </w:tcMar>
          </w:tcPr>
          <w:p>
            <w:pPr>
              <w:spacing w:after="0"/>
            </w:pPr>
            <w:r>
              <w:rPr>
                <w:b/>
                <w:color w:val="1A365D"/>
                <w:sz w:val="17"/>
              </w:rPr>
              <w:t>2. CODE</w:t>
            </w:r>
          </w:p>
        </w:tc>
        <w:tc>
          <w:tcPr>
            <w:tcW w:type="dxa" w:w="2304"/>
            <w:shd w:fill="FFFFFF"/>
            <w:tcMar>
              <w:top w:w="60" w:type="dxa"/>
              <w:bottom w:w="60" w:type="dxa"/>
              <w:left w:w="100" w:type="dxa"/>
              <w:right w:w="100" w:type="dxa"/>
            </w:tcMar>
          </w:tcPr>
          <w:p>
            <w:pPr>
              <w:spacing w:after="0"/>
            </w:pPr>
            <w:r>
              <w:rPr>
                <w:color w:val="2D3748"/>
                <w:sz w:val="17"/>
              </w:rPr>
              <w:t>TypeScript, React Native, Python, FastAPI, Git</w:t>
            </w:r>
          </w:p>
        </w:tc>
        <w:tc>
          <w:tcPr>
            <w:tcW w:type="dxa" w:w="3312"/>
            <w:shd w:fill="FFFFFF"/>
            <w:tcMar>
              <w:top w:w="60" w:type="dxa"/>
              <w:bottom w:w="60" w:type="dxa"/>
              <w:left w:w="100" w:type="dxa"/>
              <w:right w:w="100" w:type="dxa"/>
            </w:tcMar>
          </w:tcPr>
          <w:p>
            <w:pPr>
              <w:spacing w:after="0"/>
            </w:pPr>
            <w:r>
              <w:rPr>
                <w:color w:val="2D3748"/>
                <w:sz w:val="17"/>
              </w:rPr>
              <w:t>MVVM móvil, Zero-Login (JWA HS256), motor Offline-First.</w:t>
            </w:r>
          </w:p>
        </w:tc>
        <w:tc>
          <w:tcPr>
            <w:tcW w:type="dxa" w:w="2304"/>
            <w:shd w:fill="FFFFFF"/>
            <w:tcMar>
              <w:top w:w="60" w:type="dxa"/>
              <w:bottom w:w="60" w:type="dxa"/>
              <w:left w:w="100" w:type="dxa"/>
              <w:right w:w="100" w:type="dxa"/>
            </w:tcMar>
          </w:tcPr>
          <w:p>
            <w:pPr>
              <w:spacing w:after="0"/>
            </w:pPr>
            <w:r>
              <w:rPr>
                <w:color w:val="2D3748"/>
                <w:sz w:val="17"/>
              </w:rPr>
              <w:t>src/context/GlobalVoiceAssistantContext.tsx</w:t>
              <w:br/>
              <w:t>backend/app/</w:t>
            </w:r>
          </w:p>
        </w:tc>
      </w:tr>
      <w:tr>
        <w:tc>
          <w:tcPr>
            <w:tcW w:type="dxa" w:w="1728"/>
            <w:shd w:fill="F8FAFC"/>
            <w:tcMar>
              <w:top w:w="60" w:type="dxa"/>
              <w:bottom w:w="60" w:type="dxa"/>
              <w:left w:w="100" w:type="dxa"/>
              <w:right w:w="100" w:type="dxa"/>
            </w:tcMar>
          </w:tcPr>
          <w:p>
            <w:pPr>
              <w:spacing w:after="0"/>
            </w:pPr>
            <w:r>
              <w:rPr>
                <w:b/>
                <w:color w:val="1A365D"/>
                <w:sz w:val="17"/>
              </w:rPr>
              <w:t>3. BUILD</w:t>
            </w:r>
          </w:p>
        </w:tc>
        <w:tc>
          <w:tcPr>
            <w:tcW w:type="dxa" w:w="2304"/>
            <w:shd w:fill="F8FAFC"/>
            <w:tcMar>
              <w:top w:w="60" w:type="dxa"/>
              <w:bottom w:w="60" w:type="dxa"/>
              <w:left w:w="100" w:type="dxa"/>
              <w:right w:w="100" w:type="dxa"/>
            </w:tcMar>
          </w:tcPr>
          <w:p>
            <w:pPr>
              <w:spacing w:after="0"/>
            </w:pPr>
            <w:r>
              <w:rPr>
                <w:color w:val="2D3748"/>
                <w:sz w:val="17"/>
              </w:rPr>
              <w:t>Gradle, Metro Bundler, Java JDK 17, PowerShell</w:t>
            </w:r>
          </w:p>
        </w:tc>
        <w:tc>
          <w:tcPr>
            <w:tcW w:type="dxa" w:w="3312"/>
            <w:shd w:fill="F8FAFC"/>
            <w:tcMar>
              <w:top w:w="60" w:type="dxa"/>
              <w:bottom w:w="60" w:type="dxa"/>
              <w:left w:w="100" w:type="dxa"/>
              <w:right w:w="100" w:type="dxa"/>
            </w:tcMar>
          </w:tcPr>
          <w:p>
            <w:pPr>
              <w:spacing w:after="0"/>
            </w:pPr>
            <w:r>
              <w:rPr>
                <w:color w:val="2D3748"/>
                <w:sz w:val="17"/>
              </w:rPr>
              <w:t>Compilación de index.android.bundle, SeniorAssist.apk y ZIP PaaS.</w:t>
            </w:r>
          </w:p>
        </w:tc>
        <w:tc>
          <w:tcPr>
            <w:tcW w:type="dxa" w:w="2304"/>
            <w:shd w:fill="F8FAFC"/>
            <w:tcMar>
              <w:top w:w="60" w:type="dxa"/>
              <w:bottom w:w="60" w:type="dxa"/>
              <w:left w:w="100" w:type="dxa"/>
              <w:right w:w="100" w:type="dxa"/>
            </w:tcMar>
          </w:tcPr>
          <w:p>
            <w:pPr>
              <w:spacing w:after="0"/>
            </w:pPr>
            <w:r>
              <w:rPr>
                <w:color w:val="2D3748"/>
                <w:sz w:val="17"/>
              </w:rPr>
              <w:t>android/build.gradle</w:t>
              <w:br/>
              <w:t>scripts/build_standalone_apk.ps1</w:t>
            </w:r>
          </w:p>
        </w:tc>
      </w:tr>
      <w:tr>
        <w:tc>
          <w:tcPr>
            <w:tcW w:type="dxa" w:w="1728"/>
            <w:shd w:fill="FFFFFF"/>
            <w:tcMar>
              <w:top w:w="60" w:type="dxa"/>
              <w:bottom w:w="60" w:type="dxa"/>
              <w:left w:w="100" w:type="dxa"/>
              <w:right w:w="100" w:type="dxa"/>
            </w:tcMar>
          </w:tcPr>
          <w:p>
            <w:pPr>
              <w:spacing w:after="0"/>
            </w:pPr>
            <w:r>
              <w:rPr>
                <w:b/>
                <w:color w:val="1A365D"/>
                <w:sz w:val="17"/>
              </w:rPr>
              <w:t>4. TEST</w:t>
            </w:r>
          </w:p>
        </w:tc>
        <w:tc>
          <w:tcPr>
            <w:tcW w:type="dxa" w:w="2304"/>
            <w:shd w:fill="FFFFFF"/>
            <w:tcMar>
              <w:top w:w="60" w:type="dxa"/>
              <w:bottom w:w="60" w:type="dxa"/>
              <w:left w:w="100" w:type="dxa"/>
              <w:right w:w="100" w:type="dxa"/>
            </w:tcMar>
          </w:tcPr>
          <w:p>
            <w:pPr>
              <w:spacing w:after="0"/>
            </w:pPr>
            <w:r>
              <w:rPr>
                <w:color w:val="2D3748"/>
                <w:sz w:val="17"/>
              </w:rPr>
              <w:t>Pytest, TestClient, Node.js, Suite de Voz</w:t>
            </w:r>
          </w:p>
        </w:tc>
        <w:tc>
          <w:tcPr>
            <w:tcW w:type="dxa" w:w="3312"/>
            <w:shd w:fill="FFFFFF"/>
            <w:tcMar>
              <w:top w:w="60" w:type="dxa"/>
              <w:bottom w:w="60" w:type="dxa"/>
              <w:left w:w="100" w:type="dxa"/>
              <w:right w:w="100" w:type="dxa"/>
            </w:tcMar>
          </w:tcPr>
          <w:p>
            <w:pPr>
              <w:spacing w:after="0"/>
            </w:pPr>
            <w:r>
              <w:rPr>
                <w:color w:val="2D3748"/>
                <w:sz w:val="17"/>
              </w:rPr>
              <w:t>56 pruebas automáticas: 40 cliente, 8 backend/seguridad, 8 voz colombiana.</w:t>
            </w:r>
          </w:p>
        </w:tc>
        <w:tc>
          <w:tcPr>
            <w:tcW w:type="dxa" w:w="2304"/>
            <w:shd w:fill="FFFFFF"/>
            <w:tcMar>
              <w:top w:w="60" w:type="dxa"/>
              <w:bottom w:w="60" w:type="dxa"/>
              <w:left w:w="100" w:type="dxa"/>
              <w:right w:w="100" w:type="dxa"/>
            </w:tcMar>
          </w:tcPr>
          <w:p>
            <w:pPr>
              <w:spacing w:after="0"/>
            </w:pPr>
            <w:r>
              <w:rPr>
                <w:color w:val="2D3748"/>
                <w:sz w:val="17"/>
              </w:rPr>
              <w:t>backend/tests/test_api_suite.py</w:t>
              <w:br/>
              <w:t>scripts/test_voice_suite.js</w:t>
            </w:r>
          </w:p>
        </w:tc>
      </w:tr>
      <w:tr>
        <w:tc>
          <w:tcPr>
            <w:tcW w:type="dxa" w:w="1728"/>
            <w:shd w:fill="F8FAFC"/>
            <w:tcMar>
              <w:top w:w="60" w:type="dxa"/>
              <w:bottom w:w="60" w:type="dxa"/>
              <w:left w:w="100" w:type="dxa"/>
              <w:right w:w="100" w:type="dxa"/>
            </w:tcMar>
          </w:tcPr>
          <w:p>
            <w:pPr>
              <w:spacing w:after="0"/>
            </w:pPr>
            <w:r>
              <w:rPr>
                <w:b/>
                <w:color w:val="1A365D"/>
                <w:sz w:val="17"/>
              </w:rPr>
              <w:t>5. RELEASE</w:t>
            </w:r>
          </w:p>
        </w:tc>
        <w:tc>
          <w:tcPr>
            <w:tcW w:type="dxa" w:w="2304"/>
            <w:shd w:fill="F8FAFC"/>
            <w:tcMar>
              <w:top w:w="60" w:type="dxa"/>
              <w:bottom w:w="60" w:type="dxa"/>
              <w:left w:w="100" w:type="dxa"/>
              <w:right w:w="100" w:type="dxa"/>
            </w:tcMar>
          </w:tcPr>
          <w:p>
            <w:pPr>
              <w:spacing w:after="0"/>
            </w:pPr>
            <w:r>
              <w:rPr>
                <w:color w:val="2D3748"/>
                <w:sz w:val="17"/>
              </w:rPr>
              <w:t>SemVer 2.0.0, Git Tag, SHA-256 Checksums</w:t>
            </w:r>
          </w:p>
        </w:tc>
        <w:tc>
          <w:tcPr>
            <w:tcW w:type="dxa" w:w="3312"/>
            <w:shd w:fill="F8FAFC"/>
            <w:tcMar>
              <w:top w:w="60" w:type="dxa"/>
              <w:bottom w:w="60" w:type="dxa"/>
              <w:left w:w="100" w:type="dxa"/>
              <w:right w:w="100" w:type="dxa"/>
            </w:tcMar>
          </w:tcPr>
          <w:p>
            <w:pPr>
              <w:spacing w:after="0"/>
            </w:pPr>
            <w:r>
              <w:rPr>
                <w:color w:val="2D3748"/>
                <w:sz w:val="17"/>
              </w:rPr>
              <w:t>Tag v1.0.0, CHANGELOG estructurado y huella SHA-256 inmutable.</w:t>
            </w:r>
          </w:p>
        </w:tc>
        <w:tc>
          <w:tcPr>
            <w:tcW w:type="dxa" w:w="2304"/>
            <w:shd w:fill="F8FAFC"/>
            <w:tcMar>
              <w:top w:w="60" w:type="dxa"/>
              <w:bottom w:w="60" w:type="dxa"/>
              <w:left w:w="100" w:type="dxa"/>
              <w:right w:w="100" w:type="dxa"/>
            </w:tcMar>
          </w:tcPr>
          <w:p>
            <w:pPr>
              <w:spacing w:after="0"/>
            </w:pPr>
            <w:r>
              <w:rPr>
                <w:color w:val="2D3748"/>
                <w:sz w:val="17"/>
              </w:rPr>
              <w:t>CHANGELOG.md</w:t>
              <w:br/>
              <w:t>SHA256SUMS.txt</w:t>
            </w:r>
          </w:p>
        </w:tc>
      </w:tr>
      <w:tr>
        <w:tc>
          <w:tcPr>
            <w:tcW w:type="dxa" w:w="1728"/>
            <w:shd w:fill="FFFFFF"/>
            <w:tcMar>
              <w:top w:w="60" w:type="dxa"/>
              <w:bottom w:w="60" w:type="dxa"/>
              <w:left w:w="100" w:type="dxa"/>
              <w:right w:w="100" w:type="dxa"/>
            </w:tcMar>
          </w:tcPr>
          <w:p>
            <w:pPr>
              <w:spacing w:after="0"/>
            </w:pPr>
            <w:r>
              <w:rPr>
                <w:b/>
                <w:color w:val="1A365D"/>
                <w:sz w:val="17"/>
              </w:rPr>
              <w:t>6. DEPLOY (Expo)</w:t>
            </w:r>
          </w:p>
        </w:tc>
        <w:tc>
          <w:tcPr>
            <w:tcW w:type="dxa" w:w="2304"/>
            <w:shd w:fill="FFFFFF"/>
            <w:tcMar>
              <w:top w:w="60" w:type="dxa"/>
              <w:bottom w:w="60" w:type="dxa"/>
              <w:left w:w="100" w:type="dxa"/>
              <w:right w:w="100" w:type="dxa"/>
            </w:tcMar>
          </w:tcPr>
          <w:p>
            <w:pPr>
              <w:spacing w:after="0"/>
            </w:pPr>
            <w:r>
              <w:rPr>
                <w:color w:val="2D3748"/>
                <w:sz w:val="17"/>
              </w:rPr>
              <w:t>Render (PaaS), AWS Elastic Beanstalk, GitHub Releases</w:t>
            </w:r>
          </w:p>
        </w:tc>
        <w:tc>
          <w:tcPr>
            <w:tcW w:type="dxa" w:w="3312"/>
            <w:shd w:fill="FFFFFF"/>
            <w:tcMar>
              <w:top w:w="60" w:type="dxa"/>
              <w:bottom w:w="60" w:type="dxa"/>
              <w:left w:w="100" w:type="dxa"/>
              <w:right w:w="100" w:type="dxa"/>
            </w:tcMar>
          </w:tcPr>
          <w:p>
            <w:pPr>
              <w:spacing w:after="0"/>
            </w:pPr>
            <w:r>
              <w:rPr>
                <w:color w:val="2D3748"/>
                <w:sz w:val="17"/>
              </w:rPr>
              <w:t>Despliegue nativo sin Docker en Render, pipeline AWS y APK distribuido.</w:t>
            </w:r>
          </w:p>
        </w:tc>
        <w:tc>
          <w:tcPr>
            <w:tcW w:type="dxa" w:w="2304"/>
            <w:shd w:fill="FFFFFF"/>
            <w:tcMar>
              <w:top w:w="60" w:type="dxa"/>
              <w:bottom w:w="60" w:type="dxa"/>
              <w:left w:w="100" w:type="dxa"/>
              <w:right w:w="100" w:type="dxa"/>
            </w:tcMar>
          </w:tcPr>
          <w:p>
            <w:pPr>
              <w:spacing w:after="0"/>
            </w:pPr>
            <w:r>
              <w:rPr>
                <w:color w:val="2D3748"/>
                <w:sz w:val="17"/>
              </w:rPr>
              <w:t>render.yaml</w:t>
              <w:br/>
              <w:t>Procfile</w:t>
              <w:br/>
              <w:t>DEPLOYMENT_DEFENSE_GUIDE.md</w:t>
            </w:r>
          </w:p>
        </w:tc>
      </w:tr>
      <w:tr>
        <w:tc>
          <w:tcPr>
            <w:tcW w:type="dxa" w:w="1728"/>
            <w:shd w:fill="F8FAFC"/>
            <w:tcMar>
              <w:top w:w="60" w:type="dxa"/>
              <w:bottom w:w="60" w:type="dxa"/>
              <w:left w:w="100" w:type="dxa"/>
              <w:right w:w="100" w:type="dxa"/>
            </w:tcMar>
          </w:tcPr>
          <w:p>
            <w:pPr>
              <w:spacing w:after="0"/>
            </w:pPr>
            <w:r>
              <w:rPr>
                <w:b/>
                <w:color w:val="1A365D"/>
                <w:sz w:val="17"/>
              </w:rPr>
              <w:t>7. OPERATE</w:t>
            </w:r>
          </w:p>
        </w:tc>
        <w:tc>
          <w:tcPr>
            <w:tcW w:type="dxa" w:w="2304"/>
            <w:shd w:fill="F8FAFC"/>
            <w:tcMar>
              <w:top w:w="60" w:type="dxa"/>
              <w:bottom w:w="60" w:type="dxa"/>
              <w:left w:w="100" w:type="dxa"/>
              <w:right w:w="100" w:type="dxa"/>
            </w:tcMar>
          </w:tcPr>
          <w:p>
            <w:pPr>
              <w:spacing w:after="0"/>
            </w:pPr>
            <w:r>
              <w:rPr>
                <w:color w:val="2D3748"/>
                <w:sz w:val="17"/>
              </w:rPr>
              <w:t>Ansible, Systemd, Nginx, Linux Daemons</w:t>
            </w:r>
          </w:p>
        </w:tc>
        <w:tc>
          <w:tcPr>
            <w:tcW w:type="dxa" w:w="3312"/>
            <w:shd w:fill="F8FAFC"/>
            <w:tcMar>
              <w:top w:w="60" w:type="dxa"/>
              <w:bottom w:w="60" w:type="dxa"/>
              <w:left w:w="100" w:type="dxa"/>
              <w:right w:w="100" w:type="dxa"/>
            </w:tcMar>
          </w:tcPr>
          <w:p>
            <w:pPr>
              <w:spacing w:after="0"/>
            </w:pPr>
            <w:r>
              <w:rPr>
                <w:color w:val="2D3748"/>
                <w:sz w:val="17"/>
              </w:rPr>
              <w:t>Aprovisionamiento automatizado, auto-reinicio Systemd &lt;1s y proxy SSL.</w:t>
            </w:r>
          </w:p>
        </w:tc>
        <w:tc>
          <w:tcPr>
            <w:tcW w:type="dxa" w:w="2304"/>
            <w:shd w:fill="F8FAFC"/>
            <w:tcMar>
              <w:top w:w="60" w:type="dxa"/>
              <w:bottom w:w="60" w:type="dxa"/>
              <w:left w:w="100" w:type="dxa"/>
              <w:right w:w="100" w:type="dxa"/>
            </w:tcMar>
          </w:tcPr>
          <w:p>
            <w:pPr>
              <w:spacing w:after="0"/>
            </w:pPr>
            <w:r>
              <w:rPr>
                <w:color w:val="2D3748"/>
                <w:sz w:val="17"/>
              </w:rPr>
              <w:t>ansible/playbook_operate.yml</w:t>
              <w:br/>
              <w:t>ansible/templates/</w:t>
            </w:r>
          </w:p>
        </w:tc>
      </w:tr>
      <w:tr>
        <w:tc>
          <w:tcPr>
            <w:tcW w:type="dxa" w:w="1728"/>
            <w:shd w:fill="FFFFFF"/>
            <w:tcMar>
              <w:top w:w="60" w:type="dxa"/>
              <w:bottom w:w="60" w:type="dxa"/>
              <w:left w:w="100" w:type="dxa"/>
              <w:right w:w="100" w:type="dxa"/>
            </w:tcMar>
          </w:tcPr>
          <w:p>
            <w:pPr>
              <w:spacing w:after="0"/>
            </w:pPr>
            <w:r>
              <w:rPr>
                <w:b/>
                <w:color w:val="1A365D"/>
                <w:sz w:val="17"/>
              </w:rPr>
              <w:t>8. MONITOR</w:t>
            </w:r>
          </w:p>
        </w:tc>
        <w:tc>
          <w:tcPr>
            <w:tcW w:type="dxa" w:w="2304"/>
            <w:shd w:fill="FFFFFF"/>
            <w:tcMar>
              <w:top w:w="60" w:type="dxa"/>
              <w:bottom w:w="60" w:type="dxa"/>
              <w:left w:w="100" w:type="dxa"/>
              <w:right w:w="100" w:type="dxa"/>
            </w:tcMar>
          </w:tcPr>
          <w:p>
            <w:pPr>
              <w:spacing w:after="0"/>
            </w:pPr>
            <w:r>
              <w:rPr>
                <w:color w:val="2D3748"/>
                <w:sz w:val="17"/>
              </w:rPr>
              <w:t>Datadog APM, CloudWatch, Prometheus, Telemetry</w:t>
            </w:r>
          </w:p>
        </w:tc>
        <w:tc>
          <w:tcPr>
            <w:tcW w:type="dxa" w:w="3312"/>
            <w:shd w:fill="FFFFFF"/>
            <w:tcMar>
              <w:top w:w="60" w:type="dxa"/>
              <w:bottom w:w="60" w:type="dxa"/>
              <w:left w:w="100" w:type="dxa"/>
              <w:right w:w="100" w:type="dxa"/>
            </w:tcMar>
          </w:tcPr>
          <w:p>
            <w:pPr>
              <w:spacing w:after="0"/>
            </w:pPr>
            <w:r>
              <w:rPr>
                <w:color w:val="2D3748"/>
                <w:sz w:val="17"/>
              </w:rPr>
              <w:t>Endpoints /monitoring/metrics, alarmas latencia &lt;2s y bucle a PLAN.</w:t>
            </w:r>
          </w:p>
        </w:tc>
        <w:tc>
          <w:tcPr>
            <w:tcW w:type="dxa" w:w="2304"/>
            <w:shd w:fill="FFFFFF"/>
            <w:tcMar>
              <w:top w:w="60" w:type="dxa"/>
              <w:bottom w:w="60" w:type="dxa"/>
              <w:left w:w="100" w:type="dxa"/>
              <w:right w:w="100" w:type="dxa"/>
            </w:tcMar>
          </w:tcPr>
          <w:p>
            <w:pPr>
              <w:spacing w:after="0"/>
            </w:pPr>
            <w:r>
              <w:rPr>
                <w:color w:val="2D3748"/>
                <w:sz w:val="17"/>
              </w:rPr>
              <w:t>backend/app/routers/monitoring.py</w:t>
              <w:br/>
              <w:t>MonitoringService.ts</w:t>
            </w:r>
          </w:p>
        </w:tc>
      </w:tr>
    </w:tbl>
    <w:p>
      <w:pPr>
        <w:spacing w:after="160"/>
      </w:pPr>
    </w:p>
    <w:p>
      <w:pPr>
        <w:pStyle w:val="Heading1"/>
        <w:keepNext/>
        <w:spacing w:before="320" w:after="120"/>
      </w:pPr>
      <w:r>
        <w:rPr>
          <w:rFonts w:ascii="Calibri" w:hAnsi="Calibri"/>
          <w:b/>
          <w:color w:val="1A365D"/>
          <w:sz w:val="30"/>
        </w:rPr>
        <w:t>FASE 1: PLAN (PLANIFICACIÓN Y REQUISITOS)</w:t>
      </w:r>
    </w:p>
    <w:p>
      <w:pPr>
        <w:spacing w:after="100" w:line="276" w:lineRule="auto"/>
      </w:pPr>
      <w:r>
        <w:rPr>
          <w:rFonts w:ascii="Calibri" w:hAnsi="Calibri"/>
          <w:color w:val="2D3748"/>
          <w:sz w:val="21"/>
        </w:rPr>
        <w:t>Se definieron 11 Requerimientos Funcionales (RF01 a RF11) bajo el estándar IEEE 830-1998 y pautas de accesibilidad WCAG 2.1 nivel AAA para personas de la tercera edad. Se aplicó Shift-Left Security definiendo la lista blanca estricta de 16 acciones autorizadas (ALLOWED_ACTIONS) para prevenir que la IA o la voz ejecuten comandos destructivos.</w:t>
      </w:r>
    </w:p>
    <w:p>
      <w:pPr>
        <w:spacing w:after="100" w:line="276" w:lineRule="auto"/>
      </w:pPr>
      <w:r>
        <w:rPr>
          <w:rFonts w:ascii="Calibri" w:hAnsi="Calibri"/>
          <w:b/>
          <w:color w:val="1A365D"/>
          <w:sz w:val="21"/>
        </w:rPr>
        <w:t xml:space="preserve">Herramientas Utilizadas: </w:t>
      </w:r>
      <w:r>
        <w:rPr>
          <w:rFonts w:ascii="Calibri" w:hAnsi="Calibri"/>
          <w:color w:val="2D3748"/>
          <w:sz w:val="21"/>
        </w:rPr>
        <w:t>Jira / GitHub Projects (gestión de sprints), WCAG 2.1 AAA Contrast Checker (contraste &gt;= 7:1 y botones &gt;= 64dp), Diagramas C4/UML.</w:t>
      </w:r>
    </w:p>
    <w:p>
      <w:pPr>
        <w:spacing w:after="40"/>
      </w:pPr>
    </w:p>
    <w:p>
      <w:pPr>
        <w:spacing w:after="40"/>
      </w:pPr>
      <w:r>
        <w:rPr>
          <w:b/>
          <w:color w:val="1A365D"/>
          <w:sz w:val="21"/>
        </w:rPr>
        <w:t>Qué se Creó y se Modificó:</w:t>
      </w:r>
    </w:p>
    <w:p>
      <w:pPr>
        <w:pStyle w:val="ListBullet"/>
        <w:spacing w:after="60" w:line="276" w:lineRule="auto"/>
      </w:pPr>
      <w:r>
        <w:rPr>
          <w:rFonts w:ascii="Calibri" w:hAnsi="Calibri"/>
          <w:color w:val="2D3748"/>
          <w:sz w:val="21"/>
        </w:rPr>
        <w:t>src/constants/actions.ts: Declaración del enum tipado AllowedActionType y lista blanca estricta ALLOWED_ACTIONS (CALL_CONTACT, SEND_WHATSAPP, CREATE_ALARM, TRIGGER_SOS, etc.).</w:t>
      </w:r>
    </w:p>
    <w:p>
      <w:pPr>
        <w:pStyle w:val="ListBullet"/>
        <w:spacing w:after="60" w:line="276" w:lineRule="auto"/>
      </w:pPr>
      <w:r>
        <w:rPr>
          <w:rFonts w:ascii="Calibri" w:hAnsi="Calibri"/>
          <w:color w:val="2D3748"/>
          <w:sz w:val="21"/>
        </w:rPr>
        <w:t>CHANGELOG.md: Documentación de los requerimientos RF01-RF11 y matriz de diseño accesible.</w:t>
      </w:r>
    </w:p>
    <w:p>
      <w:pPr>
        <w:pStyle w:val="ListBullet"/>
        <w:spacing w:after="60" w:line="276" w:lineRule="auto"/>
      </w:pPr>
      <w:r>
        <w:rPr>
          <w:rFonts w:ascii="Calibri" w:hAnsi="Calibri"/>
          <w:color w:val="2D3748"/>
          <w:sz w:val="21"/>
        </w:rPr>
        <w:t>Estructura de backlog ágil con criterios de aceptación auditables.</w:t>
      </w:r>
    </w:p>
    <w:p>
      <w:pPr>
        <w:spacing w:after="100" w:line="276" w:lineRule="auto"/>
      </w:pPr>
      <w:r>
        <w:rPr>
          <w:rFonts w:ascii="Calibri" w:hAnsi="Calibri"/>
          <w:b/>
          <w:color w:val="1A365D"/>
          <w:sz w:val="21"/>
        </w:rPr>
        <w:t xml:space="preserve">Archivos para Abrir y Mostrar en el Repositorio: </w:t>
      </w:r>
      <w:r>
        <w:rPr>
          <w:rFonts w:ascii="Calibri" w:hAnsi="Calibri"/>
          <w:color w:val="2D3748"/>
          <w:sz w:val="21"/>
        </w:rPr>
        <w:t>src/constants/actions.ts, CHANGELOG.md</w:t>
      </w:r>
    </w:p>
    <w:tbl>
      <w:tblPr>
        <w:tblW w:type="auto" w:w="0"/>
        <w:jc w:val="center"/>
        <w:tblLayout w:type="fixed"/>
        <w:tblLook w:firstColumn="1" w:firstRow="1" w:lastColumn="0" w:lastRow="0" w:noHBand="0" w:noVBand="1" w:val="04A0"/>
      </w:tblPr>
      <w:tblGrid>
        <w:gridCol w:w="9648"/>
      </w:tblGrid>
      <w:tr>
        <w:tc>
          <w:tcPr>
            <w:tcW w:type="dxa" w:w="9648"/>
            <w:shd w:fill="F0F9FF"/>
            <w:tcMar>
              <w:top w:w="120" w:type="dxa"/>
              <w:bottom w:w="120" w:type="dxa"/>
              <w:left w:w="180" w:type="dxa"/>
              <w:right w:w="180" w:type="dxa"/>
            </w:tcMar>
            <w:tcBorders>
              <w:left w:val="single" w:sz="36" w:space="0" w:color="0D7685"/>
              <w:top w:val="none"/>
              <w:right w:val="none"/>
              <w:bottom w:val="none"/>
            </w:tcBorders>
          </w:tcPr>
          <w:p>
            <w:pPr>
              <w:spacing w:after="80"/>
            </w:pPr>
            <w:r>
              <w:rPr>
                <w:rFonts w:ascii="Calibri" w:hAnsi="Calibri"/>
                <w:b/>
                <w:color w:val="0D7685"/>
                <w:sz w:val="21"/>
              </w:rPr>
              <w:t>📌 Cómo Explicar y Defender esta Fase ante el Profesor</w:t>
              <w:br/>
            </w:r>
            <w:r>
              <w:rPr>
                <w:rFonts w:ascii="Calibri" w:hAnsi="Calibri"/>
                <w:i/>
                <w:color w:val="2D3748"/>
                <w:sz w:val="20"/>
              </w:rPr>
              <w:t>Profesor, en DevOps la calidad y la seguridad se planifican desde el día cero ('Shift-Left'). No esperamos a desplegar para blindar el sistema: en src/constants/actions.ts definimos una lista blanca matemáticamente cerrada de 16 acciones. Cualquier orden de voz que no pertenezca a esta lista es rechazada de inmediato, garantizando cero inyecciones o alucinaciones de IA.</w:t>
            </w:r>
          </w:p>
        </w:tc>
      </w:tr>
    </w:tbl>
    <w:p>
      <w:pPr>
        <w:spacing w:after="80"/>
      </w:pPr>
    </w:p>
    <w:p>
      <w:pPr>
        <w:pStyle w:val="Heading1"/>
        <w:keepNext/>
        <w:spacing w:before="320" w:after="120"/>
      </w:pPr>
      <w:r>
        <w:rPr>
          <w:rFonts w:ascii="Calibri" w:hAnsi="Calibri"/>
          <w:b/>
          <w:color w:val="1A365D"/>
          <w:sz w:val="30"/>
        </w:rPr>
        <w:t>FASE 2: CODE (CODIFICACIÓN Y CONTROL DE VERSIONES)</w:t>
      </w:r>
    </w:p>
    <w:p>
      <w:pPr>
        <w:spacing w:after="100" w:line="276" w:lineRule="auto"/>
      </w:pPr>
      <w:r>
        <w:rPr>
          <w:rFonts w:ascii="Calibri" w:hAnsi="Calibri"/>
          <w:color w:val="2D3748"/>
          <w:sz w:val="21"/>
        </w:rPr>
        <w:t>Desarrollo del cliente móvil nativo Android y del microservicio asíncrono en Python. Se implementó una arquitectura MVVM en React Native con capacidad Offline-First: si el abuelo está sin conexión a internet, la aplicación sigue ejecutando llamadas, linterna, lupa y alarmas locales en SQLite sin congelarse. En el backend, se implementó autenticación Zero-Login basada en el estándar JWA (RFC 7518) con algoritmo simétrico HS256.</w:t>
      </w:r>
    </w:p>
    <w:p>
      <w:pPr>
        <w:spacing w:after="100" w:line="276" w:lineRule="auto"/>
      </w:pPr>
      <w:r>
        <w:rPr>
          <w:rFonts w:ascii="Calibri" w:hAnsi="Calibri"/>
          <w:b/>
          <w:color w:val="1A365D"/>
          <w:sz w:val="21"/>
        </w:rPr>
        <w:t xml:space="preserve">Herramientas Utilizadas: </w:t>
      </w:r>
      <w:r>
        <w:rPr>
          <w:rFonts w:ascii="Calibri" w:hAnsi="Calibri"/>
          <w:color w:val="2D3748"/>
          <w:sz w:val="21"/>
        </w:rPr>
        <w:t>TypeScript 5.x, React Native 0.76, Expo SDK 52, Python 3.10+, FastAPI, PyJWT, Git (flujo con Conventional Commits), expo-secure-store (Android Keystore).</w:t>
      </w:r>
    </w:p>
    <w:p>
      <w:pPr>
        <w:spacing w:after="40"/>
      </w:pPr>
    </w:p>
    <w:p>
      <w:pPr>
        <w:spacing w:after="40"/>
      </w:pPr>
      <w:r>
        <w:rPr>
          <w:b/>
          <w:color w:val="1A365D"/>
          <w:sz w:val="21"/>
        </w:rPr>
        <w:t>Qué se Creó y se Modificó:</w:t>
      </w:r>
    </w:p>
    <w:p>
      <w:pPr>
        <w:pStyle w:val="ListBullet"/>
        <w:spacing w:after="60" w:line="276" w:lineRule="auto"/>
      </w:pPr>
      <w:r>
        <w:rPr>
          <w:rFonts w:ascii="Calibri" w:hAnsi="Calibri"/>
          <w:color w:val="2D3748"/>
          <w:sz w:val="21"/>
        </w:rPr>
        <w:t>App.tsx: Punto de entrada con handshake de autenticación transparente y captura del botón físico Atrás de Android.</w:t>
      </w:r>
    </w:p>
    <w:p>
      <w:pPr>
        <w:pStyle w:val="ListBullet"/>
        <w:spacing w:after="60" w:line="276" w:lineRule="auto"/>
      </w:pPr>
      <w:r>
        <w:rPr>
          <w:rFonts w:ascii="Calibri" w:hAnsi="Calibri"/>
          <w:color w:val="2D3748"/>
          <w:sz w:val="21"/>
        </w:rPr>
        <w:t>src/context/GlobalVoiceAssistantContext.tsx: Motor de escucha omnipresente y streaming asíncrono de telemetría a la nube.</w:t>
      </w:r>
    </w:p>
    <w:p>
      <w:pPr>
        <w:pStyle w:val="ListBullet"/>
        <w:spacing w:after="60" w:line="276" w:lineRule="auto"/>
      </w:pPr>
      <w:r>
        <w:rPr>
          <w:rFonts w:ascii="Calibri" w:hAnsi="Calibri"/>
          <w:color w:val="2D3748"/>
          <w:sz w:val="21"/>
        </w:rPr>
        <w:t>backend/app/main.py y routers (auth.py, ai.py, monitoring.py): Endpoints REST asíncronos.</w:t>
      </w:r>
    </w:p>
    <w:p>
      <w:pPr>
        <w:pStyle w:val="ListBullet"/>
        <w:spacing w:after="60" w:line="276" w:lineRule="auto"/>
      </w:pPr>
      <w:r>
        <w:rPr>
          <w:rFonts w:ascii="Calibri" w:hAnsi="Calibri"/>
          <w:color w:val="2D3748"/>
          <w:sz w:val="21"/>
        </w:rPr>
        <w:t>backend/app/security/jwt_handler.py: Generación y verificación de tokens criptográficos HS256.</w:t>
      </w:r>
    </w:p>
    <w:p>
      <w:pPr>
        <w:spacing w:after="100" w:line="276" w:lineRule="auto"/>
      </w:pPr>
      <w:r>
        <w:rPr>
          <w:rFonts w:ascii="Calibri" w:hAnsi="Calibri"/>
          <w:b/>
          <w:color w:val="1A365D"/>
          <w:sz w:val="21"/>
        </w:rPr>
        <w:t xml:space="preserve">Archivos para Abrir y Mostrar en el Repositorio: </w:t>
      </w:r>
      <w:r>
        <w:rPr>
          <w:rFonts w:ascii="Calibri" w:hAnsi="Calibri"/>
          <w:color w:val="2D3748"/>
          <w:sz w:val="21"/>
        </w:rPr>
        <w:t>App.tsx, src/context/GlobalVoiceAssistantContext.tsx, backend/app/security/jwt_handler.py</w:t>
      </w:r>
    </w:p>
    <w:tbl>
      <w:tblPr>
        <w:tblW w:type="auto" w:w="0"/>
        <w:jc w:val="center"/>
        <w:tblLayout w:type="fixed"/>
        <w:tblLook w:firstColumn="1" w:firstRow="1" w:lastColumn="0" w:lastRow="0" w:noHBand="0" w:noVBand="1" w:val="04A0"/>
      </w:tblPr>
      <w:tblGrid>
        <w:gridCol w:w="9648"/>
      </w:tblGrid>
      <w:tr>
        <w:tc>
          <w:tcPr>
            <w:tcW w:type="dxa" w:w="9648"/>
            <w:shd w:fill="F0F9FF"/>
            <w:tcMar>
              <w:top w:w="120" w:type="dxa"/>
              <w:bottom w:w="120" w:type="dxa"/>
              <w:left w:w="180" w:type="dxa"/>
              <w:right w:w="180" w:type="dxa"/>
            </w:tcMar>
            <w:tcBorders>
              <w:left w:val="single" w:sz="36" w:space="0" w:color="0D7685"/>
              <w:top w:val="none"/>
              <w:right w:val="none"/>
              <w:bottom w:val="none"/>
            </w:tcBorders>
          </w:tcPr>
          <w:p>
            <w:pPr>
              <w:spacing w:after="80"/>
            </w:pPr>
            <w:r>
              <w:rPr>
                <w:rFonts w:ascii="Calibri" w:hAnsi="Calibri"/>
                <w:b/>
                <w:color w:val="0D7685"/>
                <w:sz w:val="21"/>
              </w:rPr>
              <w:t>📌 Cómo Explicar y Defender esta Fase ante el Profesor</w:t>
              <w:br/>
            </w:r>
            <w:r>
              <w:rPr>
                <w:rFonts w:ascii="Calibri" w:hAnsi="Calibri"/>
                <w:i/>
                <w:color w:val="2D3748"/>
                <w:sz w:val="20"/>
              </w:rPr>
              <w:t>Profesor, resolvimos el reto de la alfabetización digital mediante código accesible: implementamos 'Zero-Login' con JWT HS256, eliminando la barrera de recordar contraseñas para el adulto mayor. Además, programamos bajo el paradigma Offline-First con SQLite: la app jamás muestra un error técnico de red ni se bloquea.</w:t>
            </w:r>
          </w:p>
        </w:tc>
      </w:tr>
    </w:tbl>
    <w:p>
      <w:pPr>
        <w:spacing w:after="80"/>
      </w:pPr>
    </w:p>
    <w:p>
      <w:pPr>
        <w:pStyle w:val="Heading1"/>
        <w:keepNext/>
        <w:spacing w:before="320" w:after="120"/>
      </w:pPr>
      <w:r>
        <w:rPr>
          <w:rFonts w:ascii="Calibri" w:hAnsi="Calibri"/>
          <w:b/>
          <w:color w:val="1A365D"/>
          <w:sz w:val="30"/>
        </w:rPr>
        <w:t>FASE 3: BUILD (CONSTRUCCIÓN Y AUTOMATIZACIÓN DE COMPILACIÓN)</w:t>
      </w:r>
    </w:p>
    <w:p>
      <w:pPr>
        <w:spacing w:after="100" w:line="276" w:lineRule="auto"/>
      </w:pPr>
      <w:r>
        <w:rPr>
          <w:rFonts w:ascii="Calibri" w:hAnsi="Calibri"/>
          <w:color w:val="2D3748"/>
          <w:sz w:val="21"/>
        </w:rPr>
        <w:t>Automatización determinista para transformar el código fuente en artefactos ejecutables. Metro Bundler minifica el código JavaScript y genera index.android.bundle. Luego Gradle Wrapper compila el código nativo en Java/Kotlin y C++, produciendo el binario firmado SeniorAssist.apk (166 MB). En paralelo, un script de PowerShell valida y empaqueta el backend en un archivo seniorassist-backend-deploy.zip de solo 13 KB listo para PaaS.</w:t>
      </w:r>
    </w:p>
    <w:p>
      <w:pPr>
        <w:spacing w:after="100" w:line="276" w:lineRule="auto"/>
      </w:pPr>
      <w:r>
        <w:rPr>
          <w:rFonts w:ascii="Calibri" w:hAnsi="Calibri"/>
          <w:b/>
          <w:color w:val="1A365D"/>
          <w:sz w:val="21"/>
        </w:rPr>
        <w:t xml:space="preserve">Herramientas Utilizadas: </w:t>
      </w:r>
      <w:r>
        <w:rPr>
          <w:rFonts w:ascii="Calibri" w:hAnsi="Calibri"/>
          <w:color w:val="2D3748"/>
          <w:sz w:val="21"/>
        </w:rPr>
        <w:t>Gradle 8.x Wrapper (gradlew), Metro Bundler, Java JDK 17, PowerShell / Batch scripts, GitHub Actions (build.yml).</w:t>
      </w:r>
    </w:p>
    <w:p>
      <w:pPr>
        <w:spacing w:after="40"/>
      </w:pPr>
    </w:p>
    <w:p>
      <w:pPr>
        <w:spacing w:after="40"/>
      </w:pPr>
      <w:r>
        <w:rPr>
          <w:b/>
          <w:color w:val="1A365D"/>
          <w:sz w:val="21"/>
        </w:rPr>
        <w:t>Qué se Creó y se Modificó:</w:t>
      </w:r>
    </w:p>
    <w:p>
      <w:pPr>
        <w:pStyle w:val="ListBullet"/>
        <w:spacing w:after="60" w:line="276" w:lineRule="auto"/>
      </w:pPr>
      <w:r>
        <w:rPr>
          <w:rFonts w:ascii="Calibri" w:hAnsi="Calibri"/>
          <w:color w:val="2D3748"/>
          <w:sz w:val="21"/>
        </w:rPr>
        <w:t>.github/workflows/build.yml: Pipeline de construcción en la nube con jobs paralelos para Android y Backend.</w:t>
      </w:r>
    </w:p>
    <w:p>
      <w:pPr>
        <w:pStyle w:val="ListBullet"/>
        <w:spacing w:after="60" w:line="276" w:lineRule="auto"/>
      </w:pPr>
      <w:r>
        <w:rPr>
          <w:rFonts w:ascii="Calibri" w:hAnsi="Calibri"/>
          <w:color w:val="2D3748"/>
          <w:sz w:val="21"/>
        </w:rPr>
        <w:t>scripts/build_standalone_apk.ps1 y .bat: Script automatizado de exportación de assets y ejecución de Gradle.</w:t>
      </w:r>
    </w:p>
    <w:p>
      <w:pPr>
        <w:pStyle w:val="ListBullet"/>
        <w:spacing w:after="60" w:line="276" w:lineRule="auto"/>
      </w:pPr>
      <w:r>
        <w:rPr>
          <w:rFonts w:ascii="Calibri" w:hAnsi="Calibri"/>
          <w:color w:val="2D3748"/>
          <w:sz w:val="21"/>
        </w:rPr>
        <w:t>scripts/package_backend_deploy.ps1: Empaquetado optimizado del backend nativo de 13 KB.</w:t>
      </w:r>
    </w:p>
    <w:p>
      <w:pPr>
        <w:pStyle w:val="ListBullet"/>
        <w:spacing w:after="60" w:line="276" w:lineRule="auto"/>
      </w:pPr>
      <w:r>
        <w:rPr>
          <w:rFonts w:ascii="Calibri" w:hAnsi="Calibri"/>
          <w:color w:val="2D3748"/>
          <w:sz w:val="21"/>
        </w:rPr>
        <w:t>SeniorAssist.apk: Binario compilado y firmado para Android.</w:t>
      </w:r>
    </w:p>
    <w:p>
      <w:pPr>
        <w:spacing w:after="100" w:line="276" w:lineRule="auto"/>
      </w:pPr>
      <w:r>
        <w:rPr>
          <w:rFonts w:ascii="Calibri" w:hAnsi="Calibri"/>
          <w:b/>
          <w:color w:val="1A365D"/>
          <w:sz w:val="21"/>
        </w:rPr>
        <w:t xml:space="preserve">Archivos para Abrir y Mostrar en el Repositorio: </w:t>
      </w:r>
      <w:r>
        <w:rPr>
          <w:rFonts w:ascii="Calibri" w:hAnsi="Calibri"/>
          <w:color w:val="2D3748"/>
          <w:sz w:val="21"/>
        </w:rPr>
        <w:t>.github/workflows/build.yml, scripts/build_standalone_apk.ps1, SeniorAssist.apk</w:t>
      </w:r>
    </w:p>
    <w:tbl>
      <w:tblPr>
        <w:tblW w:type="auto" w:w="0"/>
        <w:jc w:val="center"/>
        <w:tblLayout w:type="fixed"/>
        <w:tblLook w:firstColumn="1" w:firstRow="1" w:lastColumn="0" w:lastRow="0" w:noHBand="0" w:noVBand="1" w:val="04A0"/>
      </w:tblPr>
      <w:tblGrid>
        <w:gridCol w:w="9648"/>
      </w:tblGrid>
      <w:tr>
        <w:tc>
          <w:tcPr>
            <w:tcW w:type="dxa" w:w="9648"/>
            <w:shd w:fill="F0F9FF"/>
            <w:tcMar>
              <w:top w:w="120" w:type="dxa"/>
              <w:bottom w:w="120" w:type="dxa"/>
              <w:left w:w="180" w:type="dxa"/>
              <w:right w:w="180" w:type="dxa"/>
            </w:tcMar>
            <w:tcBorders>
              <w:left w:val="single" w:sz="36" w:space="0" w:color="0D7685"/>
              <w:top w:val="none"/>
              <w:right w:val="none"/>
              <w:bottom w:val="none"/>
            </w:tcBorders>
          </w:tcPr>
          <w:p>
            <w:pPr>
              <w:spacing w:after="80"/>
            </w:pPr>
            <w:r>
              <w:rPr>
                <w:rFonts w:ascii="Calibri" w:hAnsi="Calibri"/>
                <w:b/>
                <w:color w:val="0D7685"/>
                <w:sz w:val="21"/>
              </w:rPr>
              <w:t>📌 Cómo Explicar y Defender esta Fase ante el Profesor</w:t>
              <w:br/>
            </w:r>
            <w:r>
              <w:rPr>
                <w:rFonts w:ascii="Calibri" w:hAnsi="Calibri"/>
                <w:i/>
                <w:color w:val="2D3748"/>
                <w:sz w:val="20"/>
              </w:rPr>
              <w:t>Profesor, un build profesional en DevOps debe ser reproducible e independiente de la máquina local. Usamos Gradle Wrapper para fijar la versión exacta de compilación y Metro Bundler para optimizar el bundle JS. El paquete de backend pesa solo 13 KB, lo que demuestra la enorme eficiencia de un despliegue nativo frente a imágenes de contenedores pesadas.</w:t>
            </w:r>
          </w:p>
        </w:tc>
      </w:tr>
    </w:tbl>
    <w:p>
      <w:pPr>
        <w:spacing w:after="80"/>
      </w:pPr>
    </w:p>
    <w:p>
      <w:pPr>
        <w:pStyle w:val="Heading1"/>
        <w:keepNext/>
        <w:spacing w:before="320" w:after="120"/>
      </w:pPr>
      <w:r>
        <w:rPr>
          <w:rFonts w:ascii="Calibri" w:hAnsi="Calibri"/>
          <w:b/>
          <w:color w:val="1A365D"/>
          <w:sz w:val="30"/>
        </w:rPr>
        <w:t>FASE 4: TEST (PRUEBAS CONTINUAS Y VALIDACIÓN DE CALIDAD)</w:t>
      </w:r>
    </w:p>
    <w:p>
      <w:pPr>
        <w:spacing w:after="100" w:line="276" w:lineRule="auto"/>
      </w:pPr>
      <w:r>
        <w:rPr>
          <w:rFonts w:ascii="Calibri" w:hAnsi="Calibri"/>
          <w:color w:val="2D3748"/>
          <w:sz w:val="21"/>
        </w:rPr>
        <w:t>Estrategia integral de Continuous Testing compuesta por 56 pruebas automatizadas: 40 pruebas de integridad de cliente (contratos de interfaces, persistencia SQLite, WCAG AAA), 8 pruebas de backend y seguridad en Pytest (healthcheck, autenticación transparente, rechazo estricto de JWTs inválidos y cobertura total de lista blanca NLU), y 8 pruebas sintéticas de voz con modismos coloquiales colombianos.</w:t>
      </w:r>
    </w:p>
    <w:p>
      <w:pPr>
        <w:spacing w:after="100" w:line="276" w:lineRule="auto"/>
      </w:pPr>
      <w:r>
        <w:rPr>
          <w:rFonts w:ascii="Calibri" w:hAnsi="Calibri"/>
          <w:b/>
          <w:color w:val="1A365D"/>
          <w:sz w:val="21"/>
        </w:rPr>
        <w:t xml:space="preserve">Herramientas Utilizadas: </w:t>
      </w:r>
      <w:r>
        <w:rPr>
          <w:rFonts w:ascii="Calibri" w:hAnsi="Calibri"/>
          <w:color w:val="2D3748"/>
          <w:sz w:val="21"/>
        </w:rPr>
        <w:t>Pytest, FastAPI TestClient (HTTPX), Node.js Test Runner, Jest, GitHub Actions (test.yml).</w:t>
      </w:r>
    </w:p>
    <w:p>
      <w:pPr>
        <w:spacing w:after="40"/>
      </w:pPr>
    </w:p>
    <w:p>
      <w:pPr>
        <w:spacing w:after="40"/>
      </w:pPr>
      <w:r>
        <w:rPr>
          <w:b/>
          <w:color w:val="1A365D"/>
          <w:sz w:val="21"/>
        </w:rPr>
        <w:t>Qué se Creó y se Modificó:</w:t>
      </w:r>
    </w:p>
    <w:p>
      <w:pPr>
        <w:pStyle w:val="ListBullet"/>
        <w:spacing w:after="60" w:line="276" w:lineRule="auto"/>
      </w:pPr>
      <w:r>
        <w:rPr>
          <w:rFonts w:ascii="Calibri" w:hAnsi="Calibri"/>
          <w:color w:val="2D3748"/>
          <w:sz w:val="21"/>
        </w:rPr>
        <w:t>.github/workflows/test.yml: Quality Gate que bloquea cualquier commit que falle una sola prueba.</w:t>
      </w:r>
    </w:p>
    <w:p>
      <w:pPr>
        <w:pStyle w:val="ListBullet"/>
        <w:spacing w:after="60" w:line="276" w:lineRule="auto"/>
      </w:pPr>
      <w:r>
        <w:rPr>
          <w:rFonts w:ascii="Calibri" w:hAnsi="Calibri"/>
          <w:color w:val="2D3748"/>
          <w:sz w:val="21"/>
        </w:rPr>
        <w:t>backend/tests/test_api_suite.py: Suite integral de pruebas unitarias y de integración de API REST.</w:t>
      </w:r>
    </w:p>
    <w:p>
      <w:pPr>
        <w:pStyle w:val="ListBullet"/>
        <w:spacing w:after="60" w:line="276" w:lineRule="auto"/>
      </w:pPr>
      <w:r>
        <w:rPr>
          <w:rFonts w:ascii="Calibri" w:hAnsi="Calibri"/>
          <w:color w:val="2D3748"/>
          <w:sz w:val="21"/>
        </w:rPr>
        <w:t>scripts/test_voice_suite.js: Suite de validación de lenguaje natural con tolerancia a modismos.</w:t>
      </w:r>
    </w:p>
    <w:p>
      <w:pPr>
        <w:pStyle w:val="ListBullet"/>
        <w:spacing w:after="60" w:line="276" w:lineRule="auto"/>
      </w:pPr>
      <w:r>
        <w:rPr>
          <w:rFonts w:ascii="Calibri" w:hAnsi="Calibri"/>
          <w:color w:val="2D3748"/>
          <w:sz w:val="21"/>
        </w:rPr>
        <w:t>scripts/verify_client_integrity.js: Verificación de contratos y directivas de accesibilidad.</w:t>
      </w:r>
    </w:p>
    <w:p>
      <w:pPr>
        <w:spacing w:after="100" w:line="276" w:lineRule="auto"/>
      </w:pPr>
      <w:r>
        <w:rPr>
          <w:rFonts w:ascii="Calibri" w:hAnsi="Calibri"/>
          <w:b/>
          <w:color w:val="1A365D"/>
          <w:sz w:val="21"/>
        </w:rPr>
        <w:t xml:space="preserve">Archivos para Abrir y Mostrar en el Repositorio: </w:t>
      </w:r>
      <w:r>
        <w:rPr>
          <w:rFonts w:ascii="Calibri" w:hAnsi="Calibri"/>
          <w:color w:val="2D3748"/>
          <w:sz w:val="21"/>
        </w:rPr>
        <w:t>.github/workflows/test.yml, backend/tests/test_api_suite.py, scripts/test_voice_suite.js</w:t>
      </w:r>
    </w:p>
    <w:tbl>
      <w:tblPr>
        <w:tblW w:type="auto" w:w="0"/>
        <w:jc w:val="center"/>
        <w:tblLayout w:type="fixed"/>
        <w:tblLook w:firstColumn="1" w:firstRow="1" w:lastColumn="0" w:lastRow="0" w:noHBand="0" w:noVBand="1" w:val="04A0"/>
      </w:tblPr>
      <w:tblGrid>
        <w:gridCol w:w="9648"/>
      </w:tblGrid>
      <w:tr>
        <w:tc>
          <w:tcPr>
            <w:tcW w:type="dxa" w:w="9648"/>
            <w:shd w:fill="F0F9FF"/>
            <w:tcMar>
              <w:top w:w="120" w:type="dxa"/>
              <w:bottom w:w="120" w:type="dxa"/>
              <w:left w:w="180" w:type="dxa"/>
              <w:right w:w="180" w:type="dxa"/>
            </w:tcMar>
            <w:tcBorders>
              <w:left w:val="single" w:sz="36" w:space="0" w:color="0D7685"/>
              <w:top w:val="none"/>
              <w:right w:val="none"/>
              <w:bottom w:val="none"/>
            </w:tcBorders>
          </w:tcPr>
          <w:p>
            <w:pPr>
              <w:spacing w:after="80"/>
            </w:pPr>
            <w:r>
              <w:rPr>
                <w:rFonts w:ascii="Calibri" w:hAnsi="Calibri"/>
                <w:b/>
                <w:color w:val="0D7685"/>
                <w:sz w:val="21"/>
              </w:rPr>
              <w:t>📌 Cómo Explicar y Defender esta Fase ante el Profesor</w:t>
              <w:br/>
            </w:r>
            <w:r>
              <w:rPr>
                <w:rFonts w:ascii="Calibri" w:hAnsi="Calibri"/>
                <w:i/>
                <w:color w:val="2D3748"/>
                <w:sz w:val="20"/>
              </w:rPr>
              <w:t>Profesor, en DevOps la calidad no es negociable. Nuestra suite ejecuta 56 pruebas automáticas. No solo verificamos casos de éxito, sino que probamos casos negativos: enviamos tokens corruptos para constatar que el backend devuelva 401 Unauthorized y probamos frases como 'llama a mi mami' para asegurar que el modelo extraiga la intención correcta con confianza superior al 90%.</w:t>
            </w:r>
          </w:p>
        </w:tc>
      </w:tr>
    </w:tbl>
    <w:p>
      <w:pPr>
        <w:spacing w:after="80"/>
      </w:pPr>
    </w:p>
    <w:p>
      <w:pPr>
        <w:pStyle w:val="Heading1"/>
        <w:keepNext/>
        <w:spacing w:before="320" w:after="120"/>
      </w:pPr>
      <w:r>
        <w:rPr>
          <w:rFonts w:ascii="Calibri" w:hAnsi="Calibri"/>
          <w:b/>
          <w:color w:val="1A365D"/>
          <w:sz w:val="30"/>
        </w:rPr>
        <w:t>FASE 5: RELEASE (GESTIÓN DE VERSIONES Y EMPAQUETADO)</w:t>
      </w:r>
    </w:p>
    <w:p>
      <w:pPr>
        <w:spacing w:after="100" w:line="276" w:lineRule="auto"/>
      </w:pPr>
      <w:r>
        <w:rPr>
          <w:rFonts w:ascii="Calibri" w:hAnsi="Calibri"/>
          <w:color w:val="2D3748"/>
          <w:sz w:val="21"/>
        </w:rPr>
        <w:t>Formalización de entregables bajo estándares de la industria. Se implementó Versionamiento Semántico (SemVer 2.0.0) asignando el Tag anotado v1.0.0. Se redactó el documento CHANGELOG.md categorizado (Added, Accessibility, Security, Infrastructure). Para garantizar la inmutabilidad y la no alteración del binario APK, se calculó su huella criptográfica SHA-256 registrada en SHA256SUMS.txt.</w:t>
      </w:r>
    </w:p>
    <w:p>
      <w:pPr>
        <w:spacing w:after="100" w:line="276" w:lineRule="auto"/>
      </w:pPr>
      <w:r>
        <w:rPr>
          <w:rFonts w:ascii="Calibri" w:hAnsi="Calibri"/>
          <w:b/>
          <w:color w:val="1A365D"/>
          <w:sz w:val="21"/>
        </w:rPr>
        <w:t xml:space="preserve">Herramientas Utilizadas: </w:t>
      </w:r>
      <w:r>
        <w:rPr>
          <w:rFonts w:ascii="Calibri" w:hAnsi="Calibri"/>
          <w:color w:val="2D3748"/>
          <w:sz w:val="21"/>
        </w:rPr>
        <w:t>Git Tags &amp; Git Releases, CertUtil / OpenSSL (SHA-256 Checksums), SemVer 2.0.0, Keep a Changelog, GitHub Releases, GitHub Actions (release.yml).</w:t>
      </w:r>
    </w:p>
    <w:p>
      <w:pPr>
        <w:spacing w:after="40"/>
      </w:pPr>
    </w:p>
    <w:p>
      <w:pPr>
        <w:spacing w:after="40"/>
      </w:pPr>
      <w:r>
        <w:rPr>
          <w:b/>
          <w:color w:val="1A365D"/>
          <w:sz w:val="21"/>
        </w:rPr>
        <w:t>Qué se Creó y se Modificó:</w:t>
      </w:r>
    </w:p>
    <w:p>
      <w:pPr>
        <w:pStyle w:val="ListBullet"/>
        <w:spacing w:after="60" w:line="276" w:lineRule="auto"/>
      </w:pPr>
      <w:r>
        <w:rPr>
          <w:rFonts w:ascii="Calibri" w:hAnsi="Calibri"/>
          <w:color w:val="2D3748"/>
          <w:sz w:val="21"/>
        </w:rPr>
        <w:t>Tag oficial v1.0.0 en el árbol de commits de Git.</w:t>
      </w:r>
    </w:p>
    <w:p>
      <w:pPr>
        <w:pStyle w:val="ListBullet"/>
        <w:spacing w:after="60" w:line="276" w:lineRule="auto"/>
      </w:pPr>
      <w:r>
        <w:rPr>
          <w:rFonts w:ascii="Calibri" w:hAnsi="Calibri"/>
          <w:color w:val="2D3748"/>
          <w:sz w:val="21"/>
        </w:rPr>
        <w:t>CHANGELOG.md: Bitácora completa y formal de cambios para la versión 1.0.0.</w:t>
      </w:r>
    </w:p>
    <w:p>
      <w:pPr>
        <w:pStyle w:val="ListBullet"/>
        <w:spacing w:after="60" w:line="276" w:lineRule="auto"/>
      </w:pPr>
      <w:r>
        <w:rPr>
          <w:rFonts w:ascii="Calibri" w:hAnsi="Calibri"/>
          <w:color w:val="2D3748"/>
          <w:sz w:val="21"/>
        </w:rPr>
        <w:t>SHA256SUMS.txt: Manifiesto de verificación criptográfica del binario APK.</w:t>
      </w:r>
    </w:p>
    <w:p>
      <w:pPr>
        <w:pStyle w:val="ListBullet"/>
        <w:spacing w:after="60" w:line="276" w:lineRule="auto"/>
      </w:pPr>
      <w:r>
        <w:rPr>
          <w:rFonts w:ascii="Calibri" w:hAnsi="Calibri"/>
          <w:color w:val="2D3748"/>
          <w:sz w:val="21"/>
        </w:rPr>
        <w:t>.github/workflows/release.yml: Pipeline de publicación automática de releases al detectar tags v*.</w:t>
      </w:r>
    </w:p>
    <w:p>
      <w:pPr>
        <w:pStyle w:val="ListBullet"/>
        <w:spacing w:after="60" w:line="276" w:lineRule="auto"/>
      </w:pPr>
      <w:r>
        <w:rPr>
          <w:rFonts w:ascii="Calibri" w:hAnsi="Calibri"/>
          <w:color w:val="2D3748"/>
          <w:sz w:val="21"/>
        </w:rPr>
        <w:t>scripts/create_release.ps1: Script de automatización de releases y cálculo de hashes.</w:t>
      </w:r>
    </w:p>
    <w:p>
      <w:pPr>
        <w:spacing w:after="100" w:line="276" w:lineRule="auto"/>
      </w:pPr>
      <w:r>
        <w:rPr>
          <w:rFonts w:ascii="Calibri" w:hAnsi="Calibri"/>
          <w:b/>
          <w:color w:val="1A365D"/>
          <w:sz w:val="21"/>
        </w:rPr>
        <w:t xml:space="preserve">Archivos para Abrir y Mostrar en el Repositorio: </w:t>
      </w:r>
      <w:r>
        <w:rPr>
          <w:rFonts w:ascii="Calibri" w:hAnsi="Calibri"/>
          <w:color w:val="2D3748"/>
          <w:sz w:val="21"/>
        </w:rPr>
        <w:t>CHANGELOG.md, SHA256SUMS.txt, .github/workflows/release.yml</w:t>
      </w:r>
    </w:p>
    <w:tbl>
      <w:tblPr>
        <w:tblW w:type="auto" w:w="0"/>
        <w:jc w:val="center"/>
        <w:tblLayout w:type="fixed"/>
        <w:tblLook w:firstColumn="1" w:firstRow="1" w:lastColumn="0" w:lastRow="0" w:noHBand="0" w:noVBand="1" w:val="04A0"/>
      </w:tblPr>
      <w:tblGrid>
        <w:gridCol w:w="9648"/>
      </w:tblGrid>
      <w:tr>
        <w:tc>
          <w:tcPr>
            <w:tcW w:type="dxa" w:w="9648"/>
            <w:shd w:fill="F0F9FF"/>
            <w:tcMar>
              <w:top w:w="120" w:type="dxa"/>
              <w:bottom w:w="120" w:type="dxa"/>
              <w:left w:w="180" w:type="dxa"/>
              <w:right w:w="180" w:type="dxa"/>
            </w:tcMar>
            <w:tcBorders>
              <w:left w:val="single" w:sz="36" w:space="0" w:color="0D7685"/>
              <w:top w:val="none"/>
              <w:right w:val="none"/>
              <w:bottom w:val="none"/>
            </w:tcBorders>
          </w:tcPr>
          <w:p>
            <w:pPr>
              <w:spacing w:after="80"/>
            </w:pPr>
            <w:r>
              <w:rPr>
                <w:rFonts w:ascii="Calibri" w:hAnsi="Calibri"/>
                <w:b/>
                <w:color w:val="0D7685"/>
                <w:sz w:val="21"/>
              </w:rPr>
              <w:t>📌 Cómo Explicar y Defender esta Fase ante el Profesor</w:t>
              <w:br/>
            </w:r>
            <w:r>
              <w:rPr>
                <w:rFonts w:ascii="Calibri" w:hAnsi="Calibri"/>
                <w:i/>
                <w:color w:val="2D3748"/>
                <w:sz w:val="20"/>
              </w:rPr>
              <w:t>Profesor, en un entorno de producción regulado nadie instala un binario sin verificar su huella digital. Publicamos el Tag v1.0.0 junto al archivo SHA256SUMS.txt. Si el hash del archivo en el teléfono coincide con el del repositorio, tenemos la certeza matemática de que el software es auténtico y no fue manipulado por terceros (Integrity &amp; Non-Repudiation).</w:t>
            </w:r>
          </w:p>
        </w:tc>
      </w:tr>
    </w:tbl>
    <w:p>
      <w:pPr>
        <w:spacing w:after="80"/>
      </w:pPr>
    </w:p>
    <w:p>
      <w:pPr>
        <w:pStyle w:val="Heading1"/>
        <w:keepNext/>
        <w:spacing w:before="320" w:after="120"/>
      </w:pPr>
      <w:r>
        <w:rPr>
          <w:rFonts w:ascii="Calibri" w:hAnsi="Calibri"/>
          <w:b/>
          <w:color w:val="1A365D"/>
          <w:sz w:val="30"/>
        </w:rPr>
        <w:t>FASE 6: DEPLOY (DESPLIEGUE CONTINUO - FASE DE EXPOSICIÓN)</w:t>
      </w:r>
    </w:p>
    <w:p>
      <w:pPr>
        <w:spacing w:after="100" w:line="276" w:lineRule="auto"/>
      </w:pPr>
      <w:r>
        <w:rPr>
          <w:rFonts w:ascii="Calibri" w:hAnsi="Calibri"/>
          <w:color w:val="2D3748"/>
          <w:sz w:val="21"/>
        </w:rPr>
        <w:t>Puesta en producción del ecosistema cumpliendo la restricción estricta de CERO DOCKER. El backend se desplegó de forma nativa en Render Cloud PaaS (Python 3.10) con endpoint público seguro HTTPS (seniorassist.onrender.com). Se configuró además la infraestructura como código para AWS Elastic Beanstalk (.ebextensions y Procfile). La aplicación móvil se distribuye mediante GitHub Releases y Firebase App Distribution.</w:t>
      </w:r>
    </w:p>
    <w:p>
      <w:pPr>
        <w:spacing w:after="100" w:line="276" w:lineRule="auto"/>
      </w:pPr>
      <w:r>
        <w:rPr>
          <w:rFonts w:ascii="Calibri" w:hAnsi="Calibri"/>
          <w:b/>
          <w:color w:val="1A365D"/>
          <w:sz w:val="21"/>
        </w:rPr>
        <w:t xml:space="preserve">Herramientas Utilizadas: </w:t>
      </w:r>
      <w:r>
        <w:rPr>
          <w:rFonts w:ascii="Calibri" w:hAnsi="Calibri"/>
          <w:color w:val="2D3748"/>
          <w:sz w:val="21"/>
        </w:rPr>
        <w:t>Render (Cloud PaaS), AWS Elastic Beanstalk (PaaS Empresarial), Uvicorn ASGI Server, render.yaml, Procfile, GitHub Releases, Firebase App Distribution, GitHub Actions (deploy.yml).</w:t>
      </w:r>
    </w:p>
    <w:p>
      <w:pPr>
        <w:spacing w:after="40"/>
      </w:pPr>
    </w:p>
    <w:p>
      <w:pPr>
        <w:spacing w:after="40"/>
      </w:pPr>
      <w:r>
        <w:rPr>
          <w:b/>
          <w:color w:val="1A365D"/>
          <w:sz w:val="21"/>
        </w:rPr>
        <w:t>Qué se Creó y se Modificó:</w:t>
      </w:r>
    </w:p>
    <w:p>
      <w:pPr>
        <w:pStyle w:val="ListBullet"/>
        <w:spacing w:after="60" w:line="276" w:lineRule="auto"/>
      </w:pPr>
      <w:r>
        <w:rPr>
          <w:rFonts w:ascii="Calibri" w:hAnsi="Calibri"/>
          <w:color w:val="2D3748"/>
          <w:sz w:val="21"/>
        </w:rPr>
        <w:t>render.yaml: Manifiesto de Infraestructura como Código (IaC) para Render.</w:t>
      </w:r>
    </w:p>
    <w:p>
      <w:pPr>
        <w:pStyle w:val="ListBullet"/>
        <w:spacing w:after="60" w:line="276" w:lineRule="auto"/>
      </w:pPr>
      <w:r>
        <w:rPr>
          <w:rFonts w:ascii="Calibri" w:hAnsi="Calibri"/>
          <w:color w:val="2D3748"/>
          <w:sz w:val="21"/>
        </w:rPr>
        <w:t>Procfile: Declaración estándar de proceso ASGI para PaaS.</w:t>
      </w:r>
    </w:p>
    <w:p>
      <w:pPr>
        <w:pStyle w:val="ListBullet"/>
        <w:spacing w:after="60" w:line="276" w:lineRule="auto"/>
      </w:pPr>
      <w:r>
        <w:rPr>
          <w:rFonts w:ascii="Calibri" w:hAnsi="Calibri"/>
          <w:color w:val="2D3748"/>
          <w:sz w:val="21"/>
        </w:rPr>
        <w:t>.ebextensions/01_fastapi.config: Configuración de entorno nativo para AWS Elastic Beanstalk.</w:t>
      </w:r>
    </w:p>
    <w:p>
      <w:pPr>
        <w:pStyle w:val="ListBullet"/>
        <w:spacing w:after="60" w:line="276" w:lineRule="auto"/>
      </w:pPr>
      <w:r>
        <w:rPr>
          <w:rFonts w:ascii="Calibri" w:hAnsi="Calibri"/>
          <w:color w:val="2D3748"/>
          <w:sz w:val="21"/>
        </w:rPr>
        <w:t>backend/microservicios_demo.py: Demostración de dos microservicios nativos sin contenedores (puertos 8001 y 8002).</w:t>
      </w:r>
    </w:p>
    <w:p>
      <w:pPr>
        <w:pStyle w:val="ListBullet"/>
        <w:spacing w:after="60" w:line="276" w:lineRule="auto"/>
      </w:pPr>
      <w:r>
        <w:rPr>
          <w:rFonts w:ascii="Calibri" w:hAnsi="Calibri"/>
          <w:color w:val="2D3748"/>
          <w:sz w:val="21"/>
        </w:rPr>
        <w:t>.github/workflows/deploy.yml: Pipeline de CD con despliegues paralelos para Backend y Móvil.</w:t>
      </w:r>
    </w:p>
    <w:p>
      <w:pPr>
        <w:pStyle w:val="ListBullet"/>
        <w:spacing w:after="60" w:line="276" w:lineRule="auto"/>
      </w:pPr>
      <w:r>
        <w:rPr>
          <w:rFonts w:ascii="Calibri" w:hAnsi="Calibri"/>
          <w:color w:val="2D3748"/>
          <w:sz w:val="21"/>
        </w:rPr>
        <w:t>DEPLOYMENT_DEFENSE_GUIDE.md: Guía maestra de sustentación de la fase DEPLOY.</w:t>
      </w:r>
    </w:p>
    <w:p>
      <w:pPr>
        <w:spacing w:after="100" w:line="276" w:lineRule="auto"/>
      </w:pPr>
      <w:r>
        <w:rPr>
          <w:rFonts w:ascii="Calibri" w:hAnsi="Calibri"/>
          <w:b/>
          <w:color w:val="1A365D"/>
          <w:sz w:val="21"/>
        </w:rPr>
        <w:t xml:space="preserve">Archivos para Abrir y Mostrar en el Repositorio: </w:t>
      </w:r>
      <w:r>
        <w:rPr>
          <w:rFonts w:ascii="Calibri" w:hAnsi="Calibri"/>
          <w:color w:val="2D3748"/>
          <w:sz w:val="21"/>
        </w:rPr>
        <w:t>render.yaml, Procfile, .ebextensions/01_fastapi.config, DEPLOYMENT_DEFENSE_GUIDE.md</w:t>
      </w:r>
    </w:p>
    <w:tbl>
      <w:tblPr>
        <w:tblW w:type="auto" w:w="0"/>
        <w:jc w:val="center"/>
        <w:tblLayout w:type="fixed"/>
        <w:tblLook w:firstColumn="1" w:firstRow="1" w:lastColumn="0" w:lastRow="0" w:noHBand="0" w:noVBand="1" w:val="04A0"/>
      </w:tblPr>
      <w:tblGrid>
        <w:gridCol w:w="9648"/>
      </w:tblGrid>
      <w:tr>
        <w:tc>
          <w:tcPr>
            <w:tcW w:type="dxa" w:w="9648"/>
            <w:shd w:fill="F0F9FF"/>
            <w:tcMar>
              <w:top w:w="120" w:type="dxa"/>
              <w:bottom w:w="120" w:type="dxa"/>
              <w:left w:w="180" w:type="dxa"/>
              <w:right w:w="180" w:type="dxa"/>
            </w:tcMar>
            <w:tcBorders>
              <w:left w:val="single" w:sz="36" w:space="0" w:color="0D7685"/>
              <w:top w:val="none"/>
              <w:right w:val="none"/>
              <w:bottom w:val="none"/>
            </w:tcBorders>
          </w:tcPr>
          <w:p>
            <w:pPr>
              <w:spacing w:after="80"/>
            </w:pPr>
            <w:r>
              <w:rPr>
                <w:rFonts w:ascii="Calibri" w:hAnsi="Calibri"/>
                <w:b/>
                <w:color w:val="0D7685"/>
                <w:sz w:val="21"/>
              </w:rPr>
              <w:t>📌 Cómo Explicar y Defender esta Fase ante el Profesor</w:t>
              <w:br/>
            </w:r>
            <w:r>
              <w:rPr>
                <w:rFonts w:ascii="Calibri" w:hAnsi="Calibri"/>
                <w:i/>
                <w:color w:val="2D3748"/>
                <w:sz w:val="20"/>
              </w:rPr>
              <w:t>Profesor, a nuestro equipo le correspondió exponer DEPLOY. Demostramos que Docker no es una camisa de fuerza. Al utilizar PaaS nativo con Render y Elastic Beanstalk logramos un artefacto de solo 13 KB frente a 1.5 GB de una imagen Docker, eliminamos el arranque en frío y dejamos el mantenimiento del kernel en manos de la nube. El APK viaja directo al teléfono del usuario a través de GitHub Releases y Firebase.</w:t>
            </w:r>
          </w:p>
        </w:tc>
      </w:tr>
    </w:tbl>
    <w:p>
      <w:pPr>
        <w:spacing w:after="80"/>
      </w:pPr>
    </w:p>
    <w:p>
      <w:pPr>
        <w:pStyle w:val="Heading1"/>
        <w:keepNext/>
        <w:spacing w:before="320" w:after="120"/>
      </w:pPr>
      <w:r>
        <w:rPr>
          <w:rFonts w:ascii="Calibri" w:hAnsi="Calibri"/>
          <w:b/>
          <w:color w:val="1A365D"/>
          <w:sz w:val="30"/>
        </w:rPr>
        <w:t>FASE 7: OPERATE (OPERACIÓN, RESILIENCIA Y ALTA DISPONIBILIDAD)</w:t>
      </w:r>
    </w:p>
    <w:p>
      <w:pPr>
        <w:spacing w:after="100" w:line="276" w:lineRule="auto"/>
      </w:pPr>
      <w:r>
        <w:rPr>
          <w:rFonts w:ascii="Calibri" w:hAnsi="Calibri"/>
          <w:color w:val="2D3748"/>
          <w:sz w:val="21"/>
        </w:rPr>
        <w:t>Aseguramiento de la continuidad operativa del servicio en producción. Se implementó aprovisionamiento automatizado con Ansible (playbook_operate.yml) para configurar servidores Linux de forma repetible. Se configuró un demonio de Systemd con directiva de auto-reinicio 'Restart=always' en menos de 1 segundo ante caídas imprevistas (Self-Healing). Además, se configuró Nginx como Reverse Proxy con terminación SSL y compresión Gzip.</w:t>
      </w:r>
    </w:p>
    <w:p>
      <w:pPr>
        <w:spacing w:after="100" w:line="276" w:lineRule="auto"/>
      </w:pPr>
      <w:r>
        <w:rPr>
          <w:rFonts w:ascii="Calibri" w:hAnsi="Calibri"/>
          <w:b/>
          <w:color w:val="1A365D"/>
          <w:sz w:val="21"/>
        </w:rPr>
        <w:t xml:space="preserve">Herramientas Utilizadas: </w:t>
      </w:r>
      <w:r>
        <w:rPr>
          <w:rFonts w:ascii="Calibri" w:hAnsi="Calibri"/>
          <w:color w:val="2D3748"/>
          <w:sz w:val="21"/>
        </w:rPr>
        <w:t>Ansible (gestión de configuración sin agentes), Systemd (gestor de procesos del sistema Linux), Nginx (Reverse Proxy y SSL), Jinja2 (plantillas de configuración).</w:t>
      </w:r>
    </w:p>
    <w:p>
      <w:pPr>
        <w:spacing w:after="40"/>
      </w:pPr>
    </w:p>
    <w:p>
      <w:pPr>
        <w:spacing w:after="40"/>
      </w:pPr>
      <w:r>
        <w:rPr>
          <w:b/>
          <w:color w:val="1A365D"/>
          <w:sz w:val="21"/>
        </w:rPr>
        <w:t>Qué se Creó y se Modificó:</w:t>
      </w:r>
    </w:p>
    <w:p>
      <w:pPr>
        <w:pStyle w:val="ListBullet"/>
        <w:spacing w:after="60" w:line="276" w:lineRule="auto"/>
      </w:pPr>
      <w:r>
        <w:rPr>
          <w:rFonts w:ascii="Calibri" w:hAnsi="Calibri"/>
          <w:color w:val="2D3748"/>
          <w:sz w:val="21"/>
        </w:rPr>
        <w:t>ansible/playbook_operate.yml: Playbook declarativo de aprovisionamiento de servidor.</w:t>
      </w:r>
    </w:p>
    <w:p>
      <w:pPr>
        <w:pStyle w:val="ListBullet"/>
        <w:spacing w:after="60" w:line="276" w:lineRule="auto"/>
      </w:pPr>
      <w:r>
        <w:rPr>
          <w:rFonts w:ascii="Calibri" w:hAnsi="Calibri"/>
          <w:color w:val="2D3748"/>
          <w:sz w:val="21"/>
        </w:rPr>
        <w:t>ansible/templates/seniorassist.service.j2: Plantilla de unidad Systemd con políticas de auto-recuperación y límites de memoria.</w:t>
      </w:r>
    </w:p>
    <w:p>
      <w:pPr>
        <w:pStyle w:val="ListBullet"/>
        <w:spacing w:after="60" w:line="276" w:lineRule="auto"/>
      </w:pPr>
      <w:r>
        <w:rPr>
          <w:rFonts w:ascii="Calibri" w:hAnsi="Calibri"/>
          <w:color w:val="2D3748"/>
          <w:sz w:val="21"/>
        </w:rPr>
        <w:t>ansible/templates/nginx_seniorassist.conf.j2: Plantilla de proxy inverso Nginx con encabezados de seguridad HSTS y CORS.</w:t>
      </w:r>
    </w:p>
    <w:p>
      <w:pPr>
        <w:pStyle w:val="ListBullet"/>
        <w:spacing w:after="60" w:line="276" w:lineRule="auto"/>
      </w:pPr>
      <w:r>
        <w:rPr>
          <w:rFonts w:ascii="Calibri" w:hAnsi="Calibri"/>
          <w:color w:val="2D3748"/>
          <w:sz w:val="21"/>
        </w:rPr>
        <w:t>ansible/inventory.ini: Inventario parametrizado de servidores.</w:t>
      </w:r>
    </w:p>
    <w:p>
      <w:pPr>
        <w:pStyle w:val="ListBullet"/>
        <w:spacing w:after="60" w:line="276" w:lineRule="auto"/>
      </w:pPr>
      <w:r>
        <w:rPr>
          <w:rFonts w:ascii="Calibri" w:hAnsi="Calibri"/>
          <w:color w:val="2D3748"/>
          <w:sz w:val="21"/>
        </w:rPr>
        <w:t>ansible/README.md: Manual de operaciones y mantenimiento.</w:t>
      </w:r>
    </w:p>
    <w:p>
      <w:pPr>
        <w:spacing w:after="100" w:line="276" w:lineRule="auto"/>
      </w:pPr>
      <w:r>
        <w:rPr>
          <w:rFonts w:ascii="Calibri" w:hAnsi="Calibri"/>
          <w:b/>
          <w:color w:val="1A365D"/>
          <w:sz w:val="21"/>
        </w:rPr>
        <w:t xml:space="preserve">Archivos para Abrir y Mostrar en el Repositorio: </w:t>
      </w:r>
      <w:r>
        <w:rPr>
          <w:rFonts w:ascii="Calibri" w:hAnsi="Calibri"/>
          <w:color w:val="2D3748"/>
          <w:sz w:val="21"/>
        </w:rPr>
        <w:t>ansible/playbook_operate.yml, ansible/templates/seniorassist.service.j2, ansible/templates/nginx_seniorassist.conf.j2</w:t>
      </w:r>
    </w:p>
    <w:tbl>
      <w:tblPr>
        <w:tblW w:type="auto" w:w="0"/>
        <w:jc w:val="center"/>
        <w:tblLayout w:type="fixed"/>
        <w:tblLook w:firstColumn="1" w:firstRow="1" w:lastColumn="0" w:lastRow="0" w:noHBand="0" w:noVBand="1" w:val="04A0"/>
      </w:tblPr>
      <w:tblGrid>
        <w:gridCol w:w="9648"/>
      </w:tblGrid>
      <w:tr>
        <w:tc>
          <w:tcPr>
            <w:tcW w:type="dxa" w:w="9648"/>
            <w:shd w:fill="F0F9FF"/>
            <w:tcMar>
              <w:top w:w="120" w:type="dxa"/>
              <w:bottom w:w="120" w:type="dxa"/>
              <w:left w:w="180" w:type="dxa"/>
              <w:right w:w="180" w:type="dxa"/>
            </w:tcMar>
            <w:tcBorders>
              <w:left w:val="single" w:sz="36" w:space="0" w:color="0D7685"/>
              <w:top w:val="none"/>
              <w:right w:val="none"/>
              <w:bottom w:val="none"/>
            </w:tcBorders>
          </w:tcPr>
          <w:p>
            <w:pPr>
              <w:spacing w:after="80"/>
            </w:pPr>
            <w:r>
              <w:rPr>
                <w:rFonts w:ascii="Calibri" w:hAnsi="Calibri"/>
                <w:b/>
                <w:color w:val="0D7685"/>
                <w:sz w:val="21"/>
              </w:rPr>
              <w:t>📌 Cómo Explicar y Defender esta Fase ante el Profesor</w:t>
              <w:br/>
            </w:r>
            <w:r>
              <w:rPr>
                <w:rFonts w:ascii="Calibri" w:hAnsi="Calibri"/>
                <w:i/>
                <w:color w:val="2D3748"/>
                <w:sz w:val="20"/>
              </w:rPr>
              <w:t>Profesor, en DevOps la responsabilidad del equipo no termina con el deploy. En OPERATE utilizamos Ansible para lograr 'Infraestructura como Código Inmutable': podemos levantar un servidor idéntico en 2 minutos con un solo comando. Y con Systemd garantizamos Alta Disponibilidad: si el proceso de Python muere, el sistema operativo lo reinicia en menos de 1 segundo sin intervención humana.</w:t>
            </w:r>
          </w:p>
        </w:tc>
      </w:tr>
    </w:tbl>
    <w:p>
      <w:pPr>
        <w:spacing w:after="80"/>
      </w:pPr>
    </w:p>
    <w:p>
      <w:pPr>
        <w:pStyle w:val="Heading1"/>
        <w:keepNext/>
        <w:spacing w:before="320" w:after="120"/>
      </w:pPr>
      <w:r>
        <w:rPr>
          <w:rFonts w:ascii="Calibri" w:hAnsi="Calibri"/>
          <w:b/>
          <w:color w:val="1A365D"/>
          <w:sz w:val="30"/>
        </w:rPr>
        <w:t>FASE 8: MONITOR (MONITOREO, OBSERVABILIDAD Y BUCLE DE RETROALIMENTACIÓN)</w:t>
      </w:r>
    </w:p>
    <w:p>
      <w:pPr>
        <w:spacing w:after="100" w:line="276" w:lineRule="auto"/>
      </w:pPr>
      <w:r>
        <w:rPr>
          <w:rFonts w:ascii="Calibri" w:hAnsi="Calibri"/>
          <w:color w:val="2D3748"/>
          <w:sz w:val="21"/>
        </w:rPr>
        <w:t>Implementación de los 3 pilares de la observabilidad: Métricas, Trazas y Logs. El backend expone métricas en formato estándar de Prometheus y Datadog en /monitoring/metrics. La app móvil ejecuta el servicio MonitoringService.ts para medir latencia de red de voz y rendimiento de batería. Se crearon reglas de alerta (alerts.yaml) para notificar si la latencia supera los 2 segundos o los errores 5xx superan el 1%. Estas métricas cierran el bucle DevOps alimentando el backlog de PLAN.</w:t>
      </w:r>
    </w:p>
    <w:p>
      <w:pPr>
        <w:spacing w:after="100" w:line="276" w:lineRule="auto"/>
      </w:pPr>
      <w:r>
        <w:rPr>
          <w:rFonts w:ascii="Calibri" w:hAnsi="Calibri"/>
          <w:b/>
          <w:color w:val="1A365D"/>
          <w:sz w:val="21"/>
        </w:rPr>
        <w:t xml:space="preserve">Herramientas Utilizadas: </w:t>
      </w:r>
      <w:r>
        <w:rPr>
          <w:rFonts w:ascii="Calibri" w:hAnsi="Calibri"/>
          <w:color w:val="2D3748"/>
          <w:sz w:val="21"/>
        </w:rPr>
        <w:t>Datadog APM &amp; Tracing, AWS CloudWatch, Prometheus Metrics Exporter, FastAPI Custom Telemetry Middleware.</w:t>
      </w:r>
    </w:p>
    <w:p>
      <w:pPr>
        <w:spacing w:after="40"/>
      </w:pPr>
    </w:p>
    <w:p>
      <w:pPr>
        <w:spacing w:after="40"/>
      </w:pPr>
      <w:r>
        <w:rPr>
          <w:b/>
          <w:color w:val="1A365D"/>
          <w:sz w:val="21"/>
        </w:rPr>
        <w:t>Qué se Creó y se Modificó:</w:t>
      </w:r>
    </w:p>
    <w:p>
      <w:pPr>
        <w:pStyle w:val="ListBullet"/>
        <w:spacing w:after="60" w:line="276" w:lineRule="auto"/>
      </w:pPr>
      <w:r>
        <w:rPr>
          <w:rFonts w:ascii="Calibri" w:hAnsi="Calibri"/>
          <w:color w:val="2D3748"/>
          <w:sz w:val="21"/>
        </w:rPr>
        <w:t>backend/app/routers/monitoring.py: Endpoints /monitoring/metrics y /monitoring/health con métricas de CPU, memoria y peticiones.</w:t>
      </w:r>
    </w:p>
    <w:p>
      <w:pPr>
        <w:pStyle w:val="ListBullet"/>
        <w:spacing w:after="60" w:line="276" w:lineRule="auto"/>
      </w:pPr>
      <w:r>
        <w:rPr>
          <w:rFonts w:ascii="Calibri" w:hAnsi="Calibri"/>
          <w:color w:val="2D3748"/>
          <w:sz w:val="21"/>
        </w:rPr>
        <w:t>src/services/MonitoringService.ts: Agente de telemetría de experiencia de usuario en el cliente móvil.</w:t>
      </w:r>
    </w:p>
    <w:p>
      <w:pPr>
        <w:pStyle w:val="ListBullet"/>
        <w:spacing w:after="60" w:line="276" w:lineRule="auto"/>
      </w:pPr>
      <w:r>
        <w:rPr>
          <w:rFonts w:ascii="Calibri" w:hAnsi="Calibri"/>
          <w:color w:val="2D3748"/>
          <w:sz w:val="21"/>
        </w:rPr>
        <w:t>monitoring/alerts.yaml: Reglas de alarma para Prometheus y Datadog.</w:t>
      </w:r>
    </w:p>
    <w:p>
      <w:pPr>
        <w:pStyle w:val="ListBullet"/>
        <w:spacing w:after="60" w:line="276" w:lineRule="auto"/>
      </w:pPr>
      <w:r>
        <w:rPr>
          <w:rFonts w:ascii="Calibri" w:hAnsi="Calibri"/>
          <w:color w:val="2D3748"/>
          <w:sz w:val="21"/>
        </w:rPr>
        <w:t>monitoring/dashboard_cloudwatch.json: Dashboard de monitoreo ejecutivo en AWS CloudWatch.</w:t>
      </w:r>
    </w:p>
    <w:p>
      <w:pPr>
        <w:pStyle w:val="ListBullet"/>
        <w:spacing w:after="60" w:line="276" w:lineRule="auto"/>
      </w:pPr>
      <w:r>
        <w:rPr>
          <w:rFonts w:ascii="Calibri" w:hAnsi="Calibri"/>
          <w:color w:val="2D3748"/>
          <w:sz w:val="21"/>
        </w:rPr>
        <w:t>monitoring/datadog_agent.yaml: Configuración del agente de APM de Datadog.</w:t>
      </w:r>
    </w:p>
    <w:p>
      <w:pPr>
        <w:spacing w:after="100" w:line="276" w:lineRule="auto"/>
      </w:pPr>
      <w:r>
        <w:rPr>
          <w:rFonts w:ascii="Calibri" w:hAnsi="Calibri"/>
          <w:b/>
          <w:color w:val="1A365D"/>
          <w:sz w:val="21"/>
        </w:rPr>
        <w:t xml:space="preserve">Archivos para Abrir y Mostrar en el Repositorio: </w:t>
      </w:r>
      <w:r>
        <w:rPr>
          <w:rFonts w:ascii="Calibri" w:hAnsi="Calibri"/>
          <w:color w:val="2D3748"/>
          <w:sz w:val="21"/>
        </w:rPr>
        <w:t>backend/app/routers/monitoring.py, src/services/MonitoringService.ts, monitoring/alerts.yaml, monitoring/dashboard_cloudwatch.json</w:t>
      </w:r>
    </w:p>
    <w:tbl>
      <w:tblPr>
        <w:tblW w:type="auto" w:w="0"/>
        <w:jc w:val="center"/>
        <w:tblLayout w:type="fixed"/>
        <w:tblLook w:firstColumn="1" w:firstRow="1" w:lastColumn="0" w:lastRow="0" w:noHBand="0" w:noVBand="1" w:val="04A0"/>
      </w:tblPr>
      <w:tblGrid>
        <w:gridCol w:w="9648"/>
      </w:tblGrid>
      <w:tr>
        <w:tc>
          <w:tcPr>
            <w:tcW w:type="dxa" w:w="9648"/>
            <w:shd w:fill="F0F9FF"/>
            <w:tcMar>
              <w:top w:w="120" w:type="dxa"/>
              <w:bottom w:w="120" w:type="dxa"/>
              <w:left w:w="180" w:type="dxa"/>
              <w:right w:w="180" w:type="dxa"/>
            </w:tcMar>
            <w:tcBorders>
              <w:left w:val="single" w:sz="36" w:space="0" w:color="0D7685"/>
              <w:top w:val="none"/>
              <w:right w:val="none"/>
              <w:bottom w:val="none"/>
            </w:tcBorders>
          </w:tcPr>
          <w:p>
            <w:pPr>
              <w:spacing w:after="80"/>
            </w:pPr>
            <w:r>
              <w:rPr>
                <w:rFonts w:ascii="Calibri" w:hAnsi="Calibri"/>
                <w:b/>
                <w:color w:val="0D7685"/>
                <w:sz w:val="21"/>
              </w:rPr>
              <w:t>📌 Cómo Explicar y Defender esta Fase ante el Profesor</w:t>
              <w:br/>
            </w:r>
            <w:r>
              <w:rPr>
                <w:rFonts w:ascii="Calibri" w:hAnsi="Calibri"/>
                <w:i/>
                <w:color w:val="2D3748"/>
                <w:sz w:val="20"/>
              </w:rPr>
              <w:t>Profesor, el monitoreo es lo que convierte una línea recta en el círculo infinito de DevOps. Con Datadog y nuestro endpoint /monitoring/metrics medimos el tiempo de respuesta de cada orden de voz. Si una orden de un adulto mayor tarda más de 2 segundos, se dispara una alerta y esa información alimenta la fase de PLAN para optimizar el modelo en el siguiente sprint.</w:t>
            </w:r>
          </w:p>
        </w:tc>
      </w:tr>
    </w:tbl>
    <w:p>
      <w:pPr>
        <w:spacing w:after="80"/>
      </w:pPr>
    </w:p>
    <w:p>
      <w:pPr>
        <w:pStyle w:val="Heading1"/>
        <w:keepNext/>
        <w:spacing w:before="320" w:after="120"/>
      </w:pPr>
      <w:r>
        <w:rPr>
          <w:rFonts w:ascii="Calibri" w:hAnsi="Calibri"/>
          <w:b/>
          <w:color w:val="1A365D"/>
          <w:sz w:val="30"/>
        </w:rPr>
        <w:t>3. BANCO DE PREGUNTAS TRAMPA DEL PROFESOR Y RESPUESTAS DEVOPS</w:t>
      </w:r>
    </w:p>
    <w:tbl>
      <w:tblPr>
        <w:tblW w:type="auto" w:w="0"/>
        <w:jc w:val="center"/>
        <w:tblLayout w:type="fixed"/>
        <w:tblLook w:firstColumn="1" w:firstRow="1" w:lastColumn="0" w:lastRow="0" w:noHBand="0" w:noVBand="1" w:val="04A0"/>
      </w:tblPr>
      <w:tblGrid>
        <w:gridCol w:w="9648"/>
      </w:tblGrid>
      <w:tr>
        <w:tc>
          <w:tcPr>
            <w:tcW w:type="dxa" w:w="9648"/>
            <w:shd w:fill="FFFBEB"/>
            <w:tcMar>
              <w:top w:w="120" w:type="dxa"/>
              <w:bottom w:w="120" w:type="dxa"/>
              <w:left w:w="180" w:type="dxa"/>
              <w:right w:w="180" w:type="dxa"/>
            </w:tcMar>
            <w:tcBorders>
              <w:left w:val="single" w:sz="36" w:space="0" w:color="D97706"/>
              <w:top w:val="none"/>
              <w:right w:val="none"/>
              <w:bottom w:val="none"/>
            </w:tcBorders>
          </w:tcPr>
          <w:p>
            <w:pPr>
              <w:spacing w:after="80"/>
            </w:pPr>
            <w:r>
              <w:rPr>
                <w:rFonts w:ascii="Calibri" w:hAnsi="Calibri"/>
                <w:b/>
                <w:color w:val="D97706"/>
                <w:sz w:val="21"/>
              </w:rPr>
              <w:t>📌 Pregunta Trampa: "¿Por qué esto es DevOps y no desarrollo tradicional de software?"</w:t>
              <w:br/>
            </w:r>
            <w:r>
              <w:rPr>
                <w:rFonts w:ascii="Calibri" w:hAnsi="Calibri"/>
                <w:i/>
                <w:color w:val="2D3748"/>
                <w:sz w:val="20"/>
              </w:rPr>
              <w:t>Tu Respuesta Técnica: Profesor, el desarrollo tradicional termina cuando el programador entrega el código y dice 'en mi máquina funciona'. En SeniorAssist implementamos DevOps porque automatizamos la cadena de valor completa: cada cambio pasa por pruebas automáticas (TEST), se empaqueta sin tocar nada manual (BUILD y RELEASE), se despliega con infraestructura como código (DEPLOY), se opera con auto-recuperación (OPERATE) y se monitorea con telemetría en vivo (MONITOR) para retroalimentar la planificación (PLAN).</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FFBEB"/>
            <w:tcMar>
              <w:top w:w="120" w:type="dxa"/>
              <w:bottom w:w="120" w:type="dxa"/>
              <w:left w:w="180" w:type="dxa"/>
              <w:right w:w="180" w:type="dxa"/>
            </w:tcMar>
            <w:tcBorders>
              <w:left w:val="single" w:sz="36" w:space="0" w:color="D97706"/>
              <w:top w:val="none"/>
              <w:right w:val="none"/>
              <w:bottom w:val="none"/>
            </w:tcBorders>
          </w:tcPr>
          <w:p>
            <w:pPr>
              <w:spacing w:after="80"/>
            </w:pPr>
            <w:r>
              <w:rPr>
                <w:rFonts w:ascii="Calibri" w:hAnsi="Calibri"/>
                <w:b/>
                <w:color w:val="D97706"/>
                <w:sz w:val="21"/>
              </w:rPr>
              <w:t>📌 Pregunta Trampa: "¿Cómo garantizan la trazabilidad si ocurre un error en producción?"</w:t>
              <w:br/>
            </w:r>
            <w:r>
              <w:rPr>
                <w:rFonts w:ascii="Calibri" w:hAnsi="Calibri"/>
                <w:i/>
                <w:color w:val="2D3748"/>
                <w:sz w:val="20"/>
              </w:rPr>
              <w:t>Tu Respuesta Técnica: La trazabilidad es total mediante Git y artefactos inmutables. Cada commit sigue la convención de Conventional Commits. La versión v1.0.0 está respaldada por un Git Tag inmutable, un CHANGELOG.md formal y el archivo SHA256SUMS.txt con el hash criptográfico del APK. Cualquier persona puede auditar el hash del binario y comprobar que corresponde exactamente a ese commit.</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648"/>
            <w:shd w:fill="FFFBEB"/>
            <w:tcMar>
              <w:top w:w="120" w:type="dxa"/>
              <w:bottom w:w="120" w:type="dxa"/>
              <w:left w:w="180" w:type="dxa"/>
              <w:right w:w="180" w:type="dxa"/>
            </w:tcMar>
            <w:tcBorders>
              <w:left w:val="single" w:sz="36" w:space="0" w:color="D97706"/>
              <w:top w:val="none"/>
              <w:right w:val="none"/>
              <w:bottom w:val="none"/>
            </w:tcBorders>
          </w:tcPr>
          <w:p>
            <w:pPr>
              <w:spacing w:after="80"/>
            </w:pPr>
            <w:r>
              <w:rPr>
                <w:rFonts w:ascii="Calibri" w:hAnsi="Calibri"/>
                <w:b/>
                <w:color w:val="D97706"/>
                <w:sz w:val="21"/>
              </w:rPr>
              <w:t>📌 Pregunta Trampa: "Si el servidor en la nube se cae o no hay internet, ¿la aplicación deja de funcionar?"</w:t>
              <w:br/>
            </w:r>
            <w:r>
              <w:rPr>
                <w:rFonts w:ascii="Calibri" w:hAnsi="Calibri"/>
                <w:i/>
                <w:color w:val="2D3748"/>
                <w:sz w:val="20"/>
              </w:rPr>
              <w:t>Tu Respuesta Técnica: No, profesor. Diseñamos la arquitectura bajo el principio de 'Graceful Degradation' y 'Offline-First'. El cliente móvil tiene un motor local de inferencia, SQLite local para medicamentos y acceso nativo al hardware para llamadas de emergencia, linterna y lupa. Si la nube o internet fallan, la app conmuta a modo local sin que el adulto mayor experimente errores.</w:t>
            </w:r>
          </w:p>
        </w:tc>
      </w:tr>
    </w:tbl>
    <w:p>
      <w:pPr>
        <w:spacing w:after="80"/>
      </w:pP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