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Groupe 6 — Architecture Lakehouse pour la forensique numérique</w:t>
      </w:r>
    </w:p>
    <w:p>
      <w:pPr>
        <w:spacing w:after="300"/>
      </w:pPr>
      <w:r>
        <w:rPr>
          <w:color w:val="0E7C7B"/>
          <w:sz w:val="24"/>
          <w:szCs w:val="24"/>
        </w:rPr>
        <w:t xml:space="preserve">Rapport — Semaine 2 : Nettoyage des données (Zone Silver)</w:t>
      </w:r>
    </w:p>
    <w:p>
      <w:pPr>
        <w:pStyle w:val="Heading1"/>
        <w:spacing w:after="150" w:before="300"/>
      </w:pPr>
      <w:r>
        <w:rPr>
          <w:b/>
          <w:bCs/>
          <w:color w:val="1F3864"/>
          <w:sz w:val="30"/>
          <w:szCs w:val="30"/>
        </w:rPr>
        <w:t xml:space="preserve">1. Objectif</w:t>
      </w:r>
    </w:p>
    <w:p>
      <w:pPr>
        <w:spacing w:after="140"/>
      </w:pPr>
      <w:r>
        <w:rPr>
          <w:b w:val="false"/>
          <w:bCs w:val="false"/>
          <w:i w:val="false"/>
          <w:iCs w:val="false"/>
          <w:sz w:val="21"/>
          <w:szCs w:val="21"/>
        </w:rPr>
        <w:t xml:space="preserve">Transformer les données brutes de la zone Bronze (auth.txt.gz, 1 051 430 459 lignes) en un jeu de données nettoyé et typé, exporté au format Parquet dans la zone Silver, en corrigeant les anomalies identifiées lors du diagnostic qualité (voir rapport Semaine 1).</w:t>
      </w:r>
    </w:p>
    <w:p>
      <w:pPr>
        <w:pStyle w:val="Heading1"/>
        <w:spacing w:after="150" w:before="300"/>
      </w:pPr>
      <w:r>
        <w:rPr>
          <w:b/>
          <w:bCs/>
          <w:color w:val="1F3864"/>
          <w:sz w:val="30"/>
          <w:szCs w:val="30"/>
        </w:rPr>
        <w:t xml:space="preserve">2. Corrections appliquées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1F3864" w:val="clear"/>
            <w:tcMar>
              <w:top w:type="dxa" w:w="80"/>
              <w:left w:type="dxa" w:w="100"/>
              <w:bottom w:type="dxa" w:w="80"/>
              <w:right w:type="dxa" w:w="100"/>
            </w:tcMar>
          </w:tcPr>
          <w:p>
            <w:r>
              <w:rPr>
                <w:b/>
                <w:bCs/>
                <w:color w:val="FFFFFF"/>
                <w:sz w:val="20"/>
                <w:szCs w:val="20"/>
              </w:rPr>
              <w:t xml:space="preserve">Anomalie</w:t>
            </w:r>
          </w:p>
        </w:tc>
        <w:tc>
          <w:tcPr>
            <w:tcW w:type="dxa" w:w="4800"/>
            <w:shd w:fill="1F3864" w:val="clear"/>
            <w:tcMar>
              <w:top w:type="dxa" w:w="80"/>
              <w:left w:type="dxa" w:w="100"/>
              <w:bottom w:type="dxa" w:w="80"/>
              <w:right w:type="dxa" w:w="100"/>
            </w:tcMar>
          </w:tcPr>
          <w:p>
            <w:r>
              <w:rPr>
                <w:b/>
                <w:bCs/>
                <w:color w:val="FFFFFF"/>
                <w:sz w:val="20"/>
                <w:szCs w:val="20"/>
              </w:rPr>
              <w:t xml:space="preserve">Correction</w:t>
            </w:r>
          </w:p>
        </w:tc>
      </w:tr>
      <w:tr>
        <w:tc>
          <w:tcPr>
            <w:tcW w:type="dxa" w:w="4200"/>
            <w:tcMar>
              <w:top w:type="dxa" w:w="80"/>
              <w:left w:type="dxa" w:w="100"/>
              <w:bottom w:type="dxa" w:w="80"/>
              <w:right w:type="dxa" w:w="100"/>
            </w:tcMar>
          </w:tcPr>
          <w:p>
            <w:r>
              <w:rPr>
                <w:b w:val="false"/>
                <w:bCs w:val="false"/>
                <w:color w:val="000000"/>
                <w:sz w:val="20"/>
                <w:szCs w:val="20"/>
              </w:rPr>
              <w:t xml:space="preserve">Valeurs manquantes notées « ? »</w:t>
            </w:r>
          </w:p>
        </w:tc>
        <w:tc>
          <w:tcPr>
            <w:tcW w:type="dxa" w:w="4800"/>
            <w:tcMar>
              <w:top w:type="dxa" w:w="80"/>
              <w:left w:type="dxa" w:w="100"/>
              <w:bottom w:type="dxa" w:w="80"/>
              <w:right w:type="dxa" w:w="100"/>
            </w:tcMar>
          </w:tcPr>
          <w:p>
            <w:r>
              <w:rPr>
                <w:b w:val="false"/>
                <w:bCs w:val="false"/>
                <w:color w:val="000000"/>
                <w:sz w:val="20"/>
                <w:szCs w:val="20"/>
              </w:rPr>
              <w:t xml:space="preserve">Conversion en NULL via NULLIF()</w:t>
            </w:r>
          </w:p>
        </w:tc>
      </w:tr>
      <w:tr>
        <w:tc>
          <w:tcPr>
            <w:tcW w:type="dxa" w:w="4200"/>
            <w:tcMar>
              <w:top w:type="dxa" w:w="80"/>
              <w:left w:type="dxa" w:w="100"/>
              <w:bottom w:type="dxa" w:w="80"/>
              <w:right w:type="dxa" w:w="100"/>
            </w:tcMar>
          </w:tcPr>
          <w:p>
            <w:r>
              <w:rPr>
                <w:b w:val="false"/>
                <w:bCs w:val="false"/>
                <w:color w:val="000000"/>
                <w:sz w:val="20"/>
                <w:szCs w:val="20"/>
              </w:rPr>
              <w:t xml:space="preserve">Variantes tronquées de MICROSOFT_AUTHENTICATION_PACKAGE_V1_0</w:t>
            </w:r>
          </w:p>
        </w:tc>
        <w:tc>
          <w:tcPr>
            <w:tcW w:type="dxa" w:w="4800"/>
            <w:tcMar>
              <w:top w:type="dxa" w:w="80"/>
              <w:left w:type="dxa" w:w="100"/>
              <w:bottom w:type="dxa" w:w="80"/>
              <w:right w:type="dxa" w:w="100"/>
            </w:tcMar>
          </w:tcPr>
          <w:p>
            <w:r>
              <w:rPr>
                <w:b w:val="false"/>
                <w:bCs w:val="false"/>
                <w:color w:val="000000"/>
                <w:sz w:val="20"/>
                <w:szCs w:val="20"/>
              </w:rPr>
              <w:t xml:space="preserve">Regroupement par correspondance de préfixe (LIKE)</w:t>
            </w:r>
          </w:p>
        </w:tc>
      </w:tr>
      <w:tr>
        <w:tc>
          <w:tcPr>
            <w:tcW w:type="dxa" w:w="4200"/>
            <w:tcMar>
              <w:top w:type="dxa" w:w="80"/>
              <w:left w:type="dxa" w:w="100"/>
              <w:bottom w:type="dxa" w:w="80"/>
              <w:right w:type="dxa" w:w="100"/>
            </w:tcMar>
          </w:tcPr>
          <w:p>
            <w:r>
              <w:rPr>
                <w:b w:val="false"/>
                <w:bCs w:val="false"/>
                <w:color w:val="000000"/>
                <w:sz w:val="20"/>
                <w:szCs w:val="20"/>
              </w:rPr>
              <w:t xml:space="preserve">Tickets Kerberos (TGT) et identifiants utilisateurs (U-) mélangés avec les noms de machine dans destination_computer</w:t>
            </w:r>
          </w:p>
        </w:tc>
        <w:tc>
          <w:tcPr>
            <w:tcW w:type="dxa" w:w="4800"/>
            <w:tcMar>
              <w:top w:type="dxa" w:w="80"/>
              <w:left w:type="dxa" w:w="100"/>
              <w:bottom w:type="dxa" w:w="80"/>
              <w:right w:type="dxa" w:w="100"/>
            </w:tcMar>
          </w:tcPr>
          <w:p>
            <w:r>
              <w:rPr>
                <w:b w:val="false"/>
                <w:bCs w:val="false"/>
                <w:color w:val="000000"/>
                <w:sz w:val="20"/>
                <w:szCs w:val="20"/>
              </w:rPr>
              <w:t xml:space="preserve">Nouvelle colonne categorie_destination (machine / ticket_kerberos / identifiant_utilisateur / autre)</w:t>
            </w:r>
          </w:p>
        </w:tc>
      </w:tr>
      <w:tr>
        <w:tc>
          <w:tcPr>
            <w:tcW w:type="dxa" w:w="4200"/>
            <w:tcMar>
              <w:top w:type="dxa" w:w="80"/>
              <w:left w:type="dxa" w:w="100"/>
              <w:bottom w:type="dxa" w:w="80"/>
              <w:right w:type="dxa" w:w="100"/>
            </w:tcMar>
          </w:tcPr>
          <w:p>
            <w:r>
              <w:rPr>
                <w:b w:val="false"/>
                <w:bCs w:val="false"/>
                <w:color w:val="000000"/>
                <w:sz w:val="20"/>
                <w:szCs w:val="20"/>
              </w:rPr>
              <w:t xml:space="preserve">Temps exprimé en secondes depuis le début de capture, non exploitable directement</w:t>
            </w:r>
          </w:p>
        </w:tc>
        <w:tc>
          <w:tcPr>
            <w:tcW w:type="dxa" w:w="4800"/>
            <w:tcMar>
              <w:top w:type="dxa" w:w="80"/>
              <w:left w:type="dxa" w:w="100"/>
              <w:bottom w:type="dxa" w:w="80"/>
              <w:right w:type="dxa" w:w="100"/>
            </w:tcMar>
          </w:tcPr>
          <w:p>
            <w:r>
              <w:rPr>
                <w:b w:val="false"/>
                <w:bCs w:val="false"/>
                <w:color w:val="000000"/>
                <w:sz w:val="20"/>
                <w:szCs w:val="20"/>
              </w:rPr>
              <w:t xml:space="preserve">Nouvelle colonne heure_du_jour = (temps_secondes % 86400) / 3600</w:t>
            </w:r>
          </w:p>
        </w:tc>
      </w:tr>
      <w:tr>
        <w:tc>
          <w:tcPr>
            <w:tcW w:type="dxa" w:w="4200"/>
            <w:tcMar>
              <w:top w:type="dxa" w:w="80"/>
              <w:left w:type="dxa" w:w="100"/>
              <w:bottom w:type="dxa" w:w="80"/>
              <w:right w:type="dxa" w:w="100"/>
            </w:tcMar>
          </w:tcPr>
          <w:p>
            <w:r>
              <w:rPr>
                <w:b w:val="false"/>
                <w:bCs w:val="false"/>
                <w:color w:val="000000"/>
                <w:sz w:val="20"/>
                <w:szCs w:val="20"/>
              </w:rPr>
              <w:t xml:space="preserve">success_failure au format texte</w:t>
            </w:r>
          </w:p>
        </w:tc>
        <w:tc>
          <w:tcPr>
            <w:tcW w:type="dxa" w:w="4800"/>
            <w:tcMar>
              <w:top w:type="dxa" w:w="80"/>
              <w:left w:type="dxa" w:w="100"/>
              <w:bottom w:type="dxa" w:w="80"/>
              <w:right w:type="dxa" w:w="100"/>
            </w:tcMar>
          </w:tcPr>
          <w:p>
            <w:r>
              <w:rPr>
                <w:b w:val="false"/>
                <w:bCs w:val="false"/>
                <w:color w:val="000000"/>
                <w:sz w:val="20"/>
                <w:szCs w:val="20"/>
              </w:rPr>
              <w:t xml:space="preserve">Conversion en booléen (succes)</w:t>
            </w:r>
          </w:p>
        </w:tc>
      </w:tr>
    </w:tbl>
    <w:p>
      <w:pPr>
        <w:pStyle w:val="Heading1"/>
        <w:spacing w:after="150" w:before="300"/>
      </w:pPr>
      <w:r>
        <w:rPr>
          <w:b/>
          <w:bCs/>
          <w:color w:val="1F3864"/>
          <w:sz w:val="30"/>
          <w:szCs w:val="30"/>
        </w:rPr>
        <w:t xml:space="preserve">3. Difficultés rencontrées et solutions</w:t>
      </w:r>
    </w:p>
    <w:p>
      <w:pPr>
        <w:pStyle w:val="Heading2"/>
        <w:spacing w:after="120" w:before="240"/>
      </w:pPr>
      <w:r>
        <w:rPr>
          <w:b/>
          <w:bCs/>
          <w:color w:val="0E7C7B"/>
          <w:sz w:val="24"/>
          <w:szCs w:val="24"/>
        </w:rPr>
        <w:t xml:space="preserve">3.1 Erreur d'accès au dossier temporaire Windows</w:t>
      </w:r>
    </w:p>
    <w:p>
      <w:pPr>
        <w:spacing w:after="140"/>
      </w:pPr>
      <w:r>
        <w:rPr>
          <w:b w:val="false"/>
          <w:bCs w:val="false"/>
          <w:i w:val="false"/>
          <w:iCs w:val="false"/>
          <w:sz w:val="21"/>
          <w:szCs w:val="21"/>
        </w:rPr>
        <w:t xml:space="preserve">Erreur initiale : impossible de créer le dossier temporaire DuckDB par défaut (C:\Users\...\AppData\Local\Temp\...). Solution : redirection explicite du dossier temporaire DuckDB vers un disque externe (G:), via la configuration temp_directory.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dir.create("G:/duckdb/temp", recursive = TRUE)</w:t>
      </w:r>
      <w:r>
        <w:rPr>
          <w:rFonts w:ascii="Consolas" w:cs="Consolas" w:eastAsia="Consolas" w:hAnsi="Consolas"/>
          <w:sz w:val="18"/>
          <w:szCs w:val="18"/>
        </w:rPr>
        <w:br/>
        <w:t xml:space="preserve">dbExecute(con, "SET temp_directory='G:/duckdb/temp'")</w:t>
      </w:r>
    </w:p>
    <w:p>
      <w:pPr>
        <w:pStyle w:val="Heading2"/>
        <w:spacing w:after="120" w:before="240"/>
      </w:pPr>
      <w:r>
        <w:rPr>
          <w:b/>
          <w:bCs/>
          <w:color w:val="0E7C7B"/>
          <w:sz w:val="24"/>
          <w:szCs w:val="24"/>
        </w:rPr>
        <w:t xml:space="preserve">3.2 Traitement anormalement lent (99% de progression bloqué)</w:t>
      </w:r>
    </w:p>
    <w:p>
      <w:pPr>
        <w:spacing w:after="140"/>
      </w:pPr>
      <w:r>
        <w:rPr>
          <w:b w:val="false"/>
          <w:bCs w:val="false"/>
          <w:i w:val="false"/>
          <w:iCs w:val="false"/>
          <w:sz w:val="21"/>
          <w:szCs w:val="21"/>
        </w:rPr>
        <w:t xml:space="preserve">Cause identifiée : la requête initiale utilisait CREATE TABLE pour matérialiser le fichier brut décompressé (estimé entre 40 et 75 Go, un fichier .gz se décompressant généralement 5 à 10 fois sa taille compressée), ce qui imposait une écriture disque complète et inutile avant même le nettoyage. Un débit d'écriture initial de seulement 2,1 Mo/s (probablement ralenti par l'analyse antivirus en temps réel) aggravait le problème, avec une estimation de traitement de plusieurs dizaines d'heures.</w:t>
      </w:r>
    </w:p>
    <w:p>
      <w:pPr>
        <w:spacing w:after="140"/>
      </w:pPr>
      <w:r>
        <w:rPr>
          <w:b w:val="false"/>
          <w:bCs w:val="false"/>
          <w:i w:val="false"/>
          <w:iCs w:val="false"/>
          <w:sz w:val="21"/>
          <w:szCs w:val="21"/>
        </w:rPr>
        <w:t xml:space="preserve">Solution : remplacement de CREATE TABLE par CREATE VIEW pour la lecture du fichier brut (aucune écriture, lecture à la volée), combiné à un export direct des données transformées avec COPY (SELECT ...) TO ... (FORMAT PARQUET), évitant toute table intermédiaire. Le débit d'écriture est passé à 12,6 Mo/s, ramenant le traitement à une quinzaine de minutes.</w:t>
      </w:r>
    </w:p>
    <w:p>
      <w:pPr>
        <w:pStyle w:val="Heading2"/>
        <w:spacing w:after="120" w:before="240"/>
      </w:pPr>
      <w:r>
        <w:rPr>
          <w:b/>
          <w:bCs/>
          <w:color w:val="0E7C7B"/>
          <w:sz w:val="24"/>
          <w:szCs w:val="24"/>
        </w:rPr>
        <w:t xml:space="preserve">3.3 Espace disque insuffisant</w:t>
      </w:r>
    </w:p>
    <w:p>
      <w:pPr>
        <w:spacing w:after="140"/>
      </w:pPr>
      <w:r>
        <w:rPr>
          <w:b w:val="false"/>
          <w:bCs w:val="false"/>
          <w:i w:val="false"/>
          <w:iCs w:val="false"/>
          <w:sz w:val="21"/>
          <w:szCs w:val="21"/>
        </w:rPr>
        <w:t xml:space="preserve">Erreur : « Espace insuffisant sur le disque » lors d'une tentative utilisant une base DuckDB persistante (dbdir) en plus des fichiers temporaires, doublant inutilement l'espace utilisé sur un disque de 17 Go disponibles. Solution : suppression de la base persistante intermédiaire, utilisation d'une connexion DuckDB en mémoire, et export direct compressé (ZSTD) réduisant la taille du résultat final.</w:t>
      </w:r>
    </w:p>
    <w:p>
      <w:pPr>
        <w:pStyle w:val="Heading2"/>
        <w:spacing w:after="120" w:before="240"/>
      </w:pPr>
      <w:r>
        <w:rPr>
          <w:b/>
          <w:bCs/>
          <w:color w:val="0E7C7B"/>
          <w:sz w:val="24"/>
          <w:szCs w:val="24"/>
        </w:rPr>
        <w:t xml:space="preserve">3.4 Suppression de l'opération DISTINCT</w:t>
      </w:r>
    </w:p>
    <w:p>
      <w:pPr>
        <w:spacing w:after="140"/>
      </w:pPr>
      <w:r>
        <w:rPr>
          <w:b w:val="false"/>
          <w:bCs w:val="false"/>
          <w:i w:val="false"/>
          <w:iCs w:val="false"/>
          <w:sz w:val="21"/>
          <w:szCs w:val="21"/>
        </w:rPr>
        <w:t xml:space="preserve">L'opération DISTINCT (suppression des doublons stricts) impose un tri complet sur l'ensemble des colonnes, particulièrement coûteux sur 1,05 milliard de lignes. Une vérification sur échantillon a montré un taux de doublons stricts négligeable, justifiant le retrait de cette opération du pipeline principal pour ce volume de données.</w:t>
      </w:r>
    </w:p>
    <w:p>
      <w:pPr>
        <w:pStyle w:val="Heading1"/>
        <w:spacing w:after="150" w:before="300"/>
      </w:pPr>
      <w:r>
        <w:rPr>
          <w:b/>
          <w:bCs/>
          <w:color w:val="1F3864"/>
          <w:sz w:val="30"/>
          <w:szCs w:val="30"/>
        </w:rPr>
        <w:t xml:space="preserve">4. Script final (version fonctionnelle)</w:t>
      </w:r>
    </w:p>
    <w:p>
      <w:pPr>
        <w:spacing w:after="140"/>
      </w:pPr>
      <w:r>
        <w:rPr>
          <w:b w:val="false"/>
          <w:bCs w:val="false"/>
          <w:i w:val="false"/>
          <w:iCs w:val="false"/>
          <w:sz w:val="21"/>
          <w:szCs w:val="21"/>
        </w:rPr>
        <w:t xml:space="preserve">Le script complet (02_nettoyage_silver.R) est disponible dans le dépôt GitHub du projet. Extrait de la commande centrale de transformation et export :</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dbExecute(con, "</w:t>
      </w:r>
      <w:r>
        <w:rPr>
          <w:rFonts w:ascii="Consolas" w:cs="Consolas" w:eastAsia="Consolas" w:hAnsi="Consolas"/>
          <w:sz w:val="18"/>
          <w:szCs w:val="18"/>
        </w:rPr>
        <w:br/>
        <w:t xml:space="preserve">  COPY (</w:t>
      </w:r>
      <w:r>
        <w:rPr>
          <w:rFonts w:ascii="Consolas" w:cs="Consolas" w:eastAsia="Consolas" w:hAnsi="Consolas"/>
          <w:sz w:val="18"/>
          <w:szCs w:val="18"/>
        </w:rPr>
        <w:br/>
        <w:t xml:space="preserve">    SELECT</w:t>
      </w:r>
      <w:r>
        <w:rPr>
          <w:rFonts w:ascii="Consolas" w:cs="Consolas" w:eastAsia="Consolas" w:hAnsi="Consolas"/>
          <w:sz w:val="18"/>
          <w:szCs w:val="18"/>
        </w:rPr>
        <w:br/>
        <w:t xml:space="preserve">      temps_secondes,</w:t>
      </w:r>
      <w:r>
        <w:rPr>
          <w:rFonts w:ascii="Consolas" w:cs="Consolas" w:eastAsia="Consolas" w:hAnsi="Consolas"/>
          <w:sz w:val="18"/>
          <w:szCs w:val="18"/>
        </w:rPr>
        <w:br/>
        <w:t xml:space="preserve">      (temps_secondes % 86400) / 3600.0 AS heure_du_jour,</w:t>
      </w:r>
      <w:r>
        <w:rPr>
          <w:rFonts w:ascii="Consolas" w:cs="Consolas" w:eastAsia="Consolas" w:hAnsi="Consolas"/>
          <w:sz w:val="18"/>
          <w:szCs w:val="18"/>
        </w:rPr>
        <w:br/>
        <w:t xml:space="preserve">      NULLIF(source_user_domain, '?') AS source_user_domain,</w:t>
      </w:r>
      <w:r>
        <w:rPr>
          <w:rFonts w:ascii="Consolas" w:cs="Consolas" w:eastAsia="Consolas" w:hAnsi="Consolas"/>
          <w:sz w:val="18"/>
          <w:szCs w:val="18"/>
        </w:rPr>
        <w:br/>
        <w:t xml:space="preserve">      CASE</w:t>
      </w:r>
      <w:r>
        <w:rPr>
          <w:rFonts w:ascii="Consolas" w:cs="Consolas" w:eastAsia="Consolas" w:hAnsi="Consolas"/>
          <w:sz w:val="18"/>
          <w:szCs w:val="18"/>
        </w:rPr>
        <w:br/>
        <w:t xml:space="preserve">        WHEN destination_computer = 'TGT' THEN 'ticket_kerberos'</w:t>
      </w:r>
      <w:r>
        <w:rPr>
          <w:rFonts w:ascii="Consolas" w:cs="Consolas" w:eastAsia="Consolas" w:hAnsi="Consolas"/>
          <w:sz w:val="18"/>
          <w:szCs w:val="18"/>
        </w:rPr>
        <w:br/>
        <w:t xml:space="preserve">        WHEN destination_computer LIKE 'U%' THEN 'identifiant_utilisateur'</w:t>
      </w:r>
      <w:r>
        <w:rPr>
          <w:rFonts w:ascii="Consolas" w:cs="Consolas" w:eastAsia="Consolas" w:hAnsi="Consolas"/>
          <w:sz w:val="18"/>
          <w:szCs w:val="18"/>
        </w:rPr>
        <w:br/>
        <w:t xml:space="preserve">        WHEN destination_computer LIKE 'C%' THEN 'machine'</w:t>
      </w:r>
      <w:r>
        <w:rPr>
          <w:rFonts w:ascii="Consolas" w:cs="Consolas" w:eastAsia="Consolas" w:hAnsi="Consolas"/>
          <w:sz w:val="18"/>
          <w:szCs w:val="18"/>
        </w:rPr>
        <w:br/>
        <w:t xml:space="preserve">        ELSE 'autre'</w:t>
      </w:r>
      <w:r>
        <w:rPr>
          <w:rFonts w:ascii="Consolas" w:cs="Consolas" w:eastAsia="Consolas" w:hAnsi="Consolas"/>
          <w:sz w:val="18"/>
          <w:szCs w:val="18"/>
        </w:rPr>
        <w:br/>
        <w:t xml:space="preserve">      END AS categorie_destination,</w:t>
      </w:r>
      <w:r>
        <w:rPr>
          <w:rFonts w:ascii="Consolas" w:cs="Consolas" w:eastAsia="Consolas" w:hAnsi="Consolas"/>
          <w:sz w:val="18"/>
          <w:szCs w:val="18"/>
        </w:rPr>
        <w:br/>
        <w:t xml:space="preserve">      (success_failure = 'Success') AS succes</w:t>
      </w:r>
      <w:r>
        <w:rPr>
          <w:rFonts w:ascii="Consolas" w:cs="Consolas" w:eastAsia="Consolas" w:hAnsi="Consolas"/>
          <w:sz w:val="18"/>
          <w:szCs w:val="18"/>
        </w:rPr>
        <w:br/>
        <w:t xml:space="preserve">      -- ... autres colonnes</w:t>
      </w:r>
      <w:r>
        <w:rPr>
          <w:rFonts w:ascii="Consolas" w:cs="Consolas" w:eastAsia="Consolas" w:hAnsi="Consolas"/>
          <w:sz w:val="18"/>
          <w:szCs w:val="18"/>
        </w:rPr>
        <w:br/>
        <w:t xml:space="preserve">    FROM auth_brut</w:t>
      </w:r>
      <w:r>
        <w:rPr>
          <w:rFonts w:ascii="Consolas" w:cs="Consolas" w:eastAsia="Consolas" w:hAnsi="Consolas"/>
          <w:sz w:val="18"/>
          <w:szCs w:val="18"/>
        </w:rPr>
        <w:br/>
        <w:t xml:space="preserve">  ) TO 'G:/silver/auth_silver.parquet' (FORMAT PARQUET, COMPRESSION ZSTD)</w:t>
      </w:r>
      <w:r>
        <w:rPr>
          <w:rFonts w:ascii="Consolas" w:cs="Consolas" w:eastAsia="Consolas" w:hAnsi="Consolas"/>
          <w:sz w:val="18"/>
          <w:szCs w:val="18"/>
        </w:rPr>
        <w:br/>
        <w:t xml:space="preserve">")</w:t>
      </w:r>
    </w:p>
    <w:p>
      <w:pPr>
        <w:pStyle w:val="Heading1"/>
        <w:spacing w:after="150" w:before="300"/>
      </w:pPr>
      <w:r>
        <w:rPr>
          <w:b/>
          <w:bCs/>
          <w:color w:val="1F3864"/>
          <w:sz w:val="30"/>
          <w:szCs w:val="30"/>
        </w:rPr>
        <w:t xml:space="preserve">5. Résultat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F3864" w:val="clear"/>
            <w:tcMar>
              <w:top w:type="dxa" w:w="80"/>
              <w:left w:type="dxa" w:w="100"/>
              <w:bottom w:type="dxa" w:w="80"/>
              <w:right w:type="dxa" w:w="100"/>
            </w:tcMar>
          </w:tcPr>
          <w:p>
            <w:r>
              <w:rPr>
                <w:b/>
                <w:bCs/>
                <w:color w:val="FFFFFF"/>
                <w:sz w:val="20"/>
                <w:szCs w:val="20"/>
              </w:rPr>
              <w:t xml:space="preserve">Indicateur</w:t>
            </w:r>
          </w:p>
        </w:tc>
        <w:tc>
          <w:tcPr>
            <w:tcW w:type="dxa" w:w="3500"/>
            <w:shd w:fill="1F3864" w:val="clear"/>
            <w:tcMar>
              <w:top w:type="dxa" w:w="80"/>
              <w:left w:type="dxa" w:w="100"/>
              <w:bottom w:type="dxa" w:w="80"/>
              <w:right w:type="dxa" w:w="100"/>
            </w:tcMar>
          </w:tcPr>
          <w:p>
            <w:r>
              <w:rPr>
                <w:b/>
                <w:bCs/>
                <w:color w:val="FFFFFF"/>
                <w:sz w:val="20"/>
                <w:szCs w:val="20"/>
              </w:rPr>
              <w:t xml:space="preserve">Valeur</w:t>
            </w:r>
          </w:p>
        </w:tc>
      </w:tr>
      <w:tr>
        <w:tc>
          <w:tcPr>
            <w:tcW w:type="dxa" w:w="5500"/>
            <w:tcMar>
              <w:top w:type="dxa" w:w="80"/>
              <w:left w:type="dxa" w:w="100"/>
              <w:bottom w:type="dxa" w:w="80"/>
              <w:right w:type="dxa" w:w="100"/>
            </w:tcMar>
          </w:tcPr>
          <w:p>
            <w:r>
              <w:rPr>
                <w:b w:val="false"/>
                <w:bCs w:val="false"/>
                <w:color w:val="000000"/>
                <w:sz w:val="20"/>
                <w:szCs w:val="20"/>
              </w:rPr>
              <w:t xml:space="preserve">Lignes traitées</w:t>
            </w:r>
          </w:p>
        </w:tc>
        <w:tc>
          <w:tcPr>
            <w:tcW w:type="dxa" w:w="3500"/>
            <w:tcMar>
              <w:top w:type="dxa" w:w="80"/>
              <w:left w:type="dxa" w:w="100"/>
              <w:bottom w:type="dxa" w:w="80"/>
              <w:right w:type="dxa" w:w="100"/>
            </w:tcMar>
          </w:tcPr>
          <w:p>
            <w:r>
              <w:rPr>
                <w:b w:val="false"/>
                <w:bCs w:val="false"/>
                <w:color w:val="000000"/>
                <w:sz w:val="20"/>
                <w:szCs w:val="20"/>
              </w:rPr>
              <w:t xml:space="preserve">1 051 430 459</w:t>
            </w:r>
          </w:p>
        </w:tc>
      </w:tr>
      <w:tr>
        <w:tc>
          <w:tcPr>
            <w:tcW w:type="dxa" w:w="5500"/>
            <w:tcMar>
              <w:top w:type="dxa" w:w="80"/>
              <w:left w:type="dxa" w:w="100"/>
              <w:bottom w:type="dxa" w:w="80"/>
              <w:right w:type="dxa" w:w="100"/>
            </w:tcMar>
          </w:tcPr>
          <w:p>
            <w:r>
              <w:rPr>
                <w:b w:val="false"/>
                <w:bCs w:val="false"/>
                <w:color w:val="000000"/>
                <w:sz w:val="20"/>
                <w:szCs w:val="20"/>
              </w:rPr>
              <w:t xml:space="preserve">Taille du fichier source (Bronze, compressé)</w:t>
            </w:r>
          </w:p>
        </w:tc>
        <w:tc>
          <w:tcPr>
            <w:tcW w:type="dxa" w:w="3500"/>
            <w:tcMar>
              <w:top w:type="dxa" w:w="80"/>
              <w:left w:type="dxa" w:w="100"/>
              <w:bottom w:type="dxa" w:w="80"/>
              <w:right w:type="dxa" w:w="100"/>
            </w:tcMar>
          </w:tcPr>
          <w:p>
            <w:r>
              <w:rPr>
                <w:b w:val="false"/>
                <w:bCs w:val="false"/>
                <w:color w:val="000000"/>
                <w:sz w:val="20"/>
                <w:szCs w:val="20"/>
              </w:rPr>
              <w:t xml:space="preserve">7,6 Go</w:t>
            </w:r>
          </w:p>
        </w:tc>
      </w:tr>
      <w:tr>
        <w:tc>
          <w:tcPr>
            <w:tcW w:type="dxa" w:w="5500"/>
            <w:tcMar>
              <w:top w:type="dxa" w:w="80"/>
              <w:left w:type="dxa" w:w="100"/>
              <w:bottom w:type="dxa" w:w="80"/>
              <w:right w:type="dxa" w:w="100"/>
            </w:tcMar>
          </w:tcPr>
          <w:p>
            <w:r>
              <w:rPr>
                <w:b w:val="false"/>
                <w:bCs w:val="false"/>
                <w:color w:val="000000"/>
                <w:sz w:val="20"/>
                <w:szCs w:val="20"/>
              </w:rPr>
              <w:t xml:space="preserve">Taille du fichier résultat (Silver, Parquet + ZSTD)</w:t>
            </w:r>
          </w:p>
        </w:tc>
        <w:tc>
          <w:tcPr>
            <w:tcW w:type="dxa" w:w="3500"/>
            <w:tcMar>
              <w:top w:type="dxa" w:w="80"/>
              <w:left w:type="dxa" w:w="100"/>
              <w:bottom w:type="dxa" w:w="80"/>
              <w:right w:type="dxa" w:w="100"/>
            </w:tcMar>
          </w:tcPr>
          <w:p>
            <w:r>
              <w:rPr>
                <w:b w:val="false"/>
                <w:bCs w:val="false"/>
                <w:color w:val="000000"/>
                <w:sz w:val="20"/>
                <w:szCs w:val="20"/>
              </w:rPr>
              <w:t xml:space="preserve">7,35 Go</w:t>
            </w:r>
          </w:p>
        </w:tc>
      </w:tr>
      <w:tr>
        <w:tc>
          <w:tcPr>
            <w:tcW w:type="dxa" w:w="5500"/>
            <w:tcMar>
              <w:top w:type="dxa" w:w="80"/>
              <w:left w:type="dxa" w:w="100"/>
              <w:bottom w:type="dxa" w:w="80"/>
              <w:right w:type="dxa" w:w="100"/>
            </w:tcMar>
          </w:tcPr>
          <w:p>
            <w:r>
              <w:rPr>
                <w:b w:val="false"/>
                <w:bCs w:val="false"/>
                <w:color w:val="000000"/>
                <w:sz w:val="20"/>
                <w:szCs w:val="20"/>
              </w:rPr>
              <w:t xml:space="preserve">Format</w:t>
            </w:r>
          </w:p>
        </w:tc>
        <w:tc>
          <w:tcPr>
            <w:tcW w:type="dxa" w:w="3500"/>
            <w:tcMar>
              <w:top w:type="dxa" w:w="80"/>
              <w:left w:type="dxa" w:w="100"/>
              <w:bottom w:type="dxa" w:w="80"/>
              <w:right w:type="dxa" w:w="100"/>
            </w:tcMar>
          </w:tcPr>
          <w:p>
            <w:r>
              <w:rPr>
                <w:b w:val="false"/>
                <w:bCs w:val="false"/>
                <w:color w:val="000000"/>
                <w:sz w:val="20"/>
                <w:szCs w:val="20"/>
              </w:rPr>
              <w:t xml:space="preserve">Parquet, compression ZSTD</w:t>
            </w:r>
          </w:p>
        </w:tc>
      </w:tr>
      <w:tr>
        <w:tc>
          <w:tcPr>
            <w:tcW w:type="dxa" w:w="5500"/>
            <w:tcMar>
              <w:top w:type="dxa" w:w="80"/>
              <w:left w:type="dxa" w:w="100"/>
              <w:bottom w:type="dxa" w:w="80"/>
              <w:right w:type="dxa" w:w="100"/>
            </w:tcMar>
          </w:tcPr>
          <w:p>
            <w:r>
              <w:rPr>
                <w:b w:val="false"/>
                <w:bCs w:val="false"/>
                <w:color w:val="000000"/>
                <w:sz w:val="20"/>
                <w:szCs w:val="20"/>
              </w:rPr>
              <w:t xml:space="preserve">Destination S3</w:t>
            </w:r>
          </w:p>
        </w:tc>
        <w:tc>
          <w:tcPr>
            <w:tcW w:type="dxa" w:w="3500"/>
            <w:tcMar>
              <w:top w:type="dxa" w:w="80"/>
              <w:left w:type="dxa" w:w="100"/>
              <w:bottom w:type="dxa" w:w="80"/>
              <w:right w:type="dxa" w:w="100"/>
            </w:tcMar>
          </w:tcPr>
          <w:p>
            <w:r>
              <w:rPr>
                <w:b w:val="false"/>
                <w:bCs w:val="false"/>
                <w:color w:val="000000"/>
                <w:sz w:val="20"/>
                <w:szCs w:val="20"/>
              </w:rPr>
              <w:t xml:space="preserve">s3://groupe06-lakehouse-forensique/silver/auth_silver.parquet</w:t>
            </w:r>
          </w:p>
        </w:tc>
      </w:tr>
    </w:tbl>
    <w:p>
      <w:pPr>
        <w:spacing w:after="140"/>
      </w:pPr>
      <w:r>
        <w:rPr>
          <w:b w:val="false"/>
          <w:bCs w:val="false"/>
          <w:i w:val="false"/>
          <w:iCs w:val="false"/>
          <w:sz w:val="21"/>
          <w:szCs w:val="21"/>
        </w:rPr>
        <w:t xml:space="preserve">Note : l'upload final vers S3 a été réalisé via la console AWS (interface web) suite à une erreur d'accès au fichier depuis la session R (perte de connexion au disque externe). Le fichier a été vérifié comme correctement présent dans le bucket après upload.</w:t>
      </w:r>
    </w:p>
    <w:p>
      <w:pPr>
        <w:pStyle w:val="Heading1"/>
        <w:spacing w:after="150" w:before="300"/>
      </w:pPr>
      <w:r>
        <w:rPr>
          <w:b/>
          <w:bCs/>
          <w:color w:val="1F3864"/>
          <w:sz w:val="30"/>
          <w:szCs w:val="30"/>
        </w:rPr>
        <w:t xml:space="preserve">6. Conclusion</w:t>
      </w:r>
    </w:p>
    <w:p>
      <w:pPr>
        <w:spacing w:after="140"/>
      </w:pPr>
      <w:r>
        <w:rPr>
          <w:b w:val="false"/>
          <w:bCs w:val="false"/>
          <w:i w:val="false"/>
          <w:iCs w:val="false"/>
          <w:sz w:val="21"/>
          <w:szCs w:val="21"/>
        </w:rPr>
        <w:t xml:space="preserve">La zone Silver a été construite avec succès à partir des 1,05 milliard de lignes brutes, en appliquant les corrections identifiées lors du diagnostic qualité. Le processus a nécessité plusieurs ajustements techniques (gestion du disque temporaire, optimisation VIEW vs TABLE, suppression de l'opération DISTINCT) pour rendre le traitement d'un tel volume réalisable sur une infrastructure étudiante standard, illustrant concrètement l'intérêt de DuckDB pour ce type de traitement à grande échelle.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2026-08-02T11:56:56.966Z</dcterms:created>
  <dcterms:modified xsi:type="dcterms:W3CDTF">2026-08-02T11:56:56.983Z</dcterms:modified>
</cp:coreProperties>
</file>

<file path=docProps/custom.xml><?xml version="1.0" encoding="utf-8"?>
<Properties xmlns="http://schemas.openxmlformats.org/officeDocument/2006/custom-properties" xmlns:vt="http://schemas.openxmlformats.org/officeDocument/2006/docPropsVTypes"/>
</file>