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Groupe 6 — Architecture Lakehouse pour la forensique numérique</w:t>
      </w:r>
    </w:p>
    <w:p>
      <w:pPr>
        <w:spacing w:after="300"/>
      </w:pPr>
      <w:r>
        <w:rPr>
          <w:color w:val="0E7C7B"/>
          <w:sz w:val="24"/>
          <w:szCs w:val="24"/>
        </w:rPr>
        <w:t xml:space="preserve">Rapport — Semaine 3 : Agrégations et détection d'anomalies (Zone Gold)</w:t>
      </w:r>
    </w:p>
    <w:p>
      <w:pPr>
        <w:pStyle w:val="Heading1"/>
        <w:spacing w:after="150" w:before="300"/>
      </w:pPr>
      <w:r>
        <w:rPr>
          <w:b/>
          <w:bCs/>
          <w:color w:val="1F3864"/>
          <w:sz w:val="30"/>
          <w:szCs w:val="30"/>
        </w:rPr>
        <w:t xml:space="preserve">1. Objectif</w:t>
      </w:r>
    </w:p>
    <w:p>
      <w:pPr>
        <w:spacing w:after="140"/>
      </w:pPr>
      <w:r>
        <w:rPr>
          <w:b w:val="false"/>
          <w:bCs w:val="false"/>
          <w:i w:val="false"/>
          <w:iCs w:val="false"/>
          <w:sz w:val="21"/>
          <w:szCs w:val="21"/>
        </w:rPr>
        <w:t xml:space="preserve">Construire, à partir des données nettoyées de la zone Silver (1 051 430 459 lignes), un ensemble de tables agrégées répondant à des questions forensiques précises, puis valider empiriquement l'efficacité de plusieurs critères de détection d'anomalies en les comparant aux attaques réelles connues du dataset (fichier redteam.txt.gz).</w:t>
      </w:r>
    </w:p>
    <w:p>
      <w:pPr>
        <w:pStyle w:val="Heading1"/>
        <w:spacing w:after="150" w:before="300"/>
      </w:pPr>
      <w:r>
        <w:rPr>
          <w:b/>
          <w:bCs/>
          <w:color w:val="1F3864"/>
          <w:sz w:val="30"/>
          <w:szCs w:val="30"/>
        </w:rPr>
        <w:t xml:space="preserve">2. Les 8 tables Gold créées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c>
          <w:tcPr>
            <w:tcW w:type="dxa" w:w="3200"/>
            <w:shd w:fill="1F3864" w:val="clear"/>
            <w:tcMar>
              <w:top w:type="dxa" w:w="80"/>
              <w:left w:type="dxa" w:w="100"/>
              <w:bottom w:type="dxa" w:w="80"/>
              <w:right w:type="dxa" w:w="100"/>
            </w:tcMar>
          </w:tcPr>
          <w:p>
            <w:r>
              <w:rPr>
                <w:b/>
                <w:bCs/>
                <w:color w:val="FFFFFF"/>
                <w:sz w:val="20"/>
                <w:szCs w:val="20"/>
              </w:rPr>
              <w:t xml:space="preserve">Table</w:t>
            </w:r>
          </w:p>
        </w:tc>
        <w:tc>
          <w:tcPr>
            <w:tcW w:type="dxa" w:w="3800"/>
            <w:shd w:fill="1F3864" w:val="clear"/>
            <w:tcMar>
              <w:top w:type="dxa" w:w="80"/>
              <w:left w:type="dxa" w:w="100"/>
              <w:bottom w:type="dxa" w:w="80"/>
              <w:right w:type="dxa" w:w="100"/>
            </w:tcMar>
          </w:tcPr>
          <w:p>
            <w:r>
              <w:rPr>
                <w:b/>
                <w:bCs/>
                <w:color w:val="FFFFFF"/>
                <w:sz w:val="20"/>
                <w:szCs w:val="20"/>
              </w:rPr>
              <w:t xml:space="preserve">Question forensique</w:t>
            </w:r>
          </w:p>
        </w:tc>
        <w:tc>
          <w:tcPr>
            <w:tcW w:type="dxa" w:w="2000"/>
            <w:shd w:fill="1F3864" w:val="clear"/>
            <w:tcMar>
              <w:top w:type="dxa" w:w="80"/>
              <w:left w:type="dxa" w:w="100"/>
              <w:bottom w:type="dxa" w:w="80"/>
              <w:right w:type="dxa" w:w="100"/>
            </w:tcMar>
          </w:tcPr>
          <w:p>
            <w:r>
              <w:rPr>
                <w:b/>
                <w:bCs/>
                <w:color w:val="FFFFFF"/>
                <w:sz w:val="20"/>
                <w:szCs w:val="20"/>
              </w:rPr>
              <w:t xml:space="preserve">Usage Power BI prévu</w:t>
            </w:r>
          </w:p>
        </w:tc>
      </w:tr>
      <w:tr>
        <w:tc>
          <w:tcPr>
            <w:tcW w:type="dxa" w:w="3200"/>
            <w:tcMar>
              <w:top w:type="dxa" w:w="80"/>
              <w:left w:type="dxa" w:w="100"/>
              <w:bottom w:type="dxa" w:w="80"/>
              <w:right w:type="dxa" w:w="100"/>
            </w:tcMar>
          </w:tcPr>
          <w:p>
            <w:r>
              <w:rPr>
                <w:b w:val="false"/>
                <w:bCs w:val="false"/>
                <w:color w:val="000000"/>
                <w:sz w:val="20"/>
                <w:szCs w:val="20"/>
              </w:rPr>
              <w:t xml:space="preserve">connexions_par_utilisateur_heure</w:t>
            </w:r>
          </w:p>
        </w:tc>
        <w:tc>
          <w:tcPr>
            <w:tcW w:type="dxa" w:w="3800"/>
            <w:tcMar>
              <w:top w:type="dxa" w:w="80"/>
              <w:left w:type="dxa" w:w="100"/>
              <w:bottom w:type="dxa" w:w="80"/>
              <w:right w:type="dxa" w:w="100"/>
            </w:tcMar>
          </w:tcPr>
          <w:p>
            <w:r>
              <w:rPr>
                <w:b w:val="false"/>
                <w:bCs w:val="false"/>
                <w:color w:val="000000"/>
                <w:sz w:val="20"/>
                <w:szCs w:val="20"/>
              </w:rPr>
              <w:t xml:space="preserve">Profil horaire habituel de chaque utilisateur</w:t>
            </w:r>
          </w:p>
        </w:tc>
        <w:tc>
          <w:tcPr>
            <w:tcW w:type="dxa" w:w="2000"/>
            <w:tcMar>
              <w:top w:type="dxa" w:w="80"/>
              <w:left w:type="dxa" w:w="100"/>
              <w:bottom w:type="dxa" w:w="80"/>
              <w:right w:type="dxa" w:w="100"/>
            </w:tcMar>
          </w:tcPr>
          <w:p>
            <w:r>
              <w:rPr>
                <w:b w:val="false"/>
                <w:bCs w:val="false"/>
                <w:color w:val="000000"/>
                <w:sz w:val="20"/>
                <w:szCs w:val="20"/>
              </w:rPr>
              <w:t xml:space="preserve">Heatmap activité par heure</w:t>
            </w:r>
          </w:p>
        </w:tc>
      </w:tr>
      <w:tr>
        <w:tc>
          <w:tcPr>
            <w:tcW w:type="dxa" w:w="3200"/>
            <w:tcMar>
              <w:top w:type="dxa" w:w="80"/>
              <w:left w:type="dxa" w:w="100"/>
              <w:bottom w:type="dxa" w:w="80"/>
              <w:right w:type="dxa" w:w="100"/>
            </w:tcMar>
          </w:tcPr>
          <w:p>
            <w:r>
              <w:rPr>
                <w:b w:val="false"/>
                <w:bCs w:val="false"/>
                <w:color w:val="000000"/>
                <w:sz w:val="20"/>
                <w:szCs w:val="20"/>
              </w:rPr>
              <w:t xml:space="preserve">activite_par_machine</w:t>
            </w:r>
          </w:p>
        </w:tc>
        <w:tc>
          <w:tcPr>
            <w:tcW w:type="dxa" w:w="3800"/>
            <w:tcMar>
              <w:top w:type="dxa" w:w="80"/>
              <w:left w:type="dxa" w:w="100"/>
              <w:bottom w:type="dxa" w:w="80"/>
              <w:right w:type="dxa" w:w="100"/>
            </w:tcMar>
          </w:tcPr>
          <w:p>
            <w:r>
              <w:rPr>
                <w:b w:val="false"/>
                <w:bCs w:val="false"/>
                <w:color w:val="000000"/>
                <w:sz w:val="20"/>
                <w:szCs w:val="20"/>
              </w:rPr>
              <w:t xml:space="preserve">Machines les plus sollicitées et leur nature</w:t>
            </w:r>
          </w:p>
        </w:tc>
        <w:tc>
          <w:tcPr>
            <w:tcW w:type="dxa" w:w="2000"/>
            <w:tcMar>
              <w:top w:type="dxa" w:w="80"/>
              <w:left w:type="dxa" w:w="100"/>
              <w:bottom w:type="dxa" w:w="80"/>
              <w:right w:type="dxa" w:w="100"/>
            </w:tcMar>
          </w:tcPr>
          <w:p>
            <w:r>
              <w:rPr>
                <w:b w:val="false"/>
                <w:bCs w:val="false"/>
                <w:color w:val="000000"/>
                <w:sz w:val="20"/>
                <w:szCs w:val="20"/>
              </w:rPr>
              <w:t xml:space="preserve">Top machines accédées</w:t>
            </w:r>
          </w:p>
        </w:tc>
      </w:tr>
      <w:tr>
        <w:tc>
          <w:tcPr>
            <w:tcW w:type="dxa" w:w="3200"/>
            <w:tcMar>
              <w:top w:type="dxa" w:w="80"/>
              <w:left w:type="dxa" w:w="100"/>
              <w:bottom w:type="dxa" w:w="80"/>
              <w:right w:type="dxa" w:w="100"/>
            </w:tcMar>
          </w:tcPr>
          <w:p>
            <w:r>
              <w:rPr>
                <w:b w:val="false"/>
                <w:bCs w:val="false"/>
                <w:color w:val="000000"/>
                <w:sz w:val="20"/>
                <w:szCs w:val="20"/>
              </w:rPr>
              <w:t xml:space="preserve">anomalies_horaires</w:t>
            </w:r>
          </w:p>
        </w:tc>
        <w:tc>
          <w:tcPr>
            <w:tcW w:type="dxa" w:w="3800"/>
            <w:tcMar>
              <w:top w:type="dxa" w:w="80"/>
              <w:left w:type="dxa" w:w="100"/>
              <w:bottom w:type="dxa" w:w="80"/>
              <w:right w:type="dxa" w:w="100"/>
            </w:tcMar>
          </w:tcPr>
          <w:p>
            <w:r>
              <w:rPr>
                <w:b w:val="false"/>
                <w:bCs w:val="false"/>
                <w:color w:val="000000"/>
                <w:sz w:val="20"/>
                <w:szCs w:val="20"/>
              </w:rPr>
              <w:t xml:space="preserve">Connexions en dehors des horaires habituels (&lt;6h, &gt;22h)</w:t>
            </w:r>
          </w:p>
        </w:tc>
        <w:tc>
          <w:tcPr>
            <w:tcW w:type="dxa" w:w="2000"/>
            <w:tcMar>
              <w:top w:type="dxa" w:w="80"/>
              <w:left w:type="dxa" w:w="100"/>
              <w:bottom w:type="dxa" w:w="80"/>
              <w:right w:type="dxa" w:w="100"/>
            </w:tcMar>
          </w:tcPr>
          <w:p>
            <w:r>
              <w:rPr>
                <w:b w:val="false"/>
                <w:bCs w:val="false"/>
                <w:color w:val="000000"/>
                <w:sz w:val="20"/>
                <w:szCs w:val="20"/>
              </w:rPr>
              <w:t xml:space="preserve">Détection d'anomalies (horaire)</w:t>
            </w:r>
          </w:p>
        </w:tc>
      </w:tr>
      <w:tr>
        <w:tc>
          <w:tcPr>
            <w:tcW w:type="dxa" w:w="3200"/>
            <w:tcMar>
              <w:top w:type="dxa" w:w="80"/>
              <w:left w:type="dxa" w:w="100"/>
              <w:bottom w:type="dxa" w:w="80"/>
              <w:right w:type="dxa" w:w="100"/>
            </w:tcMar>
          </w:tcPr>
          <w:p>
            <w:r>
              <w:rPr>
                <w:b w:val="false"/>
                <w:bCs w:val="false"/>
                <w:color w:val="000000"/>
                <w:sz w:val="20"/>
                <w:szCs w:val="20"/>
              </w:rPr>
              <w:t xml:space="preserve">taux_echec_par_utilisateur</w:t>
            </w:r>
          </w:p>
        </w:tc>
        <w:tc>
          <w:tcPr>
            <w:tcW w:type="dxa" w:w="3800"/>
            <w:tcMar>
              <w:top w:type="dxa" w:w="80"/>
              <w:left w:type="dxa" w:w="100"/>
              <w:bottom w:type="dxa" w:w="80"/>
              <w:right w:type="dxa" w:w="100"/>
            </w:tcMar>
          </w:tcPr>
          <w:p>
            <w:r>
              <w:rPr>
                <w:b w:val="false"/>
                <w:bCs w:val="false"/>
                <w:color w:val="000000"/>
                <w:sz w:val="20"/>
                <w:szCs w:val="20"/>
              </w:rPr>
              <w:t xml:space="preserve">Comptes avec taux d'échec d'authentification élevé</w:t>
            </w:r>
          </w:p>
        </w:tc>
        <w:tc>
          <w:tcPr>
            <w:tcW w:type="dxa" w:w="2000"/>
            <w:tcMar>
              <w:top w:type="dxa" w:w="80"/>
              <w:left w:type="dxa" w:w="100"/>
              <w:bottom w:type="dxa" w:w="80"/>
              <w:right w:type="dxa" w:w="100"/>
            </w:tcMar>
          </w:tcPr>
          <w:p>
            <w:r>
              <w:rPr>
                <w:b w:val="false"/>
                <w:bCs w:val="false"/>
                <w:color w:val="000000"/>
                <w:sz w:val="20"/>
                <w:szCs w:val="20"/>
              </w:rPr>
              <w:t xml:space="preserve">Top utilisateurs à risque</w:t>
            </w:r>
          </w:p>
        </w:tc>
      </w:tr>
      <w:tr>
        <w:tc>
          <w:tcPr>
            <w:tcW w:type="dxa" w:w="3200"/>
            <w:tcMar>
              <w:top w:type="dxa" w:w="80"/>
              <w:left w:type="dxa" w:w="100"/>
              <w:bottom w:type="dxa" w:w="80"/>
              <w:right w:type="dxa" w:w="100"/>
            </w:tcMar>
          </w:tcPr>
          <w:p>
            <w:r>
              <w:rPr>
                <w:b w:val="false"/>
                <w:bCs w:val="false"/>
                <w:color w:val="000000"/>
                <w:sz w:val="20"/>
                <w:szCs w:val="20"/>
              </w:rPr>
              <w:t xml:space="preserve">machines_distinctes_par_utilisateur</w:t>
            </w:r>
          </w:p>
        </w:tc>
        <w:tc>
          <w:tcPr>
            <w:tcW w:type="dxa" w:w="3800"/>
            <w:tcMar>
              <w:top w:type="dxa" w:w="80"/>
              <w:left w:type="dxa" w:w="100"/>
              <w:bottom w:type="dxa" w:w="80"/>
              <w:right w:type="dxa" w:w="100"/>
            </w:tcMar>
          </w:tcPr>
          <w:p>
            <w:r>
              <w:rPr>
                <w:b w:val="false"/>
                <w:bCs w:val="false"/>
                <w:color w:val="000000"/>
                <w:sz w:val="20"/>
                <w:szCs w:val="20"/>
              </w:rPr>
              <w:t xml:space="preserve">Diversité des machines accédées (mouvement latéral)</w:t>
            </w:r>
          </w:p>
        </w:tc>
        <w:tc>
          <w:tcPr>
            <w:tcW w:type="dxa" w:w="2000"/>
            <w:tcMar>
              <w:top w:type="dxa" w:w="80"/>
              <w:left w:type="dxa" w:w="100"/>
              <w:bottom w:type="dxa" w:w="80"/>
              <w:right w:type="dxa" w:w="100"/>
            </w:tcMar>
          </w:tcPr>
          <w:p>
            <w:r>
              <w:rPr>
                <w:b w:val="false"/>
                <w:bCs w:val="false"/>
                <w:color w:val="000000"/>
                <w:sz w:val="20"/>
                <w:szCs w:val="20"/>
              </w:rPr>
              <w:t xml:space="preserve">Diversité des accès par utilisateur</w:t>
            </w:r>
          </w:p>
        </w:tc>
      </w:tr>
      <w:tr>
        <w:tc>
          <w:tcPr>
            <w:tcW w:type="dxa" w:w="3200"/>
            <w:tcMar>
              <w:top w:type="dxa" w:w="80"/>
              <w:left w:type="dxa" w:w="100"/>
              <w:bottom w:type="dxa" w:w="80"/>
              <w:right w:type="dxa" w:w="100"/>
            </w:tcMar>
          </w:tcPr>
          <w:p>
            <w:r>
              <w:rPr>
                <w:b w:val="false"/>
                <w:bCs w:val="false"/>
                <w:color w:val="000000"/>
                <w:sz w:val="20"/>
                <w:szCs w:val="20"/>
              </w:rPr>
              <w:t xml:space="preserve">volume_par_jour</w:t>
            </w:r>
          </w:p>
        </w:tc>
        <w:tc>
          <w:tcPr>
            <w:tcW w:type="dxa" w:w="3800"/>
            <w:tcMar>
              <w:top w:type="dxa" w:w="80"/>
              <w:left w:type="dxa" w:w="100"/>
              <w:bottom w:type="dxa" w:w="80"/>
              <w:right w:type="dxa" w:w="100"/>
            </w:tcMar>
          </w:tcPr>
          <w:p>
            <w:r>
              <w:rPr>
                <w:b w:val="false"/>
                <w:bCs w:val="false"/>
                <w:color w:val="000000"/>
                <w:sz w:val="20"/>
                <w:szCs w:val="20"/>
              </w:rPr>
              <w:t xml:space="preserve">Évolution temporelle globale de l'activité</w:t>
            </w:r>
          </w:p>
        </w:tc>
        <w:tc>
          <w:tcPr>
            <w:tcW w:type="dxa" w:w="2000"/>
            <w:tcMar>
              <w:top w:type="dxa" w:w="80"/>
              <w:left w:type="dxa" w:w="100"/>
              <w:bottom w:type="dxa" w:w="80"/>
              <w:right w:type="dxa" w:w="100"/>
            </w:tcMar>
          </w:tcPr>
          <w:p>
            <w:r>
              <w:rPr>
                <w:b w:val="false"/>
                <w:bCs w:val="false"/>
                <w:color w:val="000000"/>
                <w:sz w:val="20"/>
                <w:szCs w:val="20"/>
              </w:rPr>
              <w:t xml:space="preserve">Courbe d'évolution temporelle</w:t>
            </w:r>
          </w:p>
        </w:tc>
      </w:tr>
      <w:tr>
        <w:tc>
          <w:tcPr>
            <w:tcW w:type="dxa" w:w="3200"/>
            <w:tcMar>
              <w:top w:type="dxa" w:w="80"/>
              <w:left w:type="dxa" w:w="100"/>
              <w:bottom w:type="dxa" w:w="80"/>
              <w:right w:type="dxa" w:w="100"/>
            </w:tcMar>
          </w:tcPr>
          <w:p>
            <w:r>
              <w:rPr>
                <w:b w:val="false"/>
                <w:bCs w:val="false"/>
                <w:color w:val="000000"/>
                <w:sz w:val="20"/>
                <w:szCs w:val="20"/>
              </w:rPr>
              <w:t xml:space="preserve">paires_rares_utilisateur_machine</w:t>
            </w:r>
          </w:p>
        </w:tc>
        <w:tc>
          <w:tcPr>
            <w:tcW w:type="dxa" w:w="3800"/>
            <w:tcMar>
              <w:top w:type="dxa" w:w="80"/>
              <w:left w:type="dxa" w:w="100"/>
              <w:bottom w:type="dxa" w:w="80"/>
              <w:right w:type="dxa" w:w="100"/>
            </w:tcMar>
          </w:tcPr>
          <w:p>
            <w:r>
              <w:rPr>
                <w:b w:val="false"/>
                <w:bCs w:val="false"/>
                <w:color w:val="000000"/>
                <w:sz w:val="20"/>
                <w:szCs w:val="20"/>
              </w:rPr>
              <w:t xml:space="preserve">Connexions n'apparaissant qu'une seule fois</w:t>
            </w:r>
          </w:p>
        </w:tc>
        <w:tc>
          <w:tcPr>
            <w:tcW w:type="dxa" w:w="2000"/>
            <w:tcMar>
              <w:top w:type="dxa" w:w="80"/>
              <w:left w:type="dxa" w:w="100"/>
              <w:bottom w:type="dxa" w:w="80"/>
              <w:right w:type="dxa" w:w="100"/>
            </w:tcMar>
          </w:tcPr>
          <w:p>
            <w:r>
              <w:rPr>
                <w:b w:val="false"/>
                <w:bCs w:val="false"/>
                <w:color w:val="000000"/>
                <w:sz w:val="20"/>
                <w:szCs w:val="20"/>
              </w:rPr>
              <w:t xml:space="preserve">Liste des connexions rares</w:t>
            </w:r>
          </w:p>
        </w:tc>
      </w:tr>
      <w:tr>
        <w:tc>
          <w:tcPr>
            <w:tcW w:type="dxa" w:w="3200"/>
            <w:tcMar>
              <w:top w:type="dxa" w:w="80"/>
              <w:left w:type="dxa" w:w="100"/>
              <w:bottom w:type="dxa" w:w="80"/>
              <w:right w:type="dxa" w:w="100"/>
            </w:tcMar>
          </w:tcPr>
          <w:p>
            <w:r>
              <w:rPr>
                <w:b w:val="false"/>
                <w:bCs w:val="false"/>
                <w:color w:val="000000"/>
                <w:sz w:val="20"/>
                <w:szCs w:val="20"/>
              </w:rPr>
              <w:t xml:space="preserve">validation_redteam / comparaison_criteres_detection</w:t>
            </w:r>
          </w:p>
        </w:tc>
        <w:tc>
          <w:tcPr>
            <w:tcW w:type="dxa" w:w="3800"/>
            <w:tcMar>
              <w:top w:type="dxa" w:w="80"/>
              <w:left w:type="dxa" w:w="100"/>
              <w:bottom w:type="dxa" w:w="80"/>
              <w:right w:type="dxa" w:w="100"/>
            </w:tcMar>
          </w:tcPr>
          <w:p>
            <w:r>
              <w:rPr>
                <w:b w:val="false"/>
                <w:bCs w:val="false"/>
                <w:color w:val="000000"/>
                <w:sz w:val="20"/>
                <w:szCs w:val="20"/>
              </w:rPr>
              <w:t xml:space="preserve">Validation croisée avec les attaques connues</w:t>
            </w:r>
          </w:p>
        </w:tc>
        <w:tc>
          <w:tcPr>
            <w:tcW w:type="dxa" w:w="2000"/>
            <w:tcMar>
              <w:top w:type="dxa" w:w="80"/>
              <w:left w:type="dxa" w:w="100"/>
              <w:bottom w:type="dxa" w:w="80"/>
              <w:right w:type="dxa" w:w="100"/>
            </w:tcMar>
          </w:tcPr>
          <w:p>
            <w:r>
              <w:rPr>
                <w:b w:val="false"/>
                <w:bCs w:val="false"/>
                <w:color w:val="000000"/>
                <w:sz w:val="20"/>
                <w:szCs w:val="20"/>
              </w:rPr>
              <w:t xml:space="preserve">Indicateur de fiabilité de la méthode</w:t>
            </w:r>
          </w:p>
        </w:tc>
      </w:tr>
    </w:tbl>
    <w:p>
      <w:pPr>
        <w:spacing w:after="140"/>
      </w:pPr>
      <w:r>
        <w:rPr>
          <w:b w:val="false"/>
          <w:bCs w:val="false"/>
          <w:i w:val="false"/>
          <w:iCs w:val="false"/>
          <w:sz w:val="21"/>
          <w:szCs w:val="21"/>
        </w:rPr>
        <w:t xml:space="preserve">Toutes les tables sont stockées au format Parquet compressé (ZSTD) dans s3://groupe06-lakehouse-forensique/gold/, générées directement par requêtes DuckDB sur le fichier Silver, sans téléchargement local préalable.</w:t>
      </w:r>
    </w:p>
    <w:p>
      <w:pPr>
        <w:pStyle w:val="Heading1"/>
        <w:spacing w:after="150" w:before="300"/>
      </w:pPr>
      <w:r>
        <w:rPr>
          <w:b/>
          <w:bCs/>
          <w:color w:val="1F3864"/>
          <w:sz w:val="30"/>
          <w:szCs w:val="30"/>
        </w:rPr>
        <w:t xml:space="preserve">3. Validation de la méthode de détection</w:t>
      </w:r>
    </w:p>
    <w:p>
      <w:pPr>
        <w:pStyle w:val="Heading2"/>
        <w:spacing w:after="120" w:before="240"/>
      </w:pPr>
      <w:r>
        <w:rPr>
          <w:b/>
          <w:bCs/>
          <w:color w:val="0E7C7B"/>
          <w:sz w:val="24"/>
          <w:szCs w:val="24"/>
        </w:rPr>
        <w:t xml:space="preserve">3.1 Méthodologie de validation</w:t>
      </w:r>
    </w:p>
    <w:p>
      <w:pPr>
        <w:spacing w:after="140"/>
      </w:pPr>
      <w:r>
        <w:rPr>
          <w:b w:val="false"/>
          <w:bCs w:val="false"/>
          <w:i w:val="false"/>
          <w:iCs w:val="false"/>
          <w:sz w:val="21"/>
          <w:szCs w:val="21"/>
        </w:rPr>
        <w:t xml:space="preserve">Chaque événement du fichier redteam.txt.gz (attaque connue) est rapproché de l'événement Silver correspondant en exigeant une correspondance exacte sur l'utilisateur, la machine ET l'horodatage (temps_secondes). Cette contrainte garantit que l'on évalue si l'événement d'attaque lui-même, précisément, est capturé par chaque critère de détection — et non une simple co-occurrence a posteriori.</w:t>
      </w:r>
    </w:p>
    <w:p>
      <w:pPr>
        <w:pStyle w:val="Heading2"/>
        <w:spacing w:after="120" w:before="240"/>
      </w:pPr>
      <w:r>
        <w:rPr>
          <w:b/>
          <w:bCs/>
          <w:color w:val="0E7C7B"/>
          <w:sz w:val="24"/>
          <w:szCs w:val="24"/>
        </w:rPr>
        <w:t xml:space="preserve">3.2 Comparaison de plusieurs critères de détection</w:t>
      </w:r>
    </w:p>
    <w:p>
      <w:pPr>
        <w:spacing w:after="140"/>
      </w:pPr>
      <w:r>
        <w:rPr>
          <w:b w:val="false"/>
          <w:bCs w:val="false"/>
          <w:i w:val="false"/>
          <w:iCs w:val="false"/>
          <w:sz w:val="21"/>
          <w:szCs w:val="21"/>
        </w:rPr>
        <w:t xml:space="preserve">Quatre critères ont été comparés individuellement, avec des seuils calculés statistiquement (95e percentile des distributions observées, sauf mention contraire)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700"/>
        <w:gridCol w:w="1300"/>
      </w:tblGrid>
      <w:tr>
        <w:tc>
          <w:tcPr>
            <w:tcW w:type="dxa" w:w="3500"/>
            <w:shd w:fill="1F3864" w:val="clear"/>
            <w:tcMar>
              <w:top w:type="dxa" w:w="80"/>
              <w:left w:type="dxa" w:w="100"/>
              <w:bottom w:type="dxa" w:w="80"/>
              <w:right w:type="dxa" w:w="100"/>
            </w:tcMar>
          </w:tcPr>
          <w:p>
            <w:r>
              <w:rPr>
                <w:b/>
                <w:bCs/>
                <w:color w:val="FFFFFF"/>
                <w:sz w:val="20"/>
                <w:szCs w:val="20"/>
              </w:rPr>
              <w:t xml:space="preserve">Critère</w:t>
            </w:r>
          </w:p>
        </w:tc>
        <w:tc>
          <w:tcPr>
            <w:tcW w:type="dxa" w:w="2500"/>
            <w:shd w:fill="1F3864" w:val="clear"/>
            <w:tcMar>
              <w:top w:type="dxa" w:w="80"/>
              <w:left w:type="dxa" w:w="100"/>
              <w:bottom w:type="dxa" w:w="80"/>
              <w:right w:type="dxa" w:w="100"/>
            </w:tcMar>
          </w:tcPr>
          <w:p>
            <w:r>
              <w:rPr>
                <w:b/>
                <w:bCs/>
                <w:color w:val="FFFFFF"/>
                <w:sz w:val="20"/>
                <w:szCs w:val="20"/>
              </w:rPr>
              <w:t xml:space="preserve">Seuil</w:t>
            </w:r>
          </w:p>
        </w:tc>
        <w:tc>
          <w:tcPr>
            <w:tcW w:type="dxa" w:w="1700"/>
            <w:shd w:fill="1F3864" w:val="clear"/>
            <w:tcMar>
              <w:top w:type="dxa" w:w="80"/>
              <w:left w:type="dxa" w:w="100"/>
              <w:bottom w:type="dxa" w:w="80"/>
              <w:right w:type="dxa" w:w="100"/>
            </w:tcMar>
          </w:tcPr>
          <w:p>
            <w:r>
              <w:rPr>
                <w:b/>
                <w:bCs/>
                <w:color w:val="FFFFFF"/>
                <w:sz w:val="20"/>
                <w:szCs w:val="20"/>
              </w:rPr>
              <w:t xml:space="preserve">Détections</w:t>
            </w:r>
          </w:p>
        </w:tc>
        <w:tc>
          <w:tcPr>
            <w:tcW w:type="dxa" w:w="1300"/>
            <w:shd w:fill="1F3864" w:val="clear"/>
            <w:tcMar>
              <w:top w:type="dxa" w:w="80"/>
              <w:left w:type="dxa" w:w="100"/>
              <w:bottom w:type="dxa" w:w="80"/>
              <w:right w:type="dxa" w:w="100"/>
            </w:tcMar>
          </w:tcPr>
          <w:p>
            <w:r>
              <w:rPr>
                <w:b/>
                <w:bCs/>
                <w:color w:val="FFFFFF"/>
                <w:sz w:val="20"/>
                <w:szCs w:val="20"/>
              </w:rPr>
              <w:t xml:space="preserve">Taux</w:t>
            </w:r>
          </w:p>
        </w:tc>
      </w:tr>
      <w:tr>
        <w:tc>
          <w:tcPr>
            <w:tcW w:type="dxa" w:w="3500"/>
            <w:tcMar>
              <w:top w:type="dxa" w:w="80"/>
              <w:left w:type="dxa" w:w="100"/>
              <w:bottom w:type="dxa" w:w="80"/>
              <w:right w:type="dxa" w:w="100"/>
            </w:tcMar>
          </w:tcPr>
          <w:p>
            <w:r>
              <w:rPr>
                <w:b w:val="false"/>
                <w:bCs w:val="false"/>
                <w:color w:val="000000"/>
                <w:sz w:val="20"/>
                <w:szCs w:val="20"/>
              </w:rPr>
              <w:t xml:space="preserve">Horaire inhabituel</w:t>
            </w:r>
          </w:p>
        </w:tc>
        <w:tc>
          <w:tcPr>
            <w:tcW w:type="dxa" w:w="2500"/>
            <w:tcMar>
              <w:top w:type="dxa" w:w="80"/>
              <w:left w:type="dxa" w:w="100"/>
              <w:bottom w:type="dxa" w:w="80"/>
              <w:right w:type="dxa" w:w="100"/>
            </w:tcMar>
          </w:tcPr>
          <w:p>
            <w:r>
              <w:rPr>
                <w:b w:val="false"/>
                <w:bCs w:val="false"/>
                <w:color w:val="000000"/>
                <w:sz w:val="20"/>
                <w:szCs w:val="20"/>
              </w:rPr>
              <w:t xml:space="preserve">&lt; 6h ou &gt; 22h</w:t>
            </w:r>
          </w:p>
        </w:tc>
        <w:tc>
          <w:tcPr>
            <w:tcW w:type="dxa" w:w="1700"/>
            <w:tcMar>
              <w:top w:type="dxa" w:w="80"/>
              <w:left w:type="dxa" w:w="100"/>
              <w:bottom w:type="dxa" w:w="80"/>
              <w:right w:type="dxa" w:w="100"/>
            </w:tcMar>
          </w:tcPr>
          <w:p>
            <w:r>
              <w:rPr>
                <w:b w:val="false"/>
                <w:bCs w:val="false"/>
                <w:color w:val="000000"/>
                <w:sz w:val="20"/>
                <w:szCs w:val="20"/>
              </w:rPr>
              <w:t xml:space="preserve">42</w:t>
            </w:r>
          </w:p>
        </w:tc>
        <w:tc>
          <w:tcPr>
            <w:tcW w:type="dxa" w:w="1300"/>
            <w:tcMar>
              <w:top w:type="dxa" w:w="80"/>
              <w:left w:type="dxa" w:w="100"/>
              <w:bottom w:type="dxa" w:w="80"/>
              <w:right w:type="dxa" w:w="100"/>
            </w:tcMar>
          </w:tcPr>
          <w:p>
            <w:r>
              <w:rPr>
                <w:b w:val="false"/>
                <w:bCs w:val="false"/>
                <w:color w:val="000000"/>
                <w:sz w:val="20"/>
                <w:szCs w:val="20"/>
              </w:rPr>
              <w:t xml:space="preserve">4,23 %</w:t>
            </w:r>
          </w:p>
        </w:tc>
      </w:tr>
      <w:tr>
        <w:tc>
          <w:tcPr>
            <w:tcW w:type="dxa" w:w="3500"/>
            <w:tcMar>
              <w:top w:type="dxa" w:w="80"/>
              <w:left w:type="dxa" w:w="100"/>
              <w:bottom w:type="dxa" w:w="80"/>
              <w:right w:type="dxa" w:w="100"/>
            </w:tcMar>
          </w:tcPr>
          <w:p>
            <w:r>
              <w:rPr>
                <w:b w:val="false"/>
                <w:bCs w:val="false"/>
                <w:color w:val="000000"/>
                <w:sz w:val="20"/>
                <w:szCs w:val="20"/>
              </w:rPr>
              <w:t xml:space="preserve">Machines distinctes élevées</w:t>
            </w:r>
          </w:p>
        </w:tc>
        <w:tc>
          <w:tcPr>
            <w:tcW w:type="dxa" w:w="2500"/>
            <w:tcMar>
              <w:top w:type="dxa" w:w="80"/>
              <w:left w:type="dxa" w:w="100"/>
              <w:bottom w:type="dxa" w:w="80"/>
              <w:right w:type="dxa" w:w="100"/>
            </w:tcMar>
          </w:tcPr>
          <w:p>
            <w:r>
              <w:rPr>
                <w:b w:val="false"/>
                <w:bCs w:val="false"/>
                <w:color w:val="000000"/>
                <w:sz w:val="20"/>
                <w:szCs w:val="20"/>
              </w:rPr>
              <w:t xml:space="preserve">&gt; 29 machines (95e percentile)</w:t>
            </w:r>
          </w:p>
        </w:tc>
        <w:tc>
          <w:tcPr>
            <w:tcW w:type="dxa" w:w="1700"/>
            <w:tcMar>
              <w:top w:type="dxa" w:w="80"/>
              <w:left w:type="dxa" w:w="100"/>
              <w:bottom w:type="dxa" w:w="80"/>
              <w:right w:type="dxa" w:w="100"/>
            </w:tcMar>
          </w:tcPr>
          <w:p>
            <w:r>
              <w:rPr>
                <w:b w:val="false"/>
                <w:bCs w:val="false"/>
                <w:color w:val="000000"/>
                <w:sz w:val="20"/>
                <w:szCs w:val="20"/>
              </w:rPr>
              <w:t xml:space="preserve">900</w:t>
            </w:r>
          </w:p>
        </w:tc>
        <w:tc>
          <w:tcPr>
            <w:tcW w:type="dxa" w:w="1300"/>
            <w:tcMar>
              <w:top w:type="dxa" w:w="80"/>
              <w:left w:type="dxa" w:w="100"/>
              <w:bottom w:type="dxa" w:w="80"/>
              <w:right w:type="dxa" w:w="100"/>
            </w:tcMar>
          </w:tcPr>
          <w:p>
            <w:r>
              <w:rPr>
                <w:b w:val="false"/>
                <w:bCs w:val="false"/>
                <w:color w:val="000000"/>
                <w:sz w:val="20"/>
                <w:szCs w:val="20"/>
              </w:rPr>
              <w:t xml:space="preserve">90,73 %</w:t>
            </w:r>
          </w:p>
        </w:tc>
      </w:tr>
      <w:tr>
        <w:tc>
          <w:tcPr>
            <w:tcW w:type="dxa" w:w="3500"/>
            <w:tcMar>
              <w:top w:type="dxa" w:w="80"/>
              <w:left w:type="dxa" w:w="100"/>
              <w:bottom w:type="dxa" w:w="80"/>
              <w:right w:type="dxa" w:w="100"/>
            </w:tcMar>
          </w:tcPr>
          <w:p>
            <w:r>
              <w:rPr>
                <w:b w:val="false"/>
                <w:bCs w:val="false"/>
                <w:color w:val="000000"/>
                <w:sz w:val="20"/>
                <w:szCs w:val="20"/>
              </w:rPr>
              <w:t xml:space="preserve">Paire utilisateur-machine rare</w:t>
            </w:r>
          </w:p>
        </w:tc>
        <w:tc>
          <w:tcPr>
            <w:tcW w:type="dxa" w:w="2500"/>
            <w:tcMar>
              <w:top w:type="dxa" w:w="80"/>
              <w:left w:type="dxa" w:w="100"/>
              <w:bottom w:type="dxa" w:w="80"/>
              <w:right w:type="dxa" w:w="100"/>
            </w:tcMar>
          </w:tcPr>
          <w:p>
            <w:r>
              <w:rPr>
                <w:b w:val="false"/>
                <w:bCs w:val="false"/>
                <w:color w:val="000000"/>
                <w:sz w:val="20"/>
                <w:szCs w:val="20"/>
              </w:rPr>
              <w:t xml:space="preserve">1 seule occurrence</w:t>
            </w:r>
          </w:p>
        </w:tc>
        <w:tc>
          <w:tcPr>
            <w:tcW w:type="dxa" w:w="1700"/>
            <w:tcMar>
              <w:top w:type="dxa" w:w="80"/>
              <w:left w:type="dxa" w:w="100"/>
              <w:bottom w:type="dxa" w:w="80"/>
              <w:right w:type="dxa" w:w="100"/>
            </w:tcMar>
          </w:tcPr>
          <w:p>
            <w:r>
              <w:rPr>
                <w:b w:val="false"/>
                <w:bCs w:val="false"/>
                <w:color w:val="000000"/>
                <w:sz w:val="20"/>
                <w:szCs w:val="20"/>
              </w:rPr>
              <w:t xml:space="preserve">0</w:t>
            </w:r>
          </w:p>
        </w:tc>
        <w:tc>
          <w:tcPr>
            <w:tcW w:type="dxa" w:w="1300"/>
            <w:tcMar>
              <w:top w:type="dxa" w:w="80"/>
              <w:left w:type="dxa" w:w="100"/>
              <w:bottom w:type="dxa" w:w="80"/>
              <w:right w:type="dxa" w:w="100"/>
            </w:tcMar>
          </w:tcPr>
          <w:p>
            <w:r>
              <w:rPr>
                <w:b w:val="false"/>
                <w:bCs w:val="false"/>
                <w:color w:val="000000"/>
                <w:sz w:val="20"/>
                <w:szCs w:val="20"/>
              </w:rPr>
              <w:t xml:space="preserve">0,00 %</w:t>
            </w:r>
          </w:p>
        </w:tc>
      </w:tr>
      <w:tr>
        <w:tc>
          <w:tcPr>
            <w:tcW w:type="dxa" w:w="3500"/>
            <w:shd w:fill="E8F0E8" w:val="clear"/>
            <w:tcMar>
              <w:top w:type="dxa" w:w="80"/>
              <w:left w:type="dxa" w:w="100"/>
              <w:bottom w:type="dxa" w:w="80"/>
              <w:right w:type="dxa" w:w="100"/>
            </w:tcMar>
          </w:tcPr>
          <w:p>
            <w:r>
              <w:rPr>
                <w:b w:val="false"/>
                <w:bCs w:val="false"/>
                <w:color w:val="000000"/>
                <w:sz w:val="20"/>
                <w:szCs w:val="20"/>
              </w:rPr>
              <w:t xml:space="preserve">Combiné (au moins un critère)</w:t>
            </w:r>
          </w:p>
        </w:tc>
        <w:tc>
          <w:tcPr>
            <w:tcW w:type="dxa" w:w="2500"/>
            <w:shd w:fill="E8F0E8" w:val="clear"/>
            <w:tcMar>
              <w:top w:type="dxa" w:w="80"/>
              <w:left w:type="dxa" w:w="100"/>
              <w:bottom w:type="dxa" w:w="80"/>
              <w:right w:type="dxa" w:w="100"/>
            </w:tcMar>
          </w:tcPr>
          <w:p>
            <w:r>
              <w:rPr>
                <w:b w:val="false"/>
                <w:bCs w:val="false"/>
                <w:color w:val="000000"/>
                <w:sz w:val="20"/>
                <w:szCs w:val="20"/>
              </w:rPr>
              <w:t xml:space="preserve">—</w:t>
            </w:r>
          </w:p>
        </w:tc>
        <w:tc>
          <w:tcPr>
            <w:tcW w:type="dxa" w:w="1700"/>
            <w:shd w:fill="E8F0E8" w:val="clear"/>
            <w:tcMar>
              <w:top w:type="dxa" w:w="80"/>
              <w:left w:type="dxa" w:w="100"/>
              <w:bottom w:type="dxa" w:w="80"/>
              <w:right w:type="dxa" w:w="100"/>
            </w:tcMar>
          </w:tcPr>
          <w:p>
            <w:r>
              <w:rPr>
                <w:b w:val="false"/>
                <w:bCs w:val="false"/>
                <w:color w:val="000000"/>
                <w:sz w:val="20"/>
                <w:szCs w:val="20"/>
              </w:rPr>
              <w:t xml:space="preserve">909</w:t>
            </w:r>
          </w:p>
        </w:tc>
        <w:tc>
          <w:tcPr>
            <w:tcW w:type="dxa" w:w="1300"/>
            <w:shd w:fill="E8F0E8" w:val="clear"/>
            <w:tcMar>
              <w:top w:type="dxa" w:w="80"/>
              <w:left w:type="dxa" w:w="100"/>
              <w:bottom w:type="dxa" w:w="80"/>
              <w:right w:type="dxa" w:w="100"/>
            </w:tcMar>
          </w:tcPr>
          <w:p>
            <w:r>
              <w:rPr>
                <w:b w:val="false"/>
                <w:bCs w:val="false"/>
                <w:color w:val="000000"/>
                <w:sz w:val="20"/>
                <w:szCs w:val="20"/>
              </w:rPr>
              <w:t xml:space="preserve">91,63 %</w:t>
            </w:r>
          </w:p>
        </w:tc>
      </w:tr>
    </w:tbl>
    <w:p>
      <w:pPr>
        <w:spacing w:after="140"/>
      </w:pPr>
      <w:r>
        <w:rPr>
          <w:b w:val="false"/>
          <w:bCs w:val="false"/>
          <w:i w:val="false"/>
          <w:iCs w:val="false"/>
          <w:sz w:val="21"/>
          <w:szCs w:val="21"/>
        </w:rPr>
        <w:t xml:space="preserve">Note : le critère « taux d'échec élevé » a également été testé mais son seuil (95e percentile) n'a pas produit de détections significatives supplémentaires par rapport au critère des machines distinctes sur cet échantillon d'attaques.</w:t>
      </w:r>
    </w:p>
    <w:p>
      <w:pPr>
        <w:pStyle w:val="Heading1"/>
        <w:spacing w:after="150" w:before="300"/>
      </w:pPr>
      <w:r>
        <w:rPr>
          <w:b/>
          <w:bCs/>
          <w:color w:val="1F3864"/>
          <w:sz w:val="30"/>
          <w:szCs w:val="30"/>
        </w:rPr>
        <w:t xml:space="preserve">4. Interprétation</w:t>
      </w:r>
    </w:p>
    <w:p>
      <w:pPr>
        <w:spacing w:after="140"/>
      </w:pPr>
      <w:r>
        <w:rPr>
          <w:b w:val="false"/>
          <w:bCs w:val="false"/>
          <w:i w:val="false"/>
          <w:iCs w:val="false"/>
          <w:sz w:val="21"/>
          <w:szCs w:val="21"/>
        </w:rPr>
        <w:t xml:space="preserve">Le résultat le plus significatif concerne le critère de diversité des machines accédées, qui détecte à lui seul plus de 90 % des attaques connues du dataset. Ce résultat est cohérent avec un scénario de mouvement latéral : un attaquant ayant compromis un compte cherche typiquement à accéder à un grand nombre de machines du réseau, contrairement à un utilisateur légitime dont l'activité reste concentrée sur un nombre restreint de postes habituels.</w:t>
      </w:r>
    </w:p>
    <w:p>
      <w:pPr>
        <w:spacing w:after="140"/>
      </w:pPr>
      <w:r>
        <w:rPr>
          <w:b w:val="false"/>
          <w:bCs w:val="false"/>
          <w:i w:val="false"/>
          <w:iCs w:val="false"/>
          <w:sz w:val="21"/>
          <w:szCs w:val="21"/>
        </w:rPr>
        <w:t xml:space="preserve">À l'inverse, le critère horaire, bien qu'intuitif, s'avère peu efficace isolément (4,23 %) : la majorité des attaques du dataset ont eu lieu pendant les horaires normaux, suggérant une tentative de dissimulation dans le trafic légitime.</w:t>
      </w:r>
    </w:p>
    <w:p>
      <w:pPr>
        <w:spacing w:after="140"/>
      </w:pPr>
      <w:r>
        <w:rPr>
          <w:b w:val="false"/>
          <w:bCs w:val="false"/>
          <w:i w:val="false"/>
          <w:iCs w:val="false"/>
          <w:sz w:val="21"/>
          <w:szCs w:val="21"/>
        </w:rPr>
        <w:t xml:space="preserve">Le critère de paire rare (connexion unique) ne produit aucune détection sur cet échantillon, probablement parce que les comptes compromis, précisément parce qu'ils accèdent à de nombreuses machines différentes, génèrent un grand nombre de connexions distinctes qui ne se limitent pas à des paires isolées.</w:t>
      </w:r>
    </w:p>
    <w:p>
      <w:pPr>
        <w:pStyle w:val="Heading1"/>
        <w:spacing w:after="150" w:before="300"/>
      </w:pPr>
      <w:r>
        <w:rPr>
          <w:b/>
          <w:bCs/>
          <w:color w:val="1F3864"/>
          <w:sz w:val="30"/>
          <w:szCs w:val="30"/>
        </w:rPr>
        <w:t xml:space="preserve">5. Conclusion et recommandation pour le dashboard</w:t>
      </w:r>
    </w:p>
    <w:p>
      <w:pPr>
        <w:spacing w:after="140"/>
      </w:pPr>
      <w:r>
        <w:rPr>
          <w:b w:val="false"/>
          <w:bCs w:val="false"/>
          <w:i w:val="false"/>
          <w:iCs w:val="false"/>
          <w:sz w:val="21"/>
          <w:szCs w:val="21"/>
        </w:rPr>
        <w:t xml:space="preserve">Cette analyse comparative justifie de donner une place centrale, dans le dashboard Power BI final, à l'indicateur de diversité des machines accédées par utilisateur, plutôt qu'au seul critère horaire initialement envisagé. La démarche illustre l'intérêt d'une validation empirique des hypothèses de détection contre des données de référence (ground truth), plutôt que de se fier à une intuition non vérifiée.</w:t>
      </w:r>
    </w:p>
    <w:p>
      <w:pPr>
        <w:spacing w:after="140"/>
      </w:pPr>
      <w:r>
        <w:rPr>
          <w:b/>
          <w:bCs/>
          <w:i w:val="false"/>
          <w:iCs w:val="false"/>
          <w:sz w:val="21"/>
          <w:szCs w:val="21"/>
        </w:rPr>
        <w:t xml:space="preserve">Les 8 tables Gold produites couvrent l'ensemble des visualisations prévues pour le dashboard (Semaine 4), avec un indicateur de validation chiffré et défendable pour la soutenance.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2026-08-03T10:42:01.683Z</dcterms:created>
  <dcterms:modified xsi:type="dcterms:W3CDTF">2026-08-03T10:42:01.700Z</dcterms:modified>
</cp:coreProperties>
</file>

<file path=docProps/custom.xml><?xml version="1.0" encoding="utf-8"?>
<Properties xmlns="http://schemas.openxmlformats.org/officeDocument/2006/custom-properties" xmlns:vt="http://schemas.openxmlformats.org/officeDocument/2006/docPropsVTypes"/>
</file>