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color w:val="0F2C59"/>
          <w:sz w:val="24"/>
        </w:rPr>
        <w:t>Republic of the Philippines</w:t>
        <w:br/>
      </w:r>
      <w:r>
        <w:rPr>
          <w:rFonts w:ascii="Georgia" w:hAnsi="Georgia"/>
          <w:b/>
          <w:color w:val="0F2C59"/>
          <w:sz w:val="28"/>
        </w:rPr>
        <w:t>SUPREME COURT</w:t>
        <w:br/>
        <w:t>Manila</w:t>
        <w:br/>
      </w:r>
      <w:r>
        <w:rPr>
          <w:rFonts w:ascii="Calibri" w:hAnsi="Calibri"/>
          <w:b/>
          <w:color w:val="646E7D"/>
          <w:sz w:val="22"/>
        </w:rPr>
        <w:t>EN BANC</w:t>
        <w:br/>
      </w:r>
    </w:p>
    <w:p>
      <w:pPr>
        <w:spacing w:before="40" w:after="160"/>
        <w:jc w:val="center"/>
      </w:pPr>
      <w:r>
        <w:rPr>
          <w:color w:val="B4BECD"/>
        </w:rPr>
        <w:t>—————————————————————————————————————————————</w:t>
      </w:r>
    </w:p>
    <w:p>
      <w:pPr>
        <w:spacing w:before="80" w:after="80"/>
        <w:jc w:val="center"/>
      </w:pPr>
      <w:r>
        <w:rPr>
          <w:rFonts w:ascii="Georgia" w:hAnsi="Georgia"/>
          <w:b/>
          <w:color w:val="B45309"/>
          <w:sz w:val="26"/>
        </w:rPr>
        <w:t>BASIC LEGAL AND JUDICIAL ETHICS (BLJE)</w:t>
        <w:br/>
      </w:r>
      <w:r>
        <w:rPr>
          <w:rFonts w:ascii="Georgia" w:hAnsi="Georgia"/>
          <w:b/>
          <w:color w:val="0F2C59"/>
          <w:sz w:val="32"/>
        </w:rPr>
        <w:t>LANDMARK JURISPRUDENCE &amp; AUTHENTIC CASE DIGESTS COMPENDIUM</w:t>
        <w:br/>
      </w:r>
      <w:r>
        <w:rPr>
          <w:rFonts w:ascii="Calibri" w:hAnsi="Calibri"/>
          <w:b/>
          <w:color w:val="21468B"/>
          <w:sz w:val="22"/>
        </w:rPr>
        <w:t>CPRA LEGAL ETHICS, MEDIA &amp; CYBERSPACE ETHICS, AND JUDICIAL ETHICS (CJCA/NCJC)</w:t>
        <w:br/>
        <w:t>(Structured ALAC Digests with Authentic Legal Defenses &amp; Bar Exam Syntheses)</w:t>
        <w:br/>
      </w:r>
    </w:p>
    <w:tbl>
      <w:tblPr>
        <w:tblW w:type="auto" w:w="0"/>
        <w:jc w:val="center"/>
        <w:tblLook w:firstColumn="1" w:firstRow="1" w:lastColumn="0" w:lastRow="0" w:noHBand="0" w:noVBand="1" w:val="04A0"/>
      </w:tblPr>
      <w:tblGrid>
        <w:gridCol w:w="9360"/>
      </w:tblGrid>
      <w:tr>
        <w:tc>
          <w:tcPr>
            <w:tcW w:type="dxa" w:w="9360"/>
            <w:shd w:val="clear" w:color="auto" w:fill="F4F6F9"/>
            <w:tcMar>
              <w:top w:w="120" w:type="dxa"/>
              <w:bottom w:w="120" w:type="dxa"/>
              <w:left w:w="180" w:type="dxa"/>
              <w:right w:w="180" w:type="dxa"/>
            </w:tcMar>
            <w:tcBorders>
              <w:top w:val="single" w:sz="6" w:space="0" w:color="D0D7DE"/>
              <w:bottom w:val="single" w:sz="6" w:space="0" w:color="D0D7DE"/>
              <w:left w:val="single" w:sz="18" w:space="0" w:color="1B365D"/>
              <w:right w:val="single" w:sz="6" w:space="0" w:color="D0D7DE"/>
            </w:tcBorders>
          </w:tcPr>
          <w:p>
            <w:pPr>
              <w:spacing w:before="0" w:after="0" w:line="276" w:lineRule="auto"/>
            </w:pPr>
            <w:r>
              <w:rPr>
                <w:rFonts w:ascii="Calibri" w:hAnsi="Calibri"/>
                <w:b/>
                <w:color w:val="0F2C59"/>
                <w:sz w:val="19"/>
              </w:rPr>
              <w:t xml:space="preserve">Scope of Coverage: </w:t>
            </w:r>
            <w:r>
              <w:rPr>
                <w:rFonts w:ascii="Calibri" w:hAnsi="Calibri"/>
                <w:b w:val="0"/>
                <w:color w:val="282828"/>
                <w:sz w:val="19"/>
              </w:rPr>
              <w:t>24 Benchmark Decisions of the Supreme Court En Banc</w:t>
              <w:br/>
            </w:r>
            <w:r>
              <w:rPr>
                <w:rFonts w:ascii="Calibri" w:hAnsi="Calibri"/>
                <w:b/>
                <w:color w:val="0F2C59"/>
                <w:sz w:val="19"/>
              </w:rPr>
              <w:t xml:space="preserve">Digest Framework: </w:t>
            </w:r>
            <w:r>
              <w:rPr>
                <w:rFonts w:ascii="Calibri" w:hAnsi="Calibri"/>
                <w:b w:val="0"/>
                <w:color w:val="282828"/>
                <w:sz w:val="19"/>
              </w:rPr>
              <w:t>ALAC Format (Facts, Authentic Legal Defense, Issue, Ruling, Doctrinal Takeaway)</w:t>
              <w:br/>
            </w:r>
            <w:r>
              <w:rPr>
                <w:rFonts w:ascii="Calibri" w:hAnsi="Calibri"/>
                <w:b/>
                <w:color w:val="0F2C59"/>
                <w:sz w:val="19"/>
              </w:rPr>
              <w:t xml:space="preserve">Thematic Modules: </w:t>
            </w:r>
            <w:r>
              <w:rPr>
                <w:rFonts w:ascii="Calibri" w:hAnsi="Calibri"/>
                <w:b w:val="0"/>
                <w:color w:val="282828"/>
                <w:sz w:val="19"/>
              </w:rPr>
              <w:t>Module A: Social Media, Media Relations, Cyber Ethics &amp; Sub Judice Rule</w:t>
              <w:br/>
              <w:t>Module B: CPRA Canons I to VI Legal Ethics Landmark Decisions</w:t>
              <w:br/>
              <w:t>Module C: Judicial Ethics (CJCA &amp; New Code of Judicial Conduct) Landmark Cases</w:t>
              <w:br/>
              <w:t>Module D: Master Synthesis &amp; High-Yield Bar Exam Review Matrices</w:t>
            </w:r>
          </w:p>
        </w:tc>
      </w:tr>
    </w:tbl>
    <w:p>
      <w:pPr>
        <w:spacing w:before="120" w:after="120"/>
      </w:pPr>
    </w:p>
    <w:p>
      <w:pPr>
        <w:keepNext/>
        <w:spacing w:before="360" w:after="120"/>
      </w:pPr>
      <w:r>
        <w:rPr>
          <w:rFonts w:ascii="Georgia" w:hAnsi="Georgia"/>
          <w:b/>
          <w:color w:val="0F2C59"/>
          <w:sz w:val="30"/>
        </w:rPr>
        <w:t>MODULE A: MEDIA, SOCIAL MEDIA, CYBER DECORUM &amp; SUB JUDICE CASES</w:t>
      </w:r>
    </w:p>
    <w:p>
      <w:pPr>
        <w:keepNext/>
        <w:spacing w:before="240" w:after="40"/>
      </w:pPr>
      <w:r>
        <w:rPr>
          <w:rFonts w:ascii="Georgia" w:hAnsi="Georgia"/>
          <w:b/>
          <w:color w:val="0F2C59"/>
          <w:sz w:val="23"/>
        </w:rPr>
        <w:t>⚖ RE: INVESTIGATION OF ATTY. LORENZO G. GADON (DISBARMENT)</w:t>
        <w:br/>
      </w:r>
      <w:r>
        <w:rPr>
          <w:rFonts w:ascii="Calibri" w:hAnsi="Calibri"/>
          <w:b/>
          <w:color w:val="B45309"/>
          <w:sz w:val="19"/>
        </w:rPr>
        <w:t>Citation: A.C. No. 13521, June 27, 2023 (En Banc, Per Curiam)  |  Governing Anchor: CPRA Canon II (Propriety), Sections 1, 2, 4, 37, 38 &amp; Canon VI (Accountability)</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video clip featuring Atty. Lorenzo Gadon went viral across multiple social media platforms (Facebook, Twitter, YouTube), wherein he uttered extremely foul, vulgar, misogynistic, and abusive profanities against journalist Raissa Robles. The Supreme Court motu proprio issued a show cause order and placed him under preventive suspension pending disciplinary investigation. This was the first major disbarment case adjudicated immediately following the effectivity of the CPRA.</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Gadon argued that the video was a private recording shared among friends that was leaked without his consent; that his statements were protected political speech and freedom of expression; that the CPRA cannot be applied retroactively to conduct occurring prior to May 29, 2023; and that his right to privacy was violated.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Atty. Gadon’s viral, profane, and misogynistic video on social media warrants disbarment under the CPRA, and whether privacy settings or freedom of expression protect a lawyer from disciplinary sanctions.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UNANIMOUSLY. The Supreme Court held that the CPRA applies retroactively to pending disciplinary proceedings. The Court ruled that freedom of expression is not a license for a lawyer to utter scandalous, misogynistic, and profane vitriol against any person. Lawyers are bound by a higher standard of decency, decorum, and civility, which extends to all digital spaces and social media platforms.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lawyer's speech on social media is subject to ethical regulation. Using online platforms to hurl profanities or engage in gender-based harassment degrades the legal profession. Privacy settings on social media do not shield a lawyer from administrative accountability under Canon II (Propriety) and Sections 36-38 of the CPRA.</w:t>
            </w:r>
          </w:p>
        </w:tc>
      </w:tr>
    </w:tbl>
    <w:p>
      <w:pPr>
        <w:spacing w:before="0" w:after="80"/>
      </w:pPr>
    </w:p>
    <w:p>
      <w:pPr>
        <w:keepNext/>
        <w:spacing w:before="240" w:after="40"/>
      </w:pPr>
      <w:r>
        <w:rPr>
          <w:rFonts w:ascii="Georgia" w:hAnsi="Georgia"/>
          <w:b/>
          <w:color w:val="0F2C59"/>
          <w:sz w:val="23"/>
        </w:rPr>
        <w:t>⚖ DR. VICTORIA 'VICKI' G. BELO-HENARES v. ATTY. ROBERTO 'ARGEE' C. GUEVARRA</w:t>
        <w:br/>
      </w:r>
      <w:r>
        <w:rPr>
          <w:rFonts w:ascii="Calibri" w:hAnsi="Calibri"/>
          <w:b/>
          <w:color w:val="B45309"/>
          <w:sz w:val="19"/>
        </w:rPr>
        <w:t>Citation: A.C. No. 11394, December 1, 2016 (Per Curiam)  |  Governing Anchor: Canon II (Propriety), Dignified Conduct &amp; Online Defamation</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Guevarra represented a former client in a medical malpractice dispute against Dr. Vicki Belo. Instead of confining the dispute to the courts, Atty. Guevarra launched a malicious campaign on Facebook, posting defamatory, insulting, and obscene remarks against Dr. Belo, calling her a 'quack doctor,' 'criminal,' and 'shyster,' while urging the public to boycott her clinics.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Guevarra claimed that his Facebook posts were set to 'Friends Only' (private), thus enjoying constitutional privacy protection, and that his posts were legitimate exercises of freedom of speech and zealous advocacy for his client.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invoke constitutional privacy rights over Facebook posts to escape disciplinary liability for defamatory online statements against an opposing party.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1 YEAR. The Supreme Court rejected the privacy defense, emphasizing that Facebook is inherently a public platform. A lawyer cannot hide behind 'Friends Only' settings to unleash defamatory attacks. Zealous advocacy does not justify launching a cyber-smear campaign.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cannot invoke privacy settings on social media as a defense for posting defamatory, scandalous, or unprofessional remarks. A lawyer's duty of sobriety and decorum applies equally to cyberspace and social networking sites.</w:t>
            </w:r>
          </w:p>
        </w:tc>
      </w:tr>
    </w:tbl>
    <w:p>
      <w:pPr>
        <w:spacing w:before="0" w:after="80"/>
      </w:pPr>
    </w:p>
    <w:p>
      <w:pPr>
        <w:keepNext/>
        <w:spacing w:before="240" w:after="40"/>
      </w:pPr>
      <w:r>
        <w:rPr>
          <w:rFonts w:ascii="Georgia" w:hAnsi="Georgia"/>
          <w:b/>
          <w:color w:val="0F2C59"/>
          <w:sz w:val="23"/>
        </w:rPr>
        <w:t>⚖ POLICE SUPT. HANS CRISTIAN MARANTAN v. ATTY. JOSE MANUEL DIOKNO &amp; ATTY. FERDINAND TOPACIO</w:t>
        <w:br/>
      </w:r>
      <w:r>
        <w:rPr>
          <w:rFonts w:ascii="Calibri" w:hAnsi="Calibri"/>
          <w:b/>
          <w:color w:val="B45309"/>
          <w:sz w:val="19"/>
        </w:rPr>
        <w:t>Citation: G.R. No. 205956, January 22, 2014 (Sub Judice Rule)  |  Governing Anchor: Canon II, Section 19 (Sub Judice Rule) &amp; Public Media Statements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Following the Atimonan incident resulting in multiple deaths, several criminal and administrative cases were filed against Supt. Marantan. During the pendency of preliminary investigations and trial, opposing counsel held press conferences, appeared in televised interviews, and made detailed public statements analyzing the physical evidence and asserting the criminal culpability of the accused.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Counsels argued that their media appearances were protected by freedom of information and the press, and that they were merely answering press queries without intending to impede the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holding press conferences and making public commentaries on the merits of a pending criminal case violates the Sub Judice Rule and legal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WARNED AND ADMONISHED. The Supreme Court clarified the parameters of the Sub Judice Rule. While fair and factual reporting of court proceedings is permitted, lawyers are strictly prohibited from making public statements that tend to prejudge the merits, influence the court, or incite public passion regarding a pending case.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Sub Judice Rule restricts public statements regarding pending judicial proceedings. Under CPRA Canon II, Section 19, lawyers must refrain from orchestrating media trials or making online/press statements that have a dangerous tendency to obstruct justice or sway public perception.</w:t>
            </w:r>
          </w:p>
        </w:tc>
      </w:tr>
    </w:tbl>
    <w:p>
      <w:pPr>
        <w:spacing w:before="0" w:after="80"/>
      </w:pPr>
    </w:p>
    <w:p>
      <w:pPr>
        <w:keepNext/>
        <w:spacing w:before="240" w:after="40"/>
      </w:pPr>
      <w:r>
        <w:rPr>
          <w:rFonts w:ascii="Georgia" w:hAnsi="Georgia"/>
          <w:b/>
          <w:color w:val="0F2C59"/>
          <w:sz w:val="23"/>
        </w:rPr>
        <w:t>⚖ MA. CECILIA LORENZANA v. JUDGE MA. CECILIA I. AUSTRIA</w:t>
        <w:br/>
      </w:r>
      <w:r>
        <w:rPr>
          <w:rFonts w:ascii="Calibri" w:hAnsi="Calibri"/>
          <w:b/>
          <w:color w:val="B45309"/>
          <w:sz w:val="19"/>
        </w:rPr>
        <w:t>Citation: A.M. No. RTJ-09-2200, April 2, 2014 (Judicial Cyber Ethics)  |  Governing Anchor: CJCA Canon IV (Propriety) &amp; Judicial Conduct on Social Media</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An administrative complaint was filed against RTC Judge Austria for displaying inappropriate photos of herself in provocative attire on Friendster and Facebook, and for using social media to engage in public arguments regarding her personal life and judicial functions.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Austria contended that her social media profiles were personal, recreational, and had nothing to do with her judicial rulings, and that judges do not forfeit their fundamental right to express themselves online.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presiding judge violates the Code of Judicial Conduct by posting undignified photos and engaging in public discourse on social networking sites.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FOUND GUILTY OF CONDUCT UNBECOMING OF A JUDGE. The Supreme Court reprimanded the judge, holding that magistrates must maintain propriety and the appearance of propriety in all activities, including in cyberspace.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are visible symbols of the law. They must exercise extreme circumspection on social media and ensure that their online posts, photos, and interactions do not erode public confidence in the dignity and impartiality of the Judiciary.</w:t>
            </w:r>
          </w:p>
        </w:tc>
      </w:tr>
    </w:tbl>
    <w:p>
      <w:pPr>
        <w:spacing w:before="0" w:after="80"/>
      </w:pPr>
    </w:p>
    <w:p>
      <w:pPr>
        <w:keepNext/>
        <w:spacing w:before="240" w:after="40"/>
      </w:pPr>
      <w:r>
        <w:rPr>
          <w:rFonts w:ascii="Georgia" w:hAnsi="Georgia"/>
          <w:b/>
          <w:color w:val="0F2C59"/>
          <w:sz w:val="23"/>
        </w:rPr>
        <w:t>⚖ RE: ANONYMOUS COMPLAINT AGAINST JUDGE FERDINAND R. VILLANUEVA</w:t>
        <w:br/>
      </w:r>
      <w:r>
        <w:rPr>
          <w:rFonts w:ascii="Calibri" w:hAnsi="Calibri"/>
          <w:b/>
          <w:color w:val="B45309"/>
          <w:sz w:val="19"/>
        </w:rPr>
        <w:t>Citation: A.M. No. MTJ-20-1945, September 29, 2021  |  Governing Anchor: CJCA Canon IV (Propriety) &amp; Canon I (Independence) in Social Media</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An anonymous complaint with screenshots was filed against Judge Villanueva, alleging that he maintained an active social media presence where he engaged in partisan political commentary, criticized government policies, and shared TikTok dance videos in court attire.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judge claimed the complaint was anonymous and malicious; that the TikTok videos were harmless recreational stress-relievers during pandemic lockdowns; and that political comments were made in his personal capacity.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judge's active online posting and political commentary undermine judicial integrity and decorum.</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SANCTIONED AND FINED FOR CONDUCT UNBECOMING. The Supreme Court emphasized that judges must avoid any appearance of partisanship or triviality. The black robe and judicial office command a solemn standard that cannot be compromised for social media likes or viral notoriety.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must observe judicial restraint and temperance online. Engaging in partisan political discussions or frivolous antics on social media impairs the public's perception of judicial independence, dignity, and neutrality.</w:t>
            </w:r>
          </w:p>
        </w:tc>
      </w:tr>
    </w:tbl>
    <w:p>
      <w:pPr>
        <w:spacing w:before="0" w:after="80"/>
      </w:pPr>
    </w:p>
    <w:p>
      <w:pPr>
        <w:keepNext/>
        <w:spacing w:before="360" w:after="120"/>
      </w:pPr>
      <w:r>
        <w:rPr>
          <w:rFonts w:ascii="Georgia" w:hAnsi="Georgia"/>
          <w:b/>
          <w:color w:val="0F2C59"/>
          <w:sz w:val="30"/>
        </w:rPr>
        <w:t>MODULE B: CPRA LEGAL ETHICS LANDMARK JURISPRUDENCE (CANONS I TO VI)</w:t>
      </w:r>
    </w:p>
    <w:p>
      <w:pPr>
        <w:keepNext/>
        <w:spacing w:before="240" w:after="40"/>
      </w:pPr>
      <w:r>
        <w:rPr>
          <w:rFonts w:ascii="Georgia" w:hAnsi="Georgia"/>
          <w:b/>
          <w:color w:val="0F2C59"/>
          <w:sz w:val="23"/>
        </w:rPr>
        <w:t>⚖ IN RE: ATTY. VICENTE RAUL ALMACEN</w:t>
        <w:br/>
      </w:r>
      <w:r>
        <w:rPr>
          <w:rFonts w:ascii="Calibri" w:hAnsi="Calibri"/>
          <w:b/>
          <w:color w:val="B45309"/>
          <w:sz w:val="19"/>
        </w:rPr>
        <w:t>Citation: G.R. No. L-27654 / 31 SCRA 562, February 18, 1970  |  Governing Anchor: Canon I (Independence) &amp; Canon II (Respect for Courts)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Almacen lost a civil case before the Court of Appeals and Supreme Court. In his Petition to Surrender Lawyer's Certificate of Title, he launched a bitter, insolent attack against the Supreme Court, calling it a 'corrupt, unprincipled institution' committed to injustice, and publicized his petition in the press.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Almacen asserted his constitutional right to free speech and redressing grievances, arguing that he had the moral duty to expose judicial incompetence.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lawyer's right to criticize the courts justifies intemperate, disrespectful, and insolent language aimed at destroying public trust in the judiciary.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INDEFINITELY SUSPENDED. The Supreme Court ruled that while post-litigation criticism of judicial decisions is permissible, it must be respectful, scholarly, and constructive. Insolent and scurrilous attacks on the integrity of the Court warrant severe disciplinary sanction.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owe respect and dignity to the courts as officers of the justice system. Criticism of judicial decisions must be made through respectful legal reasoning, not insolent vitriol calculated to demean the judiciary.</w:t>
            </w:r>
          </w:p>
        </w:tc>
      </w:tr>
    </w:tbl>
    <w:p>
      <w:pPr>
        <w:spacing w:before="0" w:after="80"/>
      </w:pPr>
    </w:p>
    <w:p>
      <w:pPr>
        <w:keepNext/>
        <w:spacing w:before="240" w:after="40"/>
      </w:pPr>
      <w:r>
        <w:rPr>
          <w:rFonts w:ascii="Georgia" w:hAnsi="Georgia"/>
          <w:b/>
          <w:color w:val="0F2C59"/>
          <w:sz w:val="23"/>
        </w:rPr>
        <w:t>⚖ BENJAMIN TAN v. ELPIDIO SABANDAL</w:t>
        <w:br/>
      </w:r>
      <w:r>
        <w:rPr>
          <w:rFonts w:ascii="Calibri" w:hAnsi="Calibri"/>
          <w:b/>
          <w:color w:val="B45309"/>
          <w:sz w:val="19"/>
        </w:rPr>
        <w:t>Citation: B.M. No. 44, February 10, 1989 &amp; 206 SCRA 473  |  Governing Anchor: CPRA Canon II (Propriety) &amp; Good Moral Character Requirement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Sabandal successfully passed the 1978 Philippine Bar Examination. However, during his bar admission processing, it was revealed that while working as a Land Investigator at the Bureau of Lands, he procured fraudulent land titles and committed grave dishonesty.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Sabandal argued that he had already been acquitted of the criminal charges of falsification; that he had displayed good conduct since; and that passing the bar entitled him to take the Lawyer's Oath.</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passing the bar exam automatically grants admission if the applicant fails to demonstrate continuing good moral character.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PETITION TO TAKE LAWYER'S OATH DENIED. The Supreme Court held that good moral character is not merely a condition precedent to taking the bar, but a continuing requirement. Acquittal in a criminal case does not automatically prove moral fitness in administrative bar proceedings.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Good moral character is an indispensable, continuing qualification for the practice of law. The practice of law is not a natural right, but a privilege burdened with conditions of absolute honesty and probity.</w:t>
            </w:r>
          </w:p>
        </w:tc>
      </w:tr>
    </w:tbl>
    <w:p>
      <w:pPr>
        <w:spacing w:before="0" w:after="80"/>
      </w:pPr>
    </w:p>
    <w:p>
      <w:pPr>
        <w:keepNext/>
        <w:spacing w:before="240" w:after="40"/>
      </w:pPr>
      <w:r>
        <w:rPr>
          <w:rFonts w:ascii="Georgia" w:hAnsi="Georgia"/>
          <w:b/>
          <w:color w:val="0F2C59"/>
          <w:sz w:val="23"/>
        </w:rPr>
        <w:t>⚖ TERESITA T. VENTURA v. ATTY. EDWIN SAMSON</w:t>
        <w:br/>
      </w:r>
      <w:r>
        <w:rPr>
          <w:rFonts w:ascii="Calibri" w:hAnsi="Calibri"/>
          <w:b/>
          <w:color w:val="B45309"/>
          <w:sz w:val="19"/>
        </w:rPr>
        <w:t>Citation: A.C. No. 9608, November 27, 2012 (En Banc)  |  Governing Anchor: Canon II, Section 1 (Proper Conduct) &amp; Immoral Behavior</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Samson engaged in a sexual and romantic relationship with complainant while he was already legally married. Furthermore, he fathered a child and subsequently abandoned both the mother and the child without financial support.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Samson contended that his relationship with complainant was consensual, private, and did not affect his professional capability or legal representation in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extramarital relations and abandonment of offspring constitute grossly immoral conduct warranting disbarment under legal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The Supreme Court ruled that a lawyer must maintain impeccable morality in both private and professional life. Engaging in adulterous relationships and abandoning offspring exhibits a depraved character unfit for the Bar.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lawyer must maintain the highest standards of morality. Grossly immoral conduct—even in private life—destroys moral fitness and warrants the supreme penalty of disbarment.</w:t>
            </w:r>
          </w:p>
        </w:tc>
      </w:tr>
    </w:tbl>
    <w:p>
      <w:pPr>
        <w:spacing w:before="0" w:after="80"/>
      </w:pPr>
    </w:p>
    <w:p>
      <w:pPr>
        <w:keepNext/>
        <w:spacing w:before="240" w:after="40"/>
      </w:pPr>
      <w:r>
        <w:rPr>
          <w:rFonts w:ascii="Georgia" w:hAnsi="Georgia"/>
          <w:b/>
          <w:color w:val="0F2C59"/>
          <w:sz w:val="23"/>
        </w:rPr>
        <w:t>⚖ JOSIEPUE GUEVARRA v. ATTY. JOSE EMMANUEL 'NOLI' EALA</w:t>
        <w:br/>
      </w:r>
      <w:r>
        <w:rPr>
          <w:rFonts w:ascii="Calibri" w:hAnsi="Calibri"/>
          <w:b/>
          <w:color w:val="B45309"/>
          <w:sz w:val="19"/>
        </w:rPr>
        <w:t>Citation: A.C. No. 7136, August 1, 2007 (En Banc)  |  Governing Anchor: Canon II (Propriety), Moral Turpitude &amp; Sanctity of Marriage</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Noli Eala, while married, carried on an open, public adulterous affair with complainant’s wife, wrote explicit romantic letters, and eventually lived together and fathered a child with her.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Eala argued that his own marriage had broken down; that his relationship with complainant's wife was born out of love and mutual consent; and that his professional standing as a respected sports broadcaster and lawyer remained unblemished.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maintaining an open adulterous relationship constitutes grossly immoral conduct warranting disbarment.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The Supreme Court ruled that marriage is a sacrosanct institution protected by the Constitution. A lawyer who openly violates marriage laws and flaunts an illicit affair commits gross immorality that degrades the legal profession.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must respect the law on marriage and family. Flaunting an adulterous relationship constitutes gross immorality that renders a lawyer morally unfit to remain a member of the Bar.</w:t>
            </w:r>
          </w:p>
        </w:tc>
      </w:tr>
    </w:tbl>
    <w:p>
      <w:pPr>
        <w:spacing w:before="0" w:after="80"/>
      </w:pPr>
    </w:p>
    <w:p>
      <w:pPr>
        <w:keepNext/>
        <w:spacing w:before="240" w:after="40"/>
      </w:pPr>
      <w:r>
        <w:rPr>
          <w:rFonts w:ascii="Georgia" w:hAnsi="Georgia"/>
          <w:b/>
          <w:color w:val="0F2C59"/>
          <w:sz w:val="23"/>
        </w:rPr>
        <w:t>⚖ AURELIO HORNILLA &amp; ERNESTO AUBEN v. ATTY. ERNESTO SALDIVAR</w:t>
        <w:br/>
      </w:r>
      <w:r>
        <w:rPr>
          <w:rFonts w:ascii="Calibri" w:hAnsi="Calibri"/>
          <w:b/>
          <w:color w:val="B45309"/>
          <w:sz w:val="19"/>
        </w:rPr>
        <w:t>Citation: A.C. No. 5804, July 1, 2003  |  Governing Anchor: Canon III, Section 13 &amp; 19 (Conflict of Interest in Derivative Suits)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Saldivar was the retained corporate counsel of the Philippine Public School Teachers Association (PPSTA). When minority members filed a derivative suit against the corporate directors for misappropriation of funds, Atty. Saldivar entered his appearance as counsel for the accused directors against the corporation.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Saldivar argued that as retained counsel of the corporation, he was defending the existing board of directors who held lawful management authority over the entity.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corporate counsel may represent the board of directors in a derivative suit filed against them by minority stockholders.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6 MONTHS. The Supreme Court established that in a derivative suit, the real party in interest is the corporation itself. Corporate counsel owes fidelity to the corporate entity, not the individual directors accused of fraud.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corporate counsel owes undivided allegiance to the corporation. In a derivative suit, corporate counsel cannot represent the directors accused of misconduct, as their interests directly conflict with the corporation.</w:t>
            </w:r>
          </w:p>
        </w:tc>
      </w:tr>
    </w:tbl>
    <w:p>
      <w:pPr>
        <w:spacing w:before="0" w:after="80"/>
      </w:pPr>
    </w:p>
    <w:p>
      <w:pPr>
        <w:keepNext/>
        <w:spacing w:before="240" w:after="40"/>
      </w:pPr>
      <w:r>
        <w:rPr>
          <w:rFonts w:ascii="Georgia" w:hAnsi="Georgia"/>
          <w:b/>
          <w:color w:val="0F2C59"/>
          <w:sz w:val="23"/>
        </w:rPr>
        <w:t>⚖ FELICITAS S. QUIAMBAO v. ATTY. NESTOR A. BAMBA</w:t>
        <w:br/>
      </w:r>
      <w:r>
        <w:rPr>
          <w:rFonts w:ascii="Calibri" w:hAnsi="Calibri"/>
          <w:b/>
          <w:color w:val="B45309"/>
          <w:sz w:val="19"/>
        </w:rPr>
        <w:t>Citation: A.C. No. 6708, August 25, 2005  |  Governing Anchor: Canon III, Section 13 (Concurrent Representation of Conflicting Interests)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Bamba served as corporate counsel and legal officer of AIB Company. While holding this post, he accepted an engagement to represent an individual in an ejectment suit against AIB’s president and managing director (Quiambao), involving property linked to the corporate business.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Bamba argued that the ejectment suit was a personal matter between complainant and his client, completely separate from his corporate retainer with AIB Company.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represent a client in a case against an existing client or corporate executive without written informed consent.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1 YEAR. The Supreme Court held that the prohibition against representing conflicting interests applies regardless of whether the matters are related or completely distinct.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lawyer cannot represent conflicting interests without written informed consent. Acceptance of a new retainer against an existing client violates absolute fidelity, regardless of whether the subject matters are related.</w:t>
            </w:r>
          </w:p>
        </w:tc>
      </w:tr>
    </w:tbl>
    <w:p>
      <w:pPr>
        <w:spacing w:before="0" w:after="80"/>
      </w:pPr>
    </w:p>
    <w:p>
      <w:pPr>
        <w:keepNext/>
        <w:spacing w:before="240" w:after="40"/>
      </w:pPr>
      <w:r>
        <w:rPr>
          <w:rFonts w:ascii="Georgia" w:hAnsi="Georgia"/>
          <w:b/>
          <w:color w:val="0F2C59"/>
          <w:sz w:val="23"/>
        </w:rPr>
        <w:t>⚖ BLANDINA GAMBOA HILADO v. JOSE GUTIERREZ DAVID</w:t>
        <w:br/>
      </w:r>
      <w:r>
        <w:rPr>
          <w:rFonts w:ascii="Calibri" w:hAnsi="Calibri"/>
          <w:b/>
          <w:color w:val="B45309"/>
          <w:sz w:val="19"/>
        </w:rPr>
        <w:t>Citation: 84 Phil. 569, September 21, 1949 (Foundational Landmark)  |  Governing Anchor: Canon III, Section 2, 17 &amp; 23 (Prospective Client &amp; Inviolability of Confidences)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Complainant consulted Atty. Vicente Francisco regarding an estate settlement dispute and provided extensive confidential records. Atty. Francisco later declined the engagement because he was not compensated. Subsequently, Atty. Francisco accepted the retainer to represent the opposing party in the exact same dispute.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Francisco claimed that no formal lawyer-client contract was signed, no legal fees were paid, and that he did not use any confidential information disclosed by complainant.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lawyer-client relationship attaches upon initial consultation to disqualify the lawyer from subsequently representing the opposing party.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DISQUALIFIED FROM REPRESENTATION. The Supreme Court ruled that the fiduciary relation attaches the very moment a prospective client shares confidences with a view to retaining counsel, regardless of whether a contract is perfected or fees are paid.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fiduciary relationship and duty of confidentiality attach upon the initial consultation of a prospective client. A lawyer cannot later represent the opposing party in the same controversy, even if no formal engagement occurred.</w:t>
            </w:r>
          </w:p>
        </w:tc>
      </w:tr>
    </w:tbl>
    <w:p>
      <w:pPr>
        <w:spacing w:before="0" w:after="80"/>
      </w:pPr>
    </w:p>
    <w:p>
      <w:pPr>
        <w:keepNext/>
        <w:spacing w:before="240" w:after="40"/>
      </w:pPr>
      <w:r>
        <w:rPr>
          <w:rFonts w:ascii="Georgia" w:hAnsi="Georgia"/>
          <w:b/>
          <w:color w:val="0F2C59"/>
          <w:sz w:val="23"/>
        </w:rPr>
        <w:t>⚖ TEODORO REGALA ET AL. (ACCRA LAW FIRM) v. SANDIGANBAYAN</w:t>
        <w:br/>
      </w:r>
      <w:r>
        <w:rPr>
          <w:rFonts w:ascii="Calibri" w:hAnsi="Calibri"/>
          <w:b/>
          <w:color w:val="B45309"/>
          <w:sz w:val="19"/>
        </w:rPr>
        <w:t>Citation: G.R. No. 105938, September 20, 1996 (En Banc)  |  Governing Anchor: Canon III, Section 23 (Privileged Communication &amp; Identity of Client)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In a recovery suit involving ill-gotten wealth, the PCGG required ACCRA lawyers to disclose the identities of their clients for whom they organized corporations. When the lawyers refused, citing attorney-client privilege, the Sandiganbayan ordered them to comply under threat of inclusion as co-defendants.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ACCRA lawyers invoked attorney-client privilege, arguing that disclosing the client’s identity in this specific context would furnish the essential link to implicate their client in the very crime charged.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be compelled to disclose the identity of their client in judicial proceedings.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PETITION GRANTED; LAWYERS PROTECTED. General rule: Client identity is not privileged. Exception: Client identity is strictly privileged where disclosure would furnish the essential link to convict the client, or where it would reveal confidential communications.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As a general rule, a client's identity is not privileged. However, client identity becomes strictly privileged when its revelation would link the client to a crime or expose the substance of confidential communications.</w:t>
            </w:r>
          </w:p>
        </w:tc>
      </w:tr>
    </w:tbl>
    <w:p>
      <w:pPr>
        <w:spacing w:before="0" w:after="80"/>
      </w:pPr>
    </w:p>
    <w:p>
      <w:pPr>
        <w:keepNext/>
        <w:spacing w:before="240" w:after="40"/>
      </w:pPr>
      <w:r>
        <w:rPr>
          <w:rFonts w:ascii="Georgia" w:hAnsi="Georgia"/>
          <w:b/>
          <w:color w:val="0F2C59"/>
          <w:sz w:val="23"/>
        </w:rPr>
        <w:t>⚖ CELSO M. BURBE v. ATTY. ALBERTO C. MAGULTA</w:t>
        <w:br/>
      </w:r>
      <w:r>
        <w:rPr>
          <w:rFonts w:ascii="Calibri" w:hAnsi="Calibri"/>
          <w:b/>
          <w:color w:val="B45309"/>
          <w:sz w:val="19"/>
        </w:rPr>
        <w:t>Citation: A.C. No. 99-634, June 10, 2002  |  Governing Anchor: Canon III, Section 41–48 (Client Funds Misappropriation &amp; Fiduciary Trust)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Complainant engaged Atty. Magulta to file a civil complaint for breach of contract and paid him ₱25,000.00 for filing fees and filing expenses. Instead of filing the case, the lawyer misappropriated the money for personal use and falsely claimed that the court was processing the case.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Magulta claimed that complainant owed him legal fees and that he applied the filing fees as compensation under his attorney's lien.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unilaterally apply client filing fees toward unpaid attorney's fees without the client's consent.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1 YEAR. The Supreme Court held that money entrusted to a lawyer for a specific purpose (filing fees) is held in trust. The lawyer has no right to misappropriate or unilaterally offset it against attorney's fees.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Client money received for a specific purpose (such as filing fees) is held in sacred trust. A lawyer cannot commingle, misappropriate, or unilaterally convert client funds to satisfy legal fees.</w:t>
            </w:r>
          </w:p>
        </w:tc>
      </w:tr>
    </w:tbl>
    <w:p>
      <w:pPr>
        <w:spacing w:before="0" w:after="80"/>
      </w:pPr>
    </w:p>
    <w:p>
      <w:pPr>
        <w:keepNext/>
        <w:spacing w:before="240" w:after="40"/>
      </w:pPr>
      <w:r>
        <w:rPr>
          <w:rFonts w:ascii="Georgia" w:hAnsi="Georgia"/>
          <w:b/>
          <w:color w:val="0F2C59"/>
          <w:sz w:val="23"/>
        </w:rPr>
        <w:t>⚖ TERRY ADAMS FOSTER v. ATTY. ELIZABETH AGTANG</w:t>
        <w:br/>
      </w:r>
      <w:r>
        <w:rPr>
          <w:rFonts w:ascii="Calibri" w:hAnsi="Calibri"/>
          <w:b/>
          <w:color w:val="B45309"/>
          <w:sz w:val="19"/>
        </w:rPr>
        <w:t>Citation: A.C. No. 10579, December 10, 2014 (En Banc)  |  Governing Anchor: Canon III, Section 43 &amp; 49 (Borrowing from Client &amp; Unconscionable Fees)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Agtang represented complainant in purchasing real property. During the relationship, she borrowed substantial amounts of money from her client, collected exorbitant unauthorized fees totaling over ₱1.2 million, and failed to return the funds despite repeated demands.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Agtang claimed that the money received represented genuine loans and reasonable attorney's fees agreed upon for her extensive legal services.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borrow money from a client and charge unconscionable fees without proper accounting.</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AND ORDERED TO RESTITUTE FUNDS. The Supreme Court held that borrowing money from a client erodes the fiduciary relationship and creates an impermissible conflict of interest. Taking financial advantage of a client warrants disbarment.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are strictly prohibited from borrowing money from a client or taking unfair financial advantage of the fiduciary engagement. Charging unconscionable fees and failing to account for client funds warrants disbarment.</w:t>
            </w:r>
          </w:p>
        </w:tc>
      </w:tr>
    </w:tbl>
    <w:p>
      <w:pPr>
        <w:spacing w:before="0" w:after="80"/>
      </w:pPr>
    </w:p>
    <w:p>
      <w:pPr>
        <w:keepNext/>
        <w:spacing w:before="240" w:after="40"/>
      </w:pPr>
      <w:r>
        <w:rPr>
          <w:rFonts w:ascii="Georgia" w:hAnsi="Georgia"/>
          <w:b/>
          <w:color w:val="0F2C59"/>
          <w:sz w:val="23"/>
        </w:rPr>
        <w:t>⚖ JOSEFINA M. PALMA v. ATTY. GENEROSO MADURAMENTE</w:t>
        <w:br/>
      </w:r>
      <w:r>
        <w:rPr>
          <w:rFonts w:ascii="Calibri" w:hAnsi="Calibri"/>
          <w:b/>
          <w:color w:val="B45309"/>
          <w:sz w:val="19"/>
        </w:rPr>
        <w:t>Citation: A.C. No. 8055, July 4, 2012  |  Governing Anchor: Canon IV, Section 1 &amp; 3 (Gross Negligence &amp; Failure to File Pleadings)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Complainant engaged Atty. Maduramente to represent her in a civil case and paid him acceptance fees. The lawyer failed to file the required pre-trial brief, missed pre-trial hearings, and failed to submit a notice of appeal, resulting in the judgment becoming final and executory against the client.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Maduramente claimed that he suffered from severe health problems and that his office clerk inadvertently failed to calendar the deadlines.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lawyer’s failure to file crucial pleadings resulting in an adverse final judgment constitutes gross negligence under legal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PRACTICE FOR 2 YEARS. The Supreme Court ruled that acceptance of a retainer binds the lawyer to serve with competence and diligence. Delegating responsibility to an office clerk does not relieve the lawyer of primary accountability.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Acceptance of a case obligates a lawyer to serve the client with competence and diligence. Gross negligence that deprives a client of their day in court constitutes a serious ethical violation.</w:t>
            </w:r>
          </w:p>
        </w:tc>
      </w:tr>
    </w:tbl>
    <w:p>
      <w:pPr>
        <w:spacing w:before="0" w:after="80"/>
      </w:pPr>
    </w:p>
    <w:p>
      <w:pPr>
        <w:keepNext/>
        <w:spacing w:before="240" w:after="40"/>
      </w:pPr>
      <w:r>
        <w:rPr>
          <w:rFonts w:ascii="Georgia" w:hAnsi="Georgia"/>
          <w:b/>
          <w:color w:val="0F2C59"/>
          <w:sz w:val="23"/>
        </w:rPr>
        <w:t>⚖ ANTERO J. POBRE v. SEN. MIRIAM DEFENSOR-SANTIAGO</w:t>
        <w:br/>
      </w:r>
      <w:r>
        <w:rPr>
          <w:rFonts w:ascii="Calibri" w:hAnsi="Calibri"/>
          <w:b/>
          <w:color w:val="B45309"/>
          <w:sz w:val="19"/>
        </w:rPr>
        <w:t>Citation: A.C. No. 7399, August 25, 2009 (En Banc)  |  Governing Anchor: Canon V (Equality) &amp; Parliamentary Immunity vs Bar Discipline</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Senator Miriam Defensor-Santiago delivered an impassioned privilege speech on the Senate floor in which she uttered harsh, insulting, and derogatory remarks against the Chief Justice and the Supreme Court. An administrative disbarment complaint was filed against her by a private citizen for violating the Code of Professional Responsibility.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Senator Santiago asserted absolute parliamentary immunity under Article VI, Section 11 of the 1987 Constitution for speeches delivered in the legislature.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lawyer-legislator may be disbarred or administratively disciplined by the Supreme Court for statements made during a privilege speech in Congress.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DISMISSED DUE TO PARLIAMENTARY IMMUNITY, BUT STRICTLY ADMONISHED. The Supreme Court recognized that parliamentary immunity protects legislators from judicial punishment for speeches made on the floor. However, the Court expressed deep regret and reminded lawyer-legislators that their oath requires dignity, sobriety, and respect for the judiciary.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Parliamentary immunity shields lawyer-legislators from civil and criminal liability for speeches delivered on the floor of Congress. However, lawyer-legislators remain morally bound by their Lawyer's Oath to observe civility and respect toward the courts.</w:t>
            </w:r>
          </w:p>
        </w:tc>
      </w:tr>
    </w:tbl>
    <w:p>
      <w:pPr>
        <w:spacing w:before="0" w:after="80"/>
      </w:pPr>
    </w:p>
    <w:p>
      <w:pPr>
        <w:keepNext/>
        <w:spacing w:before="240" w:after="40"/>
      </w:pPr>
      <w:r>
        <w:rPr>
          <w:rFonts w:ascii="Georgia" w:hAnsi="Georgia"/>
          <w:b/>
          <w:color w:val="0F2C59"/>
          <w:sz w:val="23"/>
        </w:rPr>
        <w:t>⚖ OFFICE OF THE COURT ADMINISTRATOR v. ATTY. ERNESTO LIANGCO</w:t>
        <w:br/>
      </w:r>
      <w:r>
        <w:rPr>
          <w:rFonts w:ascii="Calibri" w:hAnsi="Calibri"/>
          <w:b/>
          <w:color w:val="B45309"/>
          <w:sz w:val="19"/>
        </w:rPr>
        <w:t>Citation: A.C. No. 7676, November 20, 2012 (En Banc)  |  Governing Anchor: Canon VI, Section 1 &amp; 33 (Disciplinary Sanctions on Lawyer-Judges)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Liangco was dismissed from judicial service for gross ignorance of the law and gross misconduct for issuing an unauthorized warrant of arrest and deciding a case without conducting a trial. Following his dismissal as judge, administrative disciplinary proceedings were instituted against him as a member of the Bar.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Liangco argued that he had already been punished by dismissal from judicial service, and that subjecting him to disbarment constituted double jeopardy.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dismissed judge may also be disbarred from the practice of law based on the same acts of gross misconduct committed while on the bench.</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The Supreme Court ruled that double jeopardy does not apply to administrative disciplinary proceedings. Gross misconduct committed by a judge reflects directly on their fitness to remain a member of the legal profession.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Dismissal from judicial service does not preclude disbarment. Disciplinary proceedings are sui generis; gross misconduct on the bench constitutes ground for removing the respondent's name from the Roll of Attorneys.</w:t>
            </w:r>
          </w:p>
        </w:tc>
      </w:tr>
    </w:tbl>
    <w:p>
      <w:pPr>
        <w:spacing w:before="0" w:after="80"/>
      </w:pPr>
    </w:p>
    <w:p>
      <w:pPr>
        <w:keepNext/>
        <w:spacing w:before="240" w:after="40"/>
      </w:pPr>
      <w:r>
        <w:rPr>
          <w:rFonts w:ascii="Georgia" w:hAnsi="Georgia"/>
          <w:b/>
          <w:color w:val="0F2C59"/>
          <w:sz w:val="23"/>
        </w:rPr>
        <w:t>⚖ ATTY. MAURICIO C. ULEP v. THE LEGAL CLINIC, INC.</w:t>
        <w:br/>
      </w:r>
      <w:r>
        <w:rPr>
          <w:rFonts w:ascii="Calibri" w:hAnsi="Calibri"/>
          <w:b/>
          <w:color w:val="B45309"/>
          <w:sz w:val="19"/>
        </w:rPr>
        <w:t>Citation: B.M. No. 553, June 17, 1993 (En Banc Landmark)  |  Governing Anchor: CPRA Canon II, Section 17 (Advertising &amp; Practice of Law as Profession)</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Legal Clinic, Inc. published commercial advertisements in national newspapers offering legal services, assistance on secret marriages, divorces in Guam, and annulments. Atty. Ulep filed a petition to restrain the company, alleging unauthorized practice of law and illegal advertising.</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Legal Clinic argued that it was not engaged in the practice of law, but merely offered administrative, clerical, and paralegal assistance, which is protected under commercial freedom of enterprise.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providing legal services through commercial corporate advertisements violates legal ethics and the prohibition on commercializing law practice.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ORDERED TO CEASE AND DESIST. The Supreme Court held that the practice of law is a profession, not a commercial enterprise or trade. Corporations cannot practice law, and legal services cannot be advertised like ordinary merchant commodities.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practice of law is a noble profession, not a money-making trade. Commercial advertising of legal services is strictly prohibited, as it debases the dignity of the profession.</w:t>
            </w:r>
          </w:p>
        </w:tc>
      </w:tr>
    </w:tbl>
    <w:p>
      <w:pPr>
        <w:spacing w:before="0" w:after="80"/>
      </w:pPr>
    </w:p>
    <w:p>
      <w:pPr>
        <w:keepNext/>
        <w:spacing w:before="360" w:after="120"/>
      </w:pPr>
      <w:r>
        <w:rPr>
          <w:rFonts w:ascii="Georgia" w:hAnsi="Georgia"/>
          <w:b/>
          <w:color w:val="0F2C59"/>
          <w:sz w:val="30"/>
        </w:rPr>
        <w:t>MODULE C: JUDICIAL ETHICS LANDMARK JURISPRUDENCE (CJCA &amp; NCJC)</w:t>
      </w:r>
    </w:p>
    <w:p>
      <w:pPr>
        <w:keepNext/>
        <w:spacing w:before="240" w:after="40"/>
      </w:pPr>
      <w:r>
        <w:rPr>
          <w:rFonts w:ascii="Georgia" w:hAnsi="Georgia"/>
          <w:b/>
          <w:color w:val="0F2C59"/>
          <w:sz w:val="23"/>
        </w:rPr>
        <w:t>⚖ CONRADO VIDAL v. JUDGE ROLANDO DOJILLO, JR.</w:t>
        <w:br/>
      </w:r>
      <w:r>
        <w:rPr>
          <w:rFonts w:ascii="Calibri" w:hAnsi="Calibri"/>
          <w:b/>
          <w:color w:val="B45309"/>
          <w:sz w:val="19"/>
        </w:rPr>
        <w:t>Citation: A.M. No. MTJ-05-1591, July 14, 2005  |  Governing Anchor: CJCA Canon III (Impartiality) &amp; Canon I (Independence)</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Dojillo attended court hearings of an election protest pending in another judge's sala involving his brother, sat beside his brother's legal counsel, and spoke with court staff during trial recesses.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Dojillo argued that he was merely attending the hearing as a concerned brother in his private capacity and did not say a word to the presiding judge on the bench.</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judge's physical presence and proximity to counsel in another courtroom creates an appearance of improper influence violating judicial impartiality.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FOUND GUILTY OF CONDUCT UNBECOMING OF A JUDGE. The Supreme Court fined the judge, holding that magistrates must avoid not only actual impropriety but also the appearance of impropriety. A judge's presence carries inherent institutional weight that creates an appearance of influence.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must preserve the cold neutrality of an impartial magistrate. A judge must avoid any conduct or physical presence in another courtroom that could reasonably create the impression of exerting influence.</w:t>
            </w:r>
          </w:p>
        </w:tc>
      </w:tr>
    </w:tbl>
    <w:p>
      <w:pPr>
        <w:spacing w:before="0" w:after="80"/>
      </w:pPr>
    </w:p>
    <w:p>
      <w:pPr>
        <w:keepNext/>
        <w:spacing w:before="240" w:after="40"/>
      </w:pPr>
      <w:r>
        <w:rPr>
          <w:rFonts w:ascii="Georgia" w:hAnsi="Georgia"/>
          <w:b/>
          <w:color w:val="0F2C59"/>
          <w:sz w:val="23"/>
        </w:rPr>
        <w:t>⚖ ROLANDO GO v. COURT OF APPEALS &amp; PEOPLE OF THE PHILIPPINES</w:t>
        <w:br/>
      </w:r>
      <w:r>
        <w:rPr>
          <w:rFonts w:ascii="Calibri" w:hAnsi="Calibri"/>
          <w:b/>
          <w:color w:val="B45309"/>
          <w:sz w:val="19"/>
        </w:rPr>
        <w:t>Citation: G.R. No. 101837, February 11, 1992  |  Governing Anchor: CJCA Canon III, Sections 11–13 (Mandatory Disqualification vs Voluntary Inhibition)</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Petitioner Rolando Go filed a motion for the voluntary inhibition of the presiding trial judge, alleging that the judge had expressed prejudgment of guilt in bail hearings and exhibited personal hostility toward defense counsel.</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trial judge refused to inhibit, maintaining that none of the mandatory grounds for disqualification under Rule 137 were present, and that he could decide the case with cold neutrality.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What are the governing standards for voluntary inhibition of a trial judge under judicial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INHIBITION UPHELD. The Supreme Court held that while the grounds did not fall under mandatory disqualification, a judge should voluntarily inhibit if their impartiality might reasonably be questioned, in order to preserve the appearance of justice.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Where a judge's impartiality is subject to reasonable suspicion, voluntary inhibition is the better course of action. Justice must not only be done, but must also be seen to be done.</w:t>
            </w:r>
          </w:p>
        </w:tc>
      </w:tr>
    </w:tbl>
    <w:p>
      <w:pPr>
        <w:spacing w:before="0" w:after="80"/>
      </w:pPr>
    </w:p>
    <w:p>
      <w:pPr>
        <w:keepNext/>
        <w:spacing w:before="240" w:after="40"/>
      </w:pPr>
      <w:r>
        <w:rPr>
          <w:rFonts w:ascii="Georgia" w:hAnsi="Georgia"/>
          <w:b/>
          <w:color w:val="0F2C59"/>
          <w:sz w:val="23"/>
        </w:rPr>
        <w:t>⚖ EDGARDO PADILLA v. JUDGE SALVADOR ZANTUA</w:t>
        <w:br/>
      </w:r>
      <w:r>
        <w:rPr>
          <w:rFonts w:ascii="Calibri" w:hAnsi="Calibri"/>
          <w:b/>
          <w:color w:val="B45309"/>
          <w:sz w:val="19"/>
        </w:rPr>
        <w:t>Citation: A.M. No. MTJ-93-888, October 24, 1994  |  Governing Anchor: CJCA Canon IV (Propriety), Decorum &amp; Judicial Temperament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Zantua conducted court hearings while wearing a casual round-neck shirt instead of the prescribed black judicial robe, arrived late for hearings, and engaged in heated verbal altercations with practicing lawyers in open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judge claimed that the courtroom was uncomfortably hot without air-conditioning, that traffic caused unavoidable delays, and that he was merely maintaining order against disrespectful counsel.</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conducting hearings without judicial attire and exhibiting bad judicial temperament violate judicial propriety.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FINED AND ADMONISHED. The Supreme Court held that wearing the black judicial robe is a mandatory symbol of authority and solemnity under Administrative Circular No. 25. A judge must personify patience, dignified decorum, and judicial temperament.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black judicial robe is an indispensable symbol of judicial authority and dignity. A judge must maintain dignified decorum, punctuality, and judicial temperament at all times.</w:t>
            </w:r>
          </w:p>
        </w:tc>
      </w:tr>
    </w:tbl>
    <w:p>
      <w:pPr>
        <w:spacing w:before="0" w:after="80"/>
      </w:pPr>
    </w:p>
    <w:p>
      <w:pPr>
        <w:keepNext/>
        <w:spacing w:before="240" w:after="40"/>
      </w:pPr>
      <w:r>
        <w:rPr>
          <w:rFonts w:ascii="Georgia" w:hAnsi="Georgia"/>
          <w:b/>
          <w:color w:val="0F2C59"/>
          <w:sz w:val="23"/>
        </w:rPr>
        <w:t>⚖ MATEO ALFONSO v. JUDGE FORTUNATO JUANSON</w:t>
        <w:br/>
      </w:r>
      <w:r>
        <w:rPr>
          <w:rFonts w:ascii="Calibri" w:hAnsi="Calibri"/>
          <w:b/>
          <w:color w:val="B45309"/>
          <w:sz w:val="19"/>
        </w:rPr>
        <w:t>Citation: A.M. No. RTJ-92-904, December 7, 1993  |  Governing Anchor: CJCA Canon IV, Section 19 (Financial &amp; Business Integrity of Judges)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Juanson obtained personal loans from litigants who had pending cases in his sala, and engaged in private lending and commercial business transactions using his court staff.</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judge claimed that the financial transactions were private business dealings completely unrelated to his adjudicative rulings.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 may engage in business transactions or borrow money from litigants having pending matters before the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DISMISSED FROM JUDICIAL SERVICE WITH FORFEITURE OF RETIREMENT BENEFITS. The Supreme Court ruled that engaging in financial transactions with litigants is a grave offense that completely destroys judicial independence and integrity.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are strictly prohibited from engaging in financial dealings or borrowing money from litigants. Such conduct constitutes corrupt misconduct warranting dismissal from the Judiciary.</w:t>
            </w:r>
          </w:p>
        </w:tc>
      </w:tr>
    </w:tbl>
    <w:p>
      <w:pPr>
        <w:spacing w:before="0" w:after="80"/>
      </w:pPr>
    </w:p>
    <w:p>
      <w:pPr>
        <w:keepNext/>
        <w:spacing w:before="240" w:after="40"/>
      </w:pPr>
      <w:r>
        <w:rPr>
          <w:rFonts w:ascii="Georgia" w:hAnsi="Georgia"/>
          <w:b/>
          <w:color w:val="0F2C59"/>
          <w:sz w:val="23"/>
        </w:rPr>
        <w:t>⚖ ATTY. JOSE SISON v. JUDGE JOSE CAOIBES, JR.</w:t>
        <w:br/>
      </w:r>
      <w:r>
        <w:rPr>
          <w:rFonts w:ascii="Calibri" w:hAnsi="Calibri"/>
          <w:b/>
          <w:color w:val="B45309"/>
          <w:sz w:val="19"/>
        </w:rPr>
        <w:t>Citation: A.M. No. RTJ-03-1771, May 27, 2004  |  Governing Anchor: CJCA Canon IV &amp; Canon I (Arbitrary Exercise of Contempt Power)</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Following a minor traffic altercation involving the judge’s son and a lawyer, Judge Caoibes issued an immediate order citing the lawyer in direct contempt of court and ordered his summary arrest, even though the incident had nothing to do with any court proceeding.</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Caoibes claimed that the lawyer insulted a member of his family, which indirectly insulted the dignity of the judicial office.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 may invoke contempt powers to avenge personal or family grievances.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FINED AND SUSPENDED. The Supreme Court held that the contempt power is a drastic tool intended to preserve court authority, not a weapon for personal retaliation. Using judicial power to settle personal scores constitutes gross oppression and grave abuse of authority.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judicial power of contempt must be exercised with restraint and sobriety for public purposes only. Using contempt to avenge personal or familial grievances constitutes gross abuse of authority.</w:t>
            </w:r>
          </w:p>
        </w:tc>
      </w:tr>
    </w:tbl>
    <w:p>
      <w:pPr>
        <w:spacing w:before="0" w:after="80"/>
      </w:pPr>
    </w:p>
    <w:p>
      <w:pPr>
        <w:keepNext/>
        <w:spacing w:before="360" w:after="120"/>
      </w:pPr>
      <w:r>
        <w:rPr>
          <w:rFonts w:ascii="Georgia" w:hAnsi="Georgia"/>
          <w:b/>
          <w:color w:val="0F2C59"/>
          <w:sz w:val="30"/>
        </w:rPr>
        <w:t>MODULE D: MASTER SYNTHESIS &amp; BAR EXAM HIGH-YIELD MATRICES</w:t>
      </w:r>
    </w:p>
    <w:p>
      <w:pPr>
        <w:keepNext/>
        <w:spacing w:before="280" w:after="80"/>
      </w:pPr>
      <w:r>
        <w:rPr>
          <w:rFonts w:ascii="Georgia" w:hAnsi="Georgia"/>
          <w:b/>
          <w:color w:val="B45309"/>
          <w:sz w:val="25"/>
        </w:rPr>
        <w:t>1. CPRA DISCIPLINARY OFFENSES &amp; PENALTIES MATRIX (CANON VI)</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F2C59"/>
            <w:tcMar>
              <w:top w:w="80" w:type="dxa"/>
              <w:bottom w:w="80" w:type="dxa"/>
              <w:left w:w="100" w:type="dxa"/>
              <w:right w:w="100" w:type="dxa"/>
            </w:tcMar>
          </w:tcPr>
          <w:p>
            <w:pPr>
              <w:jc w:val="center"/>
            </w:pPr>
            <w:r>
              <w:rPr>
                <w:rFonts w:ascii="Georgia" w:hAnsi="Georgia"/>
                <w:b/>
                <w:color w:val="FFFFFF"/>
                <w:sz w:val="19"/>
              </w:rPr>
              <w:t>OFFENSE LEVEL</w:t>
            </w:r>
          </w:p>
        </w:tc>
        <w:tc>
          <w:tcPr>
            <w:tcW w:type="dxa" w:w="3744"/>
            <w:shd w:val="clear" w:color="auto" w:fill="0F2C59"/>
            <w:tcMar>
              <w:top w:w="80" w:type="dxa"/>
              <w:bottom w:w="80" w:type="dxa"/>
              <w:left w:w="100" w:type="dxa"/>
              <w:right w:w="100" w:type="dxa"/>
            </w:tcMar>
          </w:tcPr>
          <w:p>
            <w:pPr>
              <w:jc w:val="center"/>
            </w:pPr>
            <w:r>
              <w:rPr>
                <w:rFonts w:ascii="Georgia" w:hAnsi="Georgia"/>
                <w:b/>
                <w:color w:val="FFFFFF"/>
                <w:sz w:val="19"/>
              </w:rPr>
              <w:t>KEY QUALIFYING ACTS</w:t>
            </w:r>
          </w:p>
        </w:tc>
        <w:tc>
          <w:tcPr>
            <w:tcW w:type="dxa" w:w="3456"/>
            <w:shd w:val="clear" w:color="auto" w:fill="0F2C59"/>
            <w:tcMar>
              <w:top w:w="80" w:type="dxa"/>
              <w:bottom w:w="80" w:type="dxa"/>
              <w:left w:w="100" w:type="dxa"/>
              <w:right w:w="100" w:type="dxa"/>
            </w:tcMar>
          </w:tcPr>
          <w:p>
            <w:pPr>
              <w:jc w:val="center"/>
            </w:pPr>
            <w:r>
              <w:rPr>
                <w:rFonts w:ascii="Georgia" w:hAnsi="Georgia"/>
                <w:b/>
                <w:color w:val="FFFFFF"/>
                <w:sz w:val="19"/>
              </w:rPr>
              <w:t>PRESCRIBED PENALTIES (SEC. 37)</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B45309"/>
                <w:sz w:val="18"/>
              </w:rPr>
              <w:t>SERIOUS OFFENSES</w:t>
              <w:br/>
              <w:t>(Section 33)</w:t>
            </w:r>
          </w:p>
        </w:tc>
        <w:tc>
          <w:tcPr>
            <w:tcW w:type="dxa" w:w="3744"/>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 Gross misconduct &amp; serious dishonesty</w:t>
              <w:br/>
              <w:t>• Bribery, corruption, extortion</w:t>
              <w:br/>
              <w:t>• Misappropriation of client funds</w:t>
              <w:br/>
              <w:t>• Gross negligence causing loss of day in court</w:t>
              <w:br/>
              <w:t>• Conviction of crime involving moral turpitude</w:t>
              <w:br/>
              <w:t>• Sexual abuse, harassment, gender-based violence</w:t>
              <w:br/>
              <w:t>• Grossly immoral conduct</w:t>
            </w:r>
          </w:p>
        </w:tc>
        <w:tc>
          <w:tcPr>
            <w:tcW w:type="dxa" w:w="3456"/>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1. Disbarment; or</w:t>
              <w:br/>
              <w:t>2. Suspension from practice of law for 1 to 5 years; or</w:t>
              <w:br/>
              <w:t>3. Fine exceeding ₱100,000.00 up to ₱500,000.00; or</w:t>
              <w:br/>
              <w:t>4. Both Suspension and Fine.</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LESS SERIOUS OFFENSES</w:t>
              <w:br/>
              <w:t>(Section 34)</w:t>
            </w:r>
          </w:p>
        </w:tc>
        <w:tc>
          <w:tcPr>
            <w:tcW w:type="dxa" w:w="3744"/>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 Simple misconduct without manifest corruption</w:t>
              <w:br/>
              <w:t>• Simple negligence without loss of day in court</w:t>
              <w:br/>
              <w:t>• Unwarranted delay in filing pleadings</w:t>
              <w:br/>
              <w:t>• Violation of SC/IBP administrative issuances</w:t>
              <w:br/>
              <w:t>• Failure to comply with MCLE</w:t>
              <w:br/>
              <w:t>• Improper advertising / commercial solicitation</w:t>
            </w:r>
          </w:p>
        </w:tc>
        <w:tc>
          <w:tcPr>
            <w:tcW w:type="dxa" w:w="3456"/>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1. Suspension from practice for 1 month to 1 year; or</w:t>
              <w:br/>
              <w:t>2. Fine of ₱35,000.00 to ₱100,000.00; or</w:t>
              <w:br/>
              <w:t>3. Both Suspension and Fine.</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LIGHT OFFENSES</w:t>
              <w:br/>
              <w:t>(Section 35)</w:t>
            </w:r>
          </w:p>
        </w:tc>
        <w:tc>
          <w:tcPr>
            <w:tcW w:type="dxa" w:w="3744"/>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 Non-payment of IBP chapter dues</w:t>
              <w:br/>
              <w:t>• Use of vulgar/intemperate words in private life</w:t>
              <w:br/>
              <w:t>• Fraternizing with court personnel with pending cases</w:t>
              <w:br/>
              <w:t>• Minor procedural and decorum infractions</w:t>
            </w:r>
          </w:p>
        </w:tc>
        <w:tc>
          <w:tcPr>
            <w:tcW w:type="dxa" w:w="3456"/>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1. Reprimand; or</w:t>
              <w:br/>
              <w:t>2. Admonition with stern warning; or</w:t>
              <w:br/>
              <w:t>3. Fine of ₱1,000.00 to ₱35,000.00; or</w:t>
              <w:br/>
              <w:t>4. Both Reprimand/Admonition and Fine.</w:t>
            </w:r>
          </w:p>
        </w:tc>
      </w:tr>
    </w:tbl>
    <w:p>
      <w:pPr>
        <w:spacing w:before="120" w:after="120"/>
      </w:pPr>
    </w:p>
    <w:p>
      <w:pPr>
        <w:keepNext/>
        <w:spacing w:before="280" w:after="80"/>
      </w:pPr>
      <w:r>
        <w:rPr>
          <w:rFonts w:ascii="Georgia" w:hAnsi="Georgia"/>
          <w:b/>
          <w:color w:val="B45309"/>
          <w:sz w:val="25"/>
        </w:rPr>
        <w:t>2. SOCIAL MEDIA &amp; DIGITAL ETHICS: HIGH-YIELD DO'S &amp; DON'TS MATRIX</w:t>
      </w:r>
    </w:p>
    <w:tbl>
      <w:tblPr>
        <w:tblW w:type="auto" w:w="0"/>
        <w:jc w:val="center"/>
        <w:tblLook w:firstColumn="1" w:firstRow="1" w:lastColumn="0" w:lastRow="0" w:noHBand="0" w:noVBand="1" w:val="04A0"/>
      </w:tblPr>
      <w:tblGrid>
        <w:gridCol w:w="4680"/>
        <w:gridCol w:w="4680"/>
      </w:tblGrid>
      <w:tr>
        <w:tc>
          <w:tcPr>
            <w:tcW w:type="dxa" w:w="4608"/>
            <w:shd w:val="clear" w:color="auto" w:fill="047857"/>
            <w:tcMar>
              <w:top w:w="80" w:type="dxa"/>
              <w:bottom w:w="80" w:type="dxa"/>
              <w:left w:w="100" w:type="dxa"/>
              <w:right w:w="100" w:type="dxa"/>
            </w:tcMar>
          </w:tcPr>
          <w:p>
            <w:pPr>
              <w:jc w:val="center"/>
            </w:pPr>
            <w:r>
              <w:rPr>
                <w:rFonts w:ascii="Georgia" w:hAnsi="Georgia"/>
                <w:b/>
                <w:color w:val="FFFFFF"/>
                <w:sz w:val="19"/>
              </w:rPr>
              <w:t>PERMISSIBLE ACTS (DO'S)</w:t>
            </w:r>
          </w:p>
        </w:tc>
        <w:tc>
          <w:tcPr>
            <w:tcW w:type="dxa" w:w="4752"/>
            <w:shd w:val="clear" w:color="auto" w:fill="991B1B"/>
            <w:tcMar>
              <w:top w:w="80" w:type="dxa"/>
              <w:bottom w:w="80" w:type="dxa"/>
              <w:left w:w="100" w:type="dxa"/>
              <w:right w:w="100" w:type="dxa"/>
            </w:tcMar>
          </w:tcPr>
          <w:p>
            <w:pPr>
              <w:jc w:val="center"/>
            </w:pPr>
            <w:r>
              <w:rPr>
                <w:rFonts w:ascii="Georgia" w:hAnsi="Georgia"/>
                <w:b/>
                <w:color w:val="FFFFFF"/>
                <w:sz w:val="19"/>
              </w:rPr>
              <w:t>PROHIBITED ETHICAL INFRACTIONS (DON'TS)</w:t>
            </w:r>
          </w:p>
        </w:tc>
      </w:tr>
      <w:tr>
        <w:tc>
          <w:tcPr>
            <w:tcW w:type="dxa" w:w="4608"/>
            <w:shd w:val="clear" w:color="auto" w:fill="F0FDF4"/>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Disseminating accurate, educational, and general legal info to promote public legal literacy (Sec. 43).</w:t>
            </w:r>
          </w:p>
        </w:tc>
        <w:tc>
          <w:tcPr>
            <w:tcW w:type="dxa" w:w="4752"/>
            <w:shd w:val="clear" w:color="auto" w:fill="FEF2F2"/>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Giving specific legal advice on user-submitted facts online without conflict checking and formal retainer (Sec. 43).</w:t>
            </w:r>
          </w:p>
        </w:tc>
      </w:tr>
      <w:tr>
        <w:tc>
          <w:tcPr>
            <w:tcW w:type="dxa" w:w="460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Maintaining professional, verified social media accounts with appropriate privacy &amp; 2FA security (Sec. 36 &amp; 41).</w:t>
            </w:r>
          </w:p>
        </w:tc>
        <w:tc>
          <w:tcPr>
            <w:tcW w:type="dxa" w:w="475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Creating troll, fake, bot, sockpuppet, or anonymous accounts to attack others, harass, or evade liability (Sec. 39).</w:t>
            </w:r>
          </w:p>
        </w:tc>
      </w:tr>
      <w:tr>
        <w:tc>
          <w:tcPr>
            <w:tcW w:type="dxa" w:w="4608"/>
            <w:shd w:val="clear" w:color="auto" w:fill="F0FDF4"/>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Expressing fair, sober, and respectful academic commentary on settled jurisprudence.</w:t>
            </w:r>
          </w:p>
        </w:tc>
        <w:tc>
          <w:tcPr>
            <w:tcW w:type="dxa" w:w="4752"/>
            <w:shd w:val="clear" w:color="auto" w:fill="FEF2F2"/>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Making public comments, vlogs, or posts on pending cases that prejudice or influence judicial outcome (Sub Judice, Sec. 19).</w:t>
            </w:r>
          </w:p>
        </w:tc>
      </w:tr>
      <w:tr>
        <w:tc>
          <w:tcPr>
            <w:tcW w:type="dxa" w:w="460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Promoting legal aid initiatives and dignified public information regarding office practice areas.</w:t>
            </w:r>
          </w:p>
        </w:tc>
        <w:tc>
          <w:tcPr>
            <w:tcW w:type="dxa" w:w="475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Flaunting lavish lifestyles, posting profane/misogynistic vitriol, or cyber-harassing opposing counsel/judges (Sec. 37).</w:t>
            </w:r>
          </w:p>
        </w:tc>
      </w:tr>
      <w:tr>
        <w:tc>
          <w:tcPr>
            <w:tcW w:type="dxa" w:w="4608"/>
            <w:shd w:val="clear" w:color="auto" w:fill="F0FDF4"/>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Safeguarding digital files with encryption and secure client data storage (Sec. 41).</w:t>
            </w:r>
          </w:p>
        </w:tc>
        <w:tc>
          <w:tcPr>
            <w:tcW w:type="dxa" w:w="4752"/>
            <w:shd w:val="clear" w:color="auto" w:fill="FEF2F2"/>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Posting client case 'stories', court pleadings, or confidential evidence on TikTok, Facebook, or Instagram (Sec. 40).</w:t>
            </w:r>
          </w:p>
        </w:tc>
      </w:tr>
    </w:tbl>
    <w:p>
      <w:pPr>
        <w:spacing w:before="120" w:after="120"/>
      </w:pPr>
    </w:p>
    <w:p>
      <w:pPr>
        <w:keepNext/>
        <w:spacing w:before="280" w:after="80"/>
      </w:pPr>
      <w:r>
        <w:rPr>
          <w:rFonts w:ascii="Georgia" w:hAnsi="Georgia"/>
          <w:b/>
          <w:color w:val="B45309"/>
          <w:sz w:val="25"/>
        </w:rPr>
        <w:t>3. HIGH-YIELD BAR EXAM ANALYSIS CHECKLIST &amp; GOLDEN RULES</w:t>
      </w:r>
    </w:p>
    <w:p>
      <w:pPr>
        <w:spacing w:before="0" w:after="80" w:line="276" w:lineRule="auto"/>
      </w:pPr>
      <w:r>
        <w:rPr>
          <w:rFonts w:ascii="Calibri" w:hAnsi="Calibri"/>
          <w:b/>
          <w:color w:val="0F2C59"/>
          <w:sz w:val="21"/>
        </w:rPr>
        <w:t xml:space="preserve">1. Quantum of Proof in Bar Discipline: </w:t>
      </w:r>
      <w:r>
        <w:rPr>
          <w:rFonts w:ascii="Calibri" w:hAnsi="Calibri"/>
          <w:i w:val="0"/>
          <w:color w:val="282828"/>
          <w:sz w:val="21"/>
        </w:rPr>
        <w:t>Under CPRA Canon VI, Section 4, the standard of proof is now SUBSTANTIAL EVIDENCE (overruling the previous 'clearly preponderant evidence' formulation). In judicial cases under CJCA, substantial evidence is also the standard.</w:t>
      </w:r>
    </w:p>
    <w:p>
      <w:pPr>
        <w:spacing w:before="0" w:after="80" w:line="276" w:lineRule="auto"/>
      </w:pPr>
      <w:r>
        <w:rPr>
          <w:rFonts w:ascii="Calibri" w:hAnsi="Calibri"/>
          <w:b/>
          <w:color w:val="0F2C59"/>
          <w:sz w:val="21"/>
        </w:rPr>
        <w:t xml:space="preserve">2. Retroactive Effect of the CPRA: </w:t>
      </w:r>
      <w:r>
        <w:rPr>
          <w:rFonts w:ascii="Calibri" w:hAnsi="Calibri"/>
          <w:i w:val="0"/>
          <w:color w:val="282828"/>
          <w:sz w:val="21"/>
        </w:rPr>
        <w:t>The CPRA applies retroactively to all pending disciplinary cases, unless the Supreme Court finds that its application would not be feasible or would work injustice (Section 1, General Provisions).</w:t>
      </w:r>
    </w:p>
    <w:p>
      <w:pPr>
        <w:spacing w:before="0" w:after="80" w:line="276" w:lineRule="auto"/>
      </w:pPr>
      <w:r>
        <w:rPr>
          <w:rFonts w:ascii="Calibri" w:hAnsi="Calibri"/>
          <w:b/>
          <w:color w:val="0F2C59"/>
          <w:sz w:val="21"/>
        </w:rPr>
        <w:t xml:space="preserve">3. Privacy Settings on Social Media: </w:t>
      </w:r>
      <w:r>
        <w:rPr>
          <w:rFonts w:ascii="Calibri" w:hAnsi="Calibri"/>
          <w:i w:val="0"/>
          <w:color w:val="282828"/>
          <w:sz w:val="21"/>
        </w:rPr>
        <w:t>A lawyer cannot interpose privacy settings (e.g., 'Friends Only' or private messaging groups) as a valid defense against charges of online misconduct, defamation, or breach of confidentiality (Belo v. Guevarra, Re: Lorenzo Gadon).</w:t>
      </w:r>
    </w:p>
    <w:p>
      <w:pPr>
        <w:spacing w:before="0" w:after="80" w:line="276" w:lineRule="auto"/>
      </w:pPr>
      <w:r>
        <w:rPr>
          <w:rFonts w:ascii="Calibri" w:hAnsi="Calibri"/>
          <w:b/>
          <w:color w:val="0F2C59"/>
          <w:sz w:val="21"/>
        </w:rPr>
        <w:t xml:space="preserve">4. Strict Separation of Client Funds: </w:t>
      </w:r>
      <w:r>
        <w:rPr>
          <w:rFonts w:ascii="Calibri" w:hAnsi="Calibri"/>
          <w:i w:val="0"/>
          <w:color w:val="282828"/>
          <w:sz w:val="21"/>
        </w:rPr>
        <w:t>The moment a lawyer receives money from a client for a designated purpose (filing fees, bonds, settlement), it is held in sacred trust. Commingling with personal funds or unilateral application to unpaid attorney's fees constitutes Serious Misconduct warranting suspension or disbarment (Burbe v. Magulta).</w:t>
      </w:r>
    </w:p>
    <w:p>
      <w:pPr>
        <w:spacing w:before="0" w:after="80" w:line="276" w:lineRule="auto"/>
      </w:pPr>
      <w:r>
        <w:rPr>
          <w:rFonts w:ascii="Calibri" w:hAnsi="Calibri"/>
          <w:b/>
          <w:color w:val="0F2C59"/>
          <w:sz w:val="21"/>
        </w:rPr>
        <w:t xml:space="preserve">5. Conflict of Interest Test: </w:t>
      </w:r>
      <w:r>
        <w:rPr>
          <w:rFonts w:ascii="Calibri" w:hAnsi="Calibri"/>
          <w:i w:val="0"/>
          <w:color w:val="282828"/>
          <w:sz w:val="21"/>
        </w:rPr>
        <w:t>The test is whether representation of the new client will require the lawyer to perform an act that will adversely affect the existing/former client, or use confidential information acquired from them. Representation of conflicting interests requires WRITTEN INFORMED CONSENT from all affected parties (Hornilla v. Saldivar, Hilado v. David).</w:t>
      </w:r>
    </w:p>
    <w:p>
      <w:pPr>
        <w:spacing w:before="0" w:after="80" w:line="276" w:lineRule="auto"/>
      </w:pPr>
      <w:r>
        <w:rPr>
          <w:rFonts w:ascii="Calibri" w:hAnsi="Calibri"/>
          <w:b/>
          <w:color w:val="0F2C59"/>
          <w:sz w:val="21"/>
        </w:rPr>
        <w:t xml:space="preserve">6. Judicial Robe and Temperance: </w:t>
      </w:r>
      <w:r>
        <w:rPr>
          <w:rFonts w:ascii="Calibri" w:hAnsi="Calibri"/>
          <w:i w:val="0"/>
          <w:color w:val="282828"/>
          <w:sz w:val="21"/>
        </w:rPr>
        <w:t>The black judicial robe is a mandatory symbol of authority under Administrative Circular No. 25. A judge must personify cold neutrality, punctuality, and sobriety on and off the bench (Padilla v. Zantua, Vidal v. Dojillo).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