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eorgia" w:hAnsi="Georgia"/>
          <w:b/>
          <w:color w:val="0F2C59"/>
          <w:sz w:val="24"/>
        </w:rPr>
        <w:t>Republic of the Philippines</w:t>
        <w:br/>
      </w:r>
      <w:r>
        <w:rPr>
          <w:rFonts w:ascii="Georgia" w:hAnsi="Georgia"/>
          <w:b/>
          <w:color w:val="0F2C59"/>
          <w:sz w:val="28"/>
        </w:rPr>
        <w:t>SUPREME COURT</w:t>
        <w:br/>
        <w:t>Manila</w:t>
        <w:br/>
      </w:r>
      <w:r>
        <w:rPr>
          <w:rFonts w:ascii="Calibri" w:hAnsi="Calibri"/>
          <w:b/>
          <w:color w:val="646E7D"/>
          <w:sz w:val="22"/>
        </w:rPr>
        <w:t>EN BANC</w:t>
        <w:br/>
      </w:r>
    </w:p>
    <w:p>
      <w:pPr>
        <w:spacing w:before="40" w:after="160"/>
        <w:jc w:val="center"/>
      </w:pPr>
      <w:r>
        <w:rPr>
          <w:color w:val="B4BECD"/>
        </w:rPr>
        <w:t>—————————————————————————————————————————————</w:t>
      </w:r>
    </w:p>
    <w:p>
      <w:pPr>
        <w:spacing w:before="80" w:after="80"/>
        <w:jc w:val="center"/>
      </w:pPr>
      <w:r>
        <w:rPr>
          <w:rFonts w:ascii="Georgia" w:hAnsi="Georgia"/>
          <w:b/>
          <w:color w:val="B45309"/>
          <w:sz w:val="26"/>
        </w:rPr>
        <w:t>BASIC LEGAL AND JUDICIAL ETHICS (BLJE)</w:t>
        <w:br/>
      </w:r>
      <w:r>
        <w:rPr>
          <w:rFonts w:ascii="Georgia" w:hAnsi="Georgia"/>
          <w:b/>
          <w:color w:val="0F2C59"/>
          <w:sz w:val="32"/>
        </w:rPr>
        <w:t>CODE OF PROFESSIONAL RESPONSIBILITY AND ACCOUNTABILITY (CPRA)</w:t>
        <w:br/>
        <w:t>&amp; JUDICIAL ETHICS COMPENDIUM</w:t>
        <w:br/>
      </w:r>
      <w:r>
        <w:rPr>
          <w:rFonts w:ascii="Calibri" w:hAnsi="Calibri"/>
          <w:b/>
          <w:color w:val="21468B"/>
          <w:sz w:val="22"/>
        </w:rPr>
        <w:t>A.M. NO. 22-09-01-SC | COMPLETE CANONS, SECTIONS &amp; LANDMARK JURISPRUDENCE</w:t>
        <w:br/>
        <w:t>(With Special Module on Responsible Use of Social Media &amp; Media Ethics)</w:t>
        <w:br/>
      </w:r>
    </w:p>
    <w:tbl>
      <w:tblPr>
        <w:tblW w:type="auto" w:w="0"/>
        <w:jc w:val="center"/>
        <w:tblLook w:firstColumn="1" w:firstRow="1" w:lastColumn="0" w:lastRow="0" w:noHBand="0" w:noVBand="1" w:val="04A0"/>
      </w:tblPr>
      <w:tblGrid>
        <w:gridCol w:w="9360"/>
      </w:tblGrid>
      <w:tr>
        <w:tc>
          <w:tcPr>
            <w:tcW w:type="dxa" w:w="9360"/>
            <w:shd w:val="clear" w:color="auto" w:fill="F4F6F9"/>
            <w:tcMar>
              <w:top w:w="120" w:type="dxa"/>
              <w:bottom w:w="120" w:type="dxa"/>
              <w:left w:w="180" w:type="dxa"/>
              <w:right w:w="180" w:type="dxa"/>
            </w:tcMar>
            <w:tcBorders>
              <w:top w:val="single" w:sz="6" w:space="0" w:color="D0D7DE"/>
              <w:bottom w:val="single" w:sz="6" w:space="0" w:color="D0D7DE"/>
              <w:left w:val="single" w:sz="18" w:space="0" w:color="1B365D"/>
              <w:right w:val="single" w:sz="6" w:space="0" w:color="D0D7DE"/>
            </w:tcBorders>
          </w:tcPr>
          <w:p>
            <w:pPr>
              <w:spacing w:before="0" w:after="0" w:line="276" w:lineRule="auto"/>
            </w:pPr>
            <w:r>
              <w:rPr>
                <w:rFonts w:ascii="Calibri" w:hAnsi="Calibri"/>
                <w:b/>
                <w:color w:val="0F2C59"/>
                <w:sz w:val="19"/>
              </w:rPr>
              <w:t xml:space="preserve">Promulgated: </w:t>
            </w:r>
            <w:r>
              <w:rPr>
                <w:rFonts w:ascii="Calibri" w:hAnsi="Calibri"/>
                <w:b w:val="0"/>
                <w:color w:val="282828"/>
                <w:sz w:val="19"/>
              </w:rPr>
              <w:t xml:space="preserve">April 11, 2023  |  </w:t>
            </w:r>
            <w:r>
              <w:rPr>
                <w:rFonts w:ascii="Calibri" w:hAnsi="Calibri"/>
                <w:b/>
                <w:color w:val="0F2C59"/>
                <w:sz w:val="19"/>
              </w:rPr>
              <w:t xml:space="preserve">Effectivity: </w:t>
            </w:r>
            <w:r>
              <w:rPr>
                <w:rFonts w:ascii="Calibri" w:hAnsi="Calibri"/>
                <w:b w:val="0"/>
                <w:color w:val="282828"/>
                <w:sz w:val="19"/>
              </w:rPr>
              <w:t>May 29, 2023 (15 days after publication on May 14, 2023)</w:t>
              <w:br/>
            </w:r>
            <w:r>
              <w:rPr>
                <w:rFonts w:ascii="Calibri" w:hAnsi="Calibri"/>
                <w:b/>
                <w:color w:val="0F2C59"/>
                <w:sz w:val="19"/>
              </w:rPr>
              <w:t xml:space="preserve">Governing Issuance: </w:t>
            </w:r>
            <w:r>
              <w:rPr>
                <w:rFonts w:ascii="Calibri" w:hAnsi="Calibri"/>
                <w:b w:val="0"/>
                <w:color w:val="282828"/>
                <w:sz w:val="19"/>
              </w:rPr>
              <w:t>Supreme Court En Banc Resolution in A.M. No. 22-09-01-SC</w:t>
              <w:br/>
            </w:r>
            <w:r>
              <w:rPr>
                <w:rFonts w:ascii="Calibri" w:hAnsi="Calibri"/>
                <w:b/>
                <w:color w:val="0F2C59"/>
                <w:sz w:val="19"/>
              </w:rPr>
              <w:t xml:space="preserve">Companion Codes: </w:t>
            </w:r>
            <w:r>
              <w:rPr>
                <w:rFonts w:ascii="Calibri" w:hAnsi="Calibri"/>
                <w:b w:val="0"/>
                <w:color w:val="282828"/>
                <w:sz w:val="19"/>
              </w:rPr>
              <w:t>2025 Code of Judicial Conduct &amp; Accountability (CJCA, A.M. No. 25-04-04-SC) &amp; 2004 New Code of Judicial Conduct</w:t>
              <w:br/>
            </w:r>
            <w:r>
              <w:rPr>
                <w:rFonts w:ascii="Calibri" w:hAnsi="Calibri"/>
                <w:b/>
                <w:color w:val="0F2C59"/>
                <w:sz w:val="19"/>
              </w:rPr>
              <w:t xml:space="preserve">Key Reforms: </w:t>
            </w:r>
            <w:r>
              <w:rPr>
                <w:rFonts w:ascii="Calibri" w:hAnsi="Calibri"/>
                <w:b w:val="0"/>
                <w:color w:val="282828"/>
                <w:sz w:val="19"/>
              </w:rPr>
              <w:t>Explicit Codification of Social Media Ethics (Canon II, Sec. 36-44), Technology &amp; AI Ethics (Canon IV, Sec. 9 &amp; CJCA Canon VI, Sec. 6), Revised Quantum of Proof (Substantial Evidence), Modernized Lawyer's Oath, and Comprehensive Disciplinary Framework.</w:t>
            </w:r>
          </w:p>
        </w:tc>
      </w:tr>
    </w:tbl>
    <w:p>
      <w:pPr>
        <w:spacing w:before="120" w:after="120"/>
      </w:pPr>
    </w:p>
    <w:tbl>
      <w:tblPr>
        <w:tblW w:type="auto" w:w="0"/>
        <w:jc w:val="center"/>
        <w:tblLook w:firstColumn="1" w:firstRow="1" w:lastColumn="0" w:lastRow="0" w:noHBand="0" w:noVBand="1" w:val="04A0"/>
      </w:tblPr>
      <w:tblGrid>
        <w:gridCol w:w="9360"/>
      </w:tblGrid>
      <w:tr>
        <w:tc>
          <w:tcPr>
            <w:tcW w:type="dxa" w:w="9360"/>
            <w:shd w:val="clear" w:color="auto" w:fill="FEF3C7"/>
            <w:tcMar>
              <w:top w:w="140" w:type="dxa"/>
              <w:bottom w:w="140" w:type="dxa"/>
              <w:left w:w="200" w:type="dxa"/>
              <w:right w:w="200" w:type="dxa"/>
            </w:tcMar>
            <w:tcBorders>
              <w:left w:val="single" w:sz="24" w:space="0" w:color="B45309"/>
              <w:top w:val="none"/>
              <w:bottom w:val="none"/>
              <w:right w:val="none"/>
            </w:tcBorders>
          </w:tcPr>
          <w:p>
            <w:pPr>
              <w:spacing w:before="0" w:after="40" w:line="276" w:lineRule="auto"/>
            </w:pPr>
            <w:r>
              <w:rPr>
                <w:rFonts w:ascii="Georgia" w:hAnsi="Georgia"/>
                <w:b/>
                <w:color w:val="B45309"/>
                <w:sz w:val="21"/>
              </w:rPr>
              <w:t>THE REVISED LAWYER'S OATH (CPRA A.M. NO. 22-09-01-SC)</w:t>
              <w:br/>
            </w:r>
            <w:r>
              <w:rPr>
                <w:rFonts w:ascii="Calibri" w:hAnsi="Calibri"/>
                <w:i/>
                <w:color w:val="282828"/>
                <w:sz w:val="20"/>
              </w:rPr>
              <w:t>“I, [Name], do solemnly swear that I accept the honor, privilege, duty, and responsibility of practicing law in the Philippines as an officer of the court, in the interest of our people.</w:t>
              <w:br/>
              <w:br/>
              <w:t>I declare fealty to the Constitution of the Republic of the Philippines.</w:t>
              <w:br/>
              <w:br/>
              <w:t>In so doing, I shall work towards promoting the rule of law in a regime of truth, justice, freedom, love, equality, and peace.</w:t>
              <w:br/>
              <w:br/>
              <w:t>I shall conscientiously and courageously work for justice as well as safeguard the rights and meaningful freedoms of all persons, identities, and communities, and ensure greater and equitable access to justice.</w:t>
              <w:br/>
              <w:br/>
              <w:t>I shall do no falsehood, nor admit the doing of any in court, nor tolerate the same.</w:t>
              <w:br/>
              <w:br/>
              <w:t>I shall conduct myself with dignity and civility, treat all persons with respect, fairness, and temperance, and maintain the appearance of propriety in both my professional and personal dealings.</w:t>
              <w:br/>
              <w:br/>
              <w:t>I shall safeguard the client’s confidence with absolute fidelity, and never betray their trust nor exploit their vulnerability.</w:t>
              <w:br/>
              <w:br/>
              <w:t>I shall advance the cause of my client with competence and diligence, without delaying any man for money or malice, and shall be accountable for my actions.</w:t>
              <w:br/>
              <w:br/>
              <w:t>I impose upon myself these voluntary obligations without any mental reservation or purpose of evasion. So help me God.”</w:t>
            </w:r>
          </w:p>
        </w:tc>
      </w:tr>
    </w:tbl>
    <w:p>
      <w:pPr>
        <w:spacing w:before="0" w:after="80"/>
      </w:pPr>
    </w:p>
    <w:p>
      <w:pPr>
        <w:keepNext/>
        <w:spacing w:before="360" w:after="120"/>
      </w:pPr>
      <w:r>
        <w:rPr>
          <w:rFonts w:ascii="Georgia" w:hAnsi="Georgia"/>
          <w:b/>
          <w:color w:val="0F2C59"/>
          <w:sz w:val="30"/>
        </w:rPr>
        <w:t>PART I: MASTER SYLLABUS &amp; QUICK-REFERENCE MATRIX</w:t>
      </w:r>
    </w:p>
    <w:p>
      <w:pPr>
        <w:spacing w:before="0" w:after="80" w:line="276" w:lineRule="auto"/>
      </w:pPr>
      <w:r>
        <w:rPr>
          <w:rFonts w:ascii="Calibri" w:hAnsi="Calibri"/>
          <w:i w:val="0"/>
          <w:color w:val="282828"/>
          <w:sz w:val="21"/>
        </w:rPr>
        <w:t>The Code of Professional Responsibility and Accountability (CPRA) restructures the ethical universe of Philippine legal practitioners into six core, values-based Canons, supplemented by General Provisions and the Revised Lawyer's Oath. Below is the master architecture:</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2C59"/>
            <w:tcMar>
              <w:top w:w="80" w:type="dxa"/>
              <w:bottom w:w="80" w:type="dxa"/>
              <w:left w:w="100" w:type="dxa"/>
              <w:right w:w="100" w:type="dxa"/>
            </w:tcMar>
          </w:tcPr>
          <w:p>
            <w:pPr>
              <w:jc w:val="center"/>
            </w:pPr>
            <w:r>
              <w:rPr>
                <w:rFonts w:ascii="Georgia" w:hAnsi="Georgia"/>
                <w:b/>
                <w:color w:val="FFFFFF"/>
                <w:sz w:val="19"/>
              </w:rPr>
              <w:t>CANON</w:t>
            </w:r>
          </w:p>
        </w:tc>
        <w:tc>
          <w:tcPr>
            <w:tcW w:type="dxa" w:w="3168"/>
            <w:shd w:val="clear" w:color="auto" w:fill="0F2C59"/>
            <w:tcMar>
              <w:top w:w="80" w:type="dxa"/>
              <w:bottom w:w="80" w:type="dxa"/>
              <w:left w:w="100" w:type="dxa"/>
              <w:right w:w="100" w:type="dxa"/>
            </w:tcMar>
          </w:tcPr>
          <w:p>
            <w:pPr>
              <w:jc w:val="center"/>
            </w:pPr>
            <w:r>
              <w:rPr>
                <w:rFonts w:ascii="Georgia" w:hAnsi="Georgia"/>
                <w:b/>
                <w:color w:val="FFFFFF"/>
                <w:sz w:val="19"/>
              </w:rPr>
              <w:t>CORE MANDATE &amp; VALUES</w:t>
            </w:r>
          </w:p>
        </w:tc>
        <w:tc>
          <w:tcPr>
            <w:tcW w:type="dxa" w:w="4032"/>
            <w:shd w:val="clear" w:color="auto" w:fill="0F2C59"/>
            <w:tcMar>
              <w:top w:w="80" w:type="dxa"/>
              <w:bottom w:w="80" w:type="dxa"/>
              <w:left w:w="100" w:type="dxa"/>
              <w:right w:w="100" w:type="dxa"/>
            </w:tcMar>
          </w:tcPr>
          <w:p>
            <w:pPr>
              <w:jc w:val="center"/>
            </w:pPr>
            <w:r>
              <w:rPr>
                <w:rFonts w:ascii="Georgia" w:hAnsi="Georgia"/>
                <w:b/>
                <w:color w:val="FFFFFF"/>
                <w:sz w:val="19"/>
              </w:rPr>
              <w:t>SECTION RANGE &amp; KEY TOPICS</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w:t>
              <w:br/>
              <w:t>INDEPENDENCE</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maintain independence in the discharge of professional duties, free from improper influence, pressure, or interference.</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w:t>
              <w:br/>
              <w:t>• Sec. 1: Independent, accessible, efficient legal service</w:t>
              <w:br/>
              <w:t>• Sec. 2: Merit-based practice</w:t>
              <w:br/>
              <w:t>• Sec. 3: Freedom from improper considerations</w:t>
              <w:br/>
              <w:t>• Sec. 4: Non-interference by a lawyer</w:t>
              <w:br/>
              <w:t>• Sec. 5: Discretion in procedure &amp; strategy</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II</w:t>
              <w:br/>
              <w:t>PROPRIETY</w:t>
              <w:br/>
              <w:t>(With Social Media)</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act with propriety and maintain the appearance of propriety in personal and professional dealings, observing honesty, respect, and courtesy.</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1–44</w:t>
              <w:br/>
              <w:t>• Sec. 1–5: Proper conduct, gender-fair language, safe environment</w:t>
              <w:br/>
              <w:t>• Sec. 6–12: Decorum, no evidence tampering, reporting fraud</w:t>
              <w:br/>
              <w:t>• Sec. 13–20: No baseless accusations, Sub Judice Rule (Sec. 19)</w:t>
              <w:br/>
              <w:t>• Sec. 21–35: Gift ban, forum shopping ban, government lawyers</w:t>
              <w:br/>
              <w:t>• Sec. 36–44: Responsible Use of Social Media</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III</w:t>
              <w:br/>
              <w:t>FIDELITY</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act with absolute fidelity, loyalty, and devotion to the client's cause, safeguarding client confidences with inviolate trust.</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1–56</w:t>
              <w:br/>
              <w:t>• Sec. 1–12: Practice of law, fiduciary nature, client updates</w:t>
              <w:br/>
              <w:t>• Sec. 13–22: Conflict of Interest tests &amp; rules</w:t>
              <w:br/>
              <w:t>• Sec. 23–34: Privileged Communication &amp; Confidences</w:t>
              <w:br/>
              <w:t>• Sec. 35–40: Limited Legal Services</w:t>
              <w:br/>
              <w:t>• Sec. 41–48: Client Funds &amp; Property Accounting</w:t>
              <w:br/>
              <w:t>• Sec. 49–54: Attorney's Fees &amp; Liens</w:t>
              <w:br/>
              <w:t>• Sec. 55–56: Termination &amp; Withdrawal</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IV</w:t>
              <w:br/>
              <w:t>COMPETENCE &amp; DILIGENCE</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provide competent, efficient, and conscientious legal services with promptness and devotion.</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1–10</w:t>
              <w:br/>
              <w:t>• Sec. 1–4: Standard of competence, collaboration, promptness</w:t>
              <w:br/>
              <w:t>• Sec. 5–7: Case merits assessment, ban on dilatory extensions</w:t>
              <w:br/>
              <w:t>• Sec. 8: Lifelong learning &amp; MCLE</w:t>
              <w:br/>
              <w:t>• Sec. 9: Practice of Law with Technology &amp; AI</w:t>
              <w:br/>
              <w:t>• Sec. 10: Concurrent practice of professions</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V</w:t>
              <w:br/>
              <w:t>EQUALITY</w:t>
            </w:r>
          </w:p>
        </w:tc>
        <w:tc>
          <w:tcPr>
            <w:tcW w:type="dxa" w:w="3168"/>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treat all persons with equality, fairness, and respect, ensuring non-discrimination and equal access to justice.</w:t>
            </w:r>
          </w:p>
        </w:tc>
        <w:tc>
          <w:tcPr>
            <w:tcW w:type="dxa" w:w="4032"/>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1–4</w:t>
              <w:br/>
              <w:t>• Sec. 1: Non-discrimination</w:t>
              <w:br/>
              <w:t>• Sec. 2: Standard of service for vulnerable persons</w:t>
              <w:br/>
              <w:t>• Sec. 3: Indigent persons and free legal aid</w:t>
              <w:br/>
              <w:t>• Sec. 4: Standard of service regardless of remuneration</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Canon VI</w:t>
              <w:br/>
              <w:t>ACCOUNTABILITY</w:t>
            </w:r>
          </w:p>
        </w:tc>
        <w:tc>
          <w:tcPr>
            <w:tcW w:type="dxa" w:w="316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A lawyer shall be accountable to society, the courts, the legal profession, and the client for all ethical obligations and professional actions.</w:t>
            </w:r>
          </w:p>
        </w:tc>
        <w:tc>
          <w:tcPr>
            <w:tcW w:type="dxa" w:w="403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Sections 1–53</w:t>
              <w:br/>
              <w:t>• Sec. 1–32: Sui generis nature, procedure, Substantial Evidence quantum</w:t>
              <w:br/>
              <w:t>• Sec. 33–37: Classification of Offenses (Serious, Less Serious, Light) &amp; Sanctions</w:t>
              <w:br/>
              <w:t>• Sec. 38–41: Modifying circumstances</w:t>
              <w:br/>
              <w:t>• Sec. 42–53: Fines, execution, Judicial Clemency guidelines</w:t>
            </w:r>
          </w:p>
        </w:tc>
      </w:tr>
    </w:tbl>
    <w:p>
      <w:pPr>
        <w:spacing w:before="120" w:after="120"/>
      </w:pPr>
    </w:p>
    <w:p>
      <w:pPr>
        <w:keepNext/>
        <w:spacing w:before="360" w:after="120"/>
      </w:pPr>
      <w:r>
        <w:rPr>
          <w:rFonts w:ascii="Georgia" w:hAnsi="Georgia"/>
          <w:b/>
          <w:color w:val="0F2C59"/>
          <w:sz w:val="30"/>
        </w:rPr>
        <w:t>PART II: COMPLETE CODAL PROVISIONS (CANONS I TO VI)</w:t>
      </w:r>
    </w:p>
    <w:p>
      <w:pPr>
        <w:keepNext/>
        <w:spacing w:before="280" w:after="80"/>
      </w:pPr>
      <w:r>
        <w:rPr>
          <w:rFonts w:ascii="Georgia" w:hAnsi="Georgia"/>
          <w:b/>
          <w:color w:val="B45309"/>
          <w:sz w:val="25"/>
        </w:rPr>
        <w:t>CANON I: INDEPENDENCE</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maintain independence in the discharge of professional duties, free from improper influence, pressure, or interference, and shall uphold the rule of law without compromise.</w:t>
      </w:r>
    </w:p>
    <w:p>
      <w:pPr>
        <w:spacing w:before="0" w:after="120" w:line="276" w:lineRule="auto"/>
      </w:pPr>
      <w:r>
        <w:rPr>
          <w:rFonts w:ascii="Calibri" w:hAnsi="Calibri"/>
          <w:b/>
          <w:color w:val="0F2C59"/>
          <w:sz w:val="21"/>
        </w:rPr>
        <w:t xml:space="preserve">Section 1. Independent, accessible, efficient, and effective legal service. </w:t>
      </w:r>
      <w:r>
        <w:rPr>
          <w:rFonts w:ascii="Calibri" w:hAnsi="Calibri"/>
          <w:i w:val="0"/>
          <w:color w:val="282828"/>
          <w:sz w:val="21"/>
        </w:rPr>
        <w:t>A lawyer shall make legal services accessible in an efficient and effective manner. In doing so, the lawyer shall maintain independence, act with integrity, and ensure the efficient and effective delivery of justice.</w:t>
        <w:br/>
        <w:t>• Explanatory Doctrine: Legal services are imbued with public interest. Independence means the lawyer must refuse to sacrifice ethical principles to appease a client, employer, or government entity.</w:t>
      </w:r>
    </w:p>
    <w:p>
      <w:pPr>
        <w:spacing w:before="0" w:after="120" w:line="276" w:lineRule="auto"/>
      </w:pPr>
      <w:r>
        <w:rPr>
          <w:rFonts w:ascii="Calibri" w:hAnsi="Calibri"/>
          <w:b/>
          <w:color w:val="0F2C59"/>
          <w:sz w:val="21"/>
        </w:rPr>
        <w:t xml:space="preserve">Section 2. Merit-based practice. </w:t>
      </w:r>
      <w:r>
        <w:rPr>
          <w:rFonts w:ascii="Calibri" w:hAnsi="Calibri"/>
          <w:i w:val="0"/>
          <w:color w:val="282828"/>
          <w:sz w:val="21"/>
        </w:rPr>
        <w:t>A lawyer shall rely solely on the merits of a cause and shall not exert, or give the appearance of, any influence on, nor undermine the authority of, the court, tribunal, or other government agency, or its proceedings.</w:t>
        <w:br/>
        <w:t>• Explanatory Doctrine: Influence peddling, claiming insider connections, or dropping names of magistrates constitutes serious misconduct that destroys public confidence in the judicial system.</w:t>
      </w:r>
    </w:p>
    <w:p>
      <w:pPr>
        <w:spacing w:before="0" w:after="120" w:line="276" w:lineRule="auto"/>
      </w:pPr>
      <w:r>
        <w:rPr>
          <w:rFonts w:ascii="Calibri" w:hAnsi="Calibri"/>
          <w:b/>
          <w:color w:val="0F2C59"/>
          <w:sz w:val="21"/>
        </w:rPr>
        <w:t xml:space="preserve">Section 3. Freedom from improper considerations and external influences. </w:t>
      </w:r>
      <w:r>
        <w:rPr>
          <w:rFonts w:ascii="Calibri" w:hAnsi="Calibri"/>
          <w:i w:val="0"/>
          <w:color w:val="282828"/>
          <w:sz w:val="21"/>
        </w:rPr>
        <w:t>A lawyer shall not be influenced by dishonest or immoral considerations, external influences, or pressure when advocating for a client’s cause.</w:t>
        <w:br/>
        <w:t>• Explanatory Doctrine: A lawyer's duty to the court and to justice overrides any financial lure, political intimidation, or client command.</w:t>
      </w:r>
    </w:p>
    <w:p>
      <w:pPr>
        <w:spacing w:before="0" w:after="120" w:line="276" w:lineRule="auto"/>
      </w:pPr>
      <w:r>
        <w:rPr>
          <w:rFonts w:ascii="Calibri" w:hAnsi="Calibri"/>
          <w:b/>
          <w:color w:val="0F2C59"/>
          <w:sz w:val="21"/>
        </w:rPr>
        <w:t xml:space="preserve">Section 4. Non-interference by a lawyer. </w:t>
      </w:r>
      <w:r>
        <w:rPr>
          <w:rFonts w:ascii="Calibri" w:hAnsi="Calibri"/>
          <w:i w:val="0"/>
          <w:color w:val="282828"/>
          <w:sz w:val="21"/>
        </w:rPr>
        <w:t>Unless authorized by law or a court, a lawyer shall not assist or cause a branch, agency, office, or officer of the government to interfere in any matter before any court, tribunal, or other government agency.</w:t>
        <w:br/>
        <w:t>• Explanatory Doctrine: Prohibits using political connections or executive agencies to circumvent or undermine regular judicial proceedings.</w:t>
      </w:r>
    </w:p>
    <w:p>
      <w:pPr>
        <w:spacing w:before="0" w:after="120" w:line="276" w:lineRule="auto"/>
      </w:pPr>
      <w:r>
        <w:rPr>
          <w:rFonts w:ascii="Calibri" w:hAnsi="Calibri"/>
          <w:b/>
          <w:color w:val="0F2C59"/>
          <w:sz w:val="21"/>
        </w:rPr>
        <w:t xml:space="preserve">Section 5. Lawyer’s discretion in procedure and strategy. </w:t>
      </w:r>
      <w:r>
        <w:rPr>
          <w:rFonts w:ascii="Calibri" w:hAnsi="Calibri"/>
          <w:i w:val="0"/>
          <w:color w:val="282828"/>
          <w:sz w:val="21"/>
        </w:rPr>
        <w:t>A lawyer shall have the discretion to determine the procedural and strategic steps to be taken in the handling of the cause, but shall consult the client on matters that affect the substantive rights of the client.</w:t>
        <w:br/>
        <w:t>• Explanatory Doctrine: The client controls the objective/cause of action (e.g., whether to settle or plead guilty), while the lawyer exercises professional technical judgment over procedural tactics and legal remedies.</w:t>
      </w:r>
    </w:p>
    <w:p>
      <w:pPr>
        <w:keepNext/>
        <w:spacing w:before="280" w:after="80"/>
      </w:pPr>
      <w:r>
        <w:rPr>
          <w:rFonts w:ascii="Georgia" w:hAnsi="Georgia"/>
          <w:b/>
          <w:color w:val="B45309"/>
          <w:sz w:val="25"/>
        </w:rPr>
        <w:t>CANON II: PROPRIETY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at all times, act with propriety and maintain the appearance of propriety in personal and professional dealings, observe honesty, respect, and courtesy, and uphold the dignity of the legal profession in accordance with the highest standards of morality and ethics.</w:t>
      </w:r>
    </w:p>
    <w:p>
      <w:pPr>
        <w:spacing w:before="0" w:after="80" w:line="276" w:lineRule="auto"/>
      </w:pPr>
      <w:r>
        <w:rPr>
          <w:rFonts w:ascii="Calibri" w:hAnsi="Calibri"/>
          <w:b/>
          <w:color w:val="0F2C59"/>
          <w:sz w:val="21"/>
        </w:rPr>
        <w:t xml:space="preserve">Section 1. Proper conduct. </w:t>
      </w:r>
      <w:r>
        <w:rPr>
          <w:rFonts w:ascii="Calibri" w:hAnsi="Calibri"/>
          <w:i w:val="0"/>
          <w:color w:val="282828"/>
          <w:sz w:val="21"/>
        </w:rPr>
        <w:t>A lawyer shall not engage in unlawful, dishonest, immoral, or deceitful conduct.</w:t>
      </w:r>
    </w:p>
    <w:p>
      <w:pPr>
        <w:spacing w:before="0" w:after="80" w:line="276" w:lineRule="auto"/>
      </w:pPr>
      <w:r>
        <w:rPr>
          <w:rFonts w:ascii="Calibri" w:hAnsi="Calibri"/>
          <w:b/>
          <w:color w:val="0F2C59"/>
          <w:sz w:val="21"/>
        </w:rPr>
        <w:t xml:space="preserve">Section 2. Dignified conduct. </w:t>
      </w:r>
      <w:r>
        <w:rPr>
          <w:rFonts w:ascii="Calibri" w:hAnsi="Calibri"/>
          <w:i w:val="0"/>
          <w:color w:val="282828"/>
          <w:sz w:val="21"/>
        </w:rPr>
        <w:t>A lawyer shall respect the law, the courts, tribunals, and other government agencies, their officials, employees, and processes, and act with courtesy, civility, fairness, and candor towards fellow members of the bar. A lawyer shall not engage in conduct that adversely reflects on one's fitness to practice law, nor behave in a scandalous manner, whether in public or private life, to the discredit of the legal profession.</w:t>
      </w:r>
    </w:p>
    <w:p>
      <w:pPr>
        <w:spacing w:before="0" w:after="80" w:line="276" w:lineRule="auto"/>
      </w:pPr>
      <w:r>
        <w:rPr>
          <w:rFonts w:ascii="Calibri" w:hAnsi="Calibri"/>
          <w:b/>
          <w:color w:val="0F2C59"/>
          <w:sz w:val="21"/>
        </w:rPr>
        <w:t xml:space="preserve">Section 3. Safe environment; avoid all forms of abuse or harassment. </w:t>
      </w:r>
      <w:r>
        <w:rPr>
          <w:rFonts w:ascii="Calibri" w:hAnsi="Calibri"/>
          <w:i w:val="0"/>
          <w:color w:val="282828"/>
          <w:sz w:val="21"/>
        </w:rPr>
        <w:t>A lawyer shall not commit any form of physical, sexual, psychological, or economic abuse or violence against another person, and shall not create an unsafe or hostile environment.</w:t>
      </w:r>
    </w:p>
    <w:p>
      <w:pPr>
        <w:spacing w:before="0" w:after="80" w:line="276" w:lineRule="auto"/>
      </w:pPr>
      <w:r>
        <w:rPr>
          <w:rFonts w:ascii="Calibri" w:hAnsi="Calibri"/>
          <w:b/>
          <w:color w:val="0F2C59"/>
          <w:sz w:val="21"/>
        </w:rPr>
        <w:t xml:space="preserve">Section 4. Use of dignified, gender-fair, and child- and culturally-sensitive language. </w:t>
      </w:r>
      <w:r>
        <w:rPr>
          <w:rFonts w:ascii="Calibri" w:hAnsi="Calibri"/>
          <w:i w:val="0"/>
          <w:color w:val="282828"/>
          <w:sz w:val="21"/>
        </w:rPr>
        <w:t>A lawyer shall use only dignified, gender-fair, child- and culturally-sensitive language in all personal and professional dealings. A lawyer shall not use language that is abusive, intemperate, offensive, or otherwise improper, whether oral or written.</w:t>
      </w:r>
    </w:p>
    <w:p>
      <w:pPr>
        <w:spacing w:before="0" w:after="80" w:line="276" w:lineRule="auto"/>
      </w:pPr>
      <w:r>
        <w:rPr>
          <w:rFonts w:ascii="Calibri" w:hAnsi="Calibri"/>
          <w:b/>
          <w:color w:val="0F2C59"/>
          <w:sz w:val="21"/>
        </w:rPr>
        <w:t xml:space="preserve">Section 5. Observance of fairness and obedience. </w:t>
      </w:r>
      <w:r>
        <w:rPr>
          <w:rFonts w:ascii="Calibri" w:hAnsi="Calibri"/>
          <w:i w:val="0"/>
          <w:color w:val="282828"/>
          <w:sz w:val="21"/>
        </w:rPr>
        <w:t>A lawyer shall observe fairness and obedience to the law and court orders in all dealings.</w:t>
      </w:r>
    </w:p>
    <w:p>
      <w:pPr>
        <w:spacing w:before="0" w:after="80" w:line="276" w:lineRule="auto"/>
      </w:pPr>
      <w:r>
        <w:rPr>
          <w:rFonts w:ascii="Calibri" w:hAnsi="Calibri"/>
          <w:b/>
          <w:color w:val="0F2C59"/>
          <w:sz w:val="21"/>
        </w:rPr>
        <w:t xml:space="preserve">Section 6. Harassing or threatening conduct. </w:t>
      </w:r>
      <w:r>
        <w:rPr>
          <w:rFonts w:ascii="Calibri" w:hAnsi="Calibri"/>
          <w:i w:val="0"/>
          <w:color w:val="282828"/>
          <w:sz w:val="21"/>
        </w:rPr>
        <w:t>A lawyer shall not harass or threaten a fellow lawyer, the latter's client or principal, a witness, or any official or employee of a court, tribunal, or other government agency.</w:t>
      </w:r>
    </w:p>
    <w:p>
      <w:pPr>
        <w:spacing w:before="0" w:after="80" w:line="276" w:lineRule="auto"/>
      </w:pPr>
      <w:r>
        <w:rPr>
          <w:rFonts w:ascii="Calibri" w:hAnsi="Calibri"/>
          <w:b/>
          <w:color w:val="0F2C59"/>
          <w:sz w:val="21"/>
        </w:rPr>
        <w:t xml:space="preserve">Section 7. Formal decorum and appearance. </w:t>
      </w:r>
      <w:r>
        <w:rPr>
          <w:rFonts w:ascii="Calibri" w:hAnsi="Calibri"/>
          <w:i w:val="0"/>
          <w:color w:val="282828"/>
          <w:sz w:val="21"/>
        </w:rPr>
        <w:t>A lawyer shall observe formal decorum and appropriate attire before all courts, tribunals, and other government agencies.</w:t>
      </w:r>
    </w:p>
    <w:p>
      <w:pPr>
        <w:spacing w:before="0" w:after="80" w:line="276" w:lineRule="auto"/>
      </w:pPr>
      <w:r>
        <w:rPr>
          <w:rFonts w:ascii="Calibri" w:hAnsi="Calibri"/>
          <w:b/>
          <w:color w:val="0F2C59"/>
          <w:sz w:val="21"/>
        </w:rPr>
        <w:t xml:space="preserve">Section 8. Prohibition against misleading the court, tribunal, or other government agency. </w:t>
      </w:r>
      <w:r>
        <w:rPr>
          <w:rFonts w:ascii="Calibri" w:hAnsi="Calibri"/>
          <w:i w:val="0"/>
          <w:color w:val="282828"/>
          <w:sz w:val="21"/>
        </w:rPr>
        <w:t>A lawyer shall not mislead the court, tribunal, or other government agency, nor knowingly misrepresent any facts, law, or authority.</w:t>
      </w:r>
    </w:p>
    <w:p>
      <w:pPr>
        <w:spacing w:before="0" w:after="80" w:line="276" w:lineRule="auto"/>
      </w:pPr>
      <w:r>
        <w:rPr>
          <w:rFonts w:ascii="Calibri" w:hAnsi="Calibri"/>
          <w:b/>
          <w:color w:val="0F2C59"/>
          <w:sz w:val="21"/>
        </w:rPr>
        <w:t xml:space="preserve">Section 9. Obstructing access to evidence or altering, destroying, or concealing evidence. </w:t>
      </w:r>
      <w:r>
        <w:rPr>
          <w:rFonts w:ascii="Calibri" w:hAnsi="Calibri"/>
          <w:i w:val="0"/>
          <w:color w:val="282828"/>
          <w:sz w:val="21"/>
        </w:rPr>
        <w:t>A lawyer shall not obstruct access to evidence, nor alter, destroy, or conceal evidence, or assist another person to do so.</w:t>
      </w:r>
    </w:p>
    <w:p>
      <w:pPr>
        <w:spacing w:before="0" w:after="80" w:line="276" w:lineRule="auto"/>
      </w:pPr>
      <w:r>
        <w:rPr>
          <w:rFonts w:ascii="Calibri" w:hAnsi="Calibri"/>
          <w:b/>
          <w:color w:val="0F2C59"/>
          <w:sz w:val="21"/>
        </w:rPr>
        <w:t xml:space="preserve">Section 10. Conduct in the presentation of a witness. </w:t>
      </w:r>
      <w:r>
        <w:rPr>
          <w:rFonts w:ascii="Calibri" w:hAnsi="Calibri"/>
          <w:i w:val="0"/>
          <w:color w:val="282828"/>
          <w:sz w:val="21"/>
        </w:rPr>
        <w:t>A lawyer shall avoid all forms of impropriety when presenting or confronting a witness, and shall not coach, prompt, or improperly influence a witness.</w:t>
      </w:r>
    </w:p>
    <w:p>
      <w:pPr>
        <w:spacing w:before="0" w:after="80" w:line="276" w:lineRule="auto"/>
      </w:pPr>
      <w:r>
        <w:rPr>
          <w:rFonts w:ascii="Calibri" w:hAnsi="Calibri"/>
          <w:b/>
          <w:color w:val="0F2C59"/>
          <w:sz w:val="21"/>
        </w:rPr>
        <w:t xml:space="preserve">Section 11. False representations or statements; duty to correct. </w:t>
      </w:r>
      <w:r>
        <w:rPr>
          <w:rFonts w:ascii="Calibri" w:hAnsi="Calibri"/>
          <w:i w:val="0"/>
          <w:color w:val="282828"/>
          <w:sz w:val="21"/>
        </w:rPr>
        <w:t>A lawyer shall not make false representations or statements, and upon discovering that a false representation or statement has been made, shall promptly correct the same.</w:t>
      </w:r>
    </w:p>
    <w:p>
      <w:pPr>
        <w:spacing w:before="0" w:after="80" w:line="276" w:lineRule="auto"/>
      </w:pPr>
      <w:r>
        <w:rPr>
          <w:rFonts w:ascii="Calibri" w:hAnsi="Calibri"/>
          <w:b/>
          <w:color w:val="0F2C59"/>
          <w:sz w:val="21"/>
        </w:rPr>
        <w:t xml:space="preserve">Section 12. Duty to report dishonest, deceitful, or misleading conduct. </w:t>
      </w:r>
      <w:r>
        <w:rPr>
          <w:rFonts w:ascii="Calibri" w:hAnsi="Calibri"/>
          <w:i w:val="0"/>
          <w:color w:val="282828"/>
          <w:sz w:val="21"/>
        </w:rPr>
        <w:t>A lawyer has a duty to report to the Supreme Court or Integrated Bar of the Philippines (IBP) dishonest, deceitful, or misleading conduct committed by another lawyer.</w:t>
      </w:r>
    </w:p>
    <w:p>
      <w:pPr>
        <w:spacing w:before="0" w:after="80" w:line="276" w:lineRule="auto"/>
      </w:pPr>
      <w:r>
        <w:rPr>
          <w:rFonts w:ascii="Calibri" w:hAnsi="Calibri"/>
          <w:b/>
          <w:color w:val="0F2C59"/>
          <w:sz w:val="21"/>
        </w:rPr>
        <w:t xml:space="preserve">Section 13. Imputation of misconduct, impropriety, or crime without basis. </w:t>
      </w:r>
      <w:r>
        <w:rPr>
          <w:rFonts w:ascii="Calibri" w:hAnsi="Calibri"/>
          <w:i w:val="0"/>
          <w:color w:val="282828"/>
          <w:sz w:val="21"/>
        </w:rPr>
        <w:t>A lawyer shall not, directly or indirectly, accuse another lawyer of misconduct, impropriety, or crime without factual or legal basis.</w:t>
      </w:r>
    </w:p>
    <w:p>
      <w:pPr>
        <w:spacing w:before="0" w:after="80" w:line="276" w:lineRule="auto"/>
      </w:pPr>
      <w:r>
        <w:rPr>
          <w:rFonts w:ascii="Calibri" w:hAnsi="Calibri"/>
          <w:b/>
          <w:color w:val="0F2C59"/>
          <w:sz w:val="21"/>
        </w:rPr>
        <w:t xml:space="preserve">Section 14. Remedy for grievances; insinuation of improper motive. </w:t>
      </w:r>
      <w:r>
        <w:rPr>
          <w:rFonts w:ascii="Calibri" w:hAnsi="Calibri"/>
          <w:i w:val="0"/>
          <w:color w:val="282828"/>
          <w:sz w:val="21"/>
        </w:rPr>
        <w:t>A lawyer shall seek redress for grievances against judges, lawyers, or court personnel only through proper legal and administrative channels, and shall not make unfounded insinuations of improper motive.</w:t>
      </w:r>
    </w:p>
    <w:p>
      <w:pPr>
        <w:spacing w:before="0" w:after="80" w:line="276" w:lineRule="auto"/>
      </w:pPr>
      <w:r>
        <w:rPr>
          <w:rFonts w:ascii="Calibri" w:hAnsi="Calibri"/>
          <w:b/>
          <w:color w:val="0F2C59"/>
          <w:sz w:val="21"/>
        </w:rPr>
        <w:t xml:space="preserve">Section 15. Improper claim of influence or familiarity. </w:t>
      </w:r>
      <w:r>
        <w:rPr>
          <w:rFonts w:ascii="Calibri" w:hAnsi="Calibri"/>
          <w:i w:val="0"/>
          <w:color w:val="282828"/>
          <w:sz w:val="21"/>
        </w:rPr>
        <w:t>A lawyer shall observe propriety in all dealings with officers and personnel of any court, tribunal, or other government agency, and shall not claim or imply influence or familiarity.</w:t>
      </w:r>
    </w:p>
    <w:p>
      <w:pPr>
        <w:spacing w:before="0" w:after="80" w:line="276" w:lineRule="auto"/>
      </w:pPr>
      <w:r>
        <w:rPr>
          <w:rFonts w:ascii="Calibri" w:hAnsi="Calibri"/>
          <w:b/>
          <w:color w:val="0F2C59"/>
          <w:sz w:val="21"/>
        </w:rPr>
        <w:t xml:space="preserve">Section 16. Duty to report life-threatening situations. </w:t>
      </w:r>
      <w:r>
        <w:rPr>
          <w:rFonts w:ascii="Calibri" w:hAnsi="Calibri"/>
          <w:i w:val="0"/>
          <w:color w:val="282828"/>
          <w:sz w:val="21"/>
        </w:rPr>
        <w:t>A lawyer who learns of a life-threatening situation involving a judge, court employee, lawyer, witness, or litigant shall promptly report the same to law enforcement authorities.</w:t>
      </w:r>
    </w:p>
    <w:p>
      <w:pPr>
        <w:spacing w:before="0" w:after="80" w:line="276" w:lineRule="auto"/>
      </w:pPr>
      <w:r>
        <w:rPr>
          <w:rFonts w:ascii="Calibri" w:hAnsi="Calibri"/>
          <w:b/>
          <w:color w:val="0F2C59"/>
          <w:sz w:val="21"/>
        </w:rPr>
        <w:t xml:space="preserve">Section 17. Non-solicitation and impermissible advertisement. </w:t>
      </w:r>
      <w:r>
        <w:rPr>
          <w:rFonts w:ascii="Calibri" w:hAnsi="Calibri"/>
          <w:i w:val="0"/>
          <w:color w:val="282828"/>
          <w:sz w:val="21"/>
        </w:rPr>
        <w:t>A lawyer shall not directly or indirectly solicit legal business. Advertisements must be dignified, verifiable, and factual, without being self-laudatory or misleading.</w:t>
      </w:r>
    </w:p>
    <w:p>
      <w:pPr>
        <w:spacing w:before="0" w:after="80" w:line="276" w:lineRule="auto"/>
      </w:pPr>
      <w:r>
        <w:rPr>
          <w:rFonts w:ascii="Calibri" w:hAnsi="Calibri"/>
          <w:b/>
          <w:color w:val="0F2C59"/>
          <w:sz w:val="21"/>
        </w:rPr>
        <w:t xml:space="preserve">Section 18. Prohibition against self-promotion. </w:t>
      </w:r>
      <w:r>
        <w:rPr>
          <w:rFonts w:ascii="Calibri" w:hAnsi="Calibri"/>
          <w:i w:val="0"/>
          <w:color w:val="282828"/>
          <w:sz w:val="21"/>
        </w:rPr>
        <w:t>A lawyer shall not engage in self-promotion or publicity calculated to attract legal business in relation to a pending or terminated case.</w:t>
      </w:r>
    </w:p>
    <w:p>
      <w:pPr>
        <w:spacing w:before="0" w:after="80" w:line="276" w:lineRule="auto"/>
      </w:pPr>
      <w:r>
        <w:rPr>
          <w:rFonts w:ascii="Calibri" w:hAnsi="Calibri"/>
          <w:b/>
          <w:color w:val="0F2C59"/>
          <w:sz w:val="21"/>
        </w:rPr>
        <w:t xml:space="preserve">Section 19. Sub-judice rule. </w:t>
      </w:r>
      <w:r>
        <w:rPr>
          <w:rFonts w:ascii="Calibri" w:hAnsi="Calibri"/>
          <w:i w:val="0"/>
          <w:color w:val="282828"/>
          <w:sz w:val="21"/>
        </w:rPr>
        <w:t>A lawyer shall not make any public statement, through any medium including the press and social media, regarding a pending case that has a dangerous tendency to prejudice, influence, or obstruct the administration of justice, or sway public opinion regarding the merits.</w:t>
      </w:r>
    </w:p>
    <w:p>
      <w:pPr>
        <w:spacing w:before="0" w:after="80" w:line="276" w:lineRule="auto"/>
      </w:pPr>
      <w:r>
        <w:rPr>
          <w:rFonts w:ascii="Calibri" w:hAnsi="Calibri"/>
          <w:b/>
          <w:color w:val="0F2C59"/>
          <w:sz w:val="21"/>
        </w:rPr>
        <w:t xml:space="preserve">Section 20. Disclosure of relationship or connection. </w:t>
      </w:r>
      <w:r>
        <w:rPr>
          <w:rFonts w:ascii="Calibri" w:hAnsi="Calibri"/>
          <w:i w:val="0"/>
          <w:color w:val="282828"/>
          <w:sz w:val="21"/>
        </w:rPr>
        <w:t>A lawyer shall disclose to the court and opposing counsel any familial, business, or close personal relationship with a judge or hearing officer.</w:t>
      </w:r>
    </w:p>
    <w:p>
      <w:pPr>
        <w:spacing w:before="0" w:after="80" w:line="276" w:lineRule="auto"/>
      </w:pPr>
      <w:r>
        <w:rPr>
          <w:rFonts w:ascii="Calibri" w:hAnsi="Calibri"/>
          <w:b/>
          <w:color w:val="0F2C59"/>
          <w:sz w:val="21"/>
        </w:rPr>
        <w:t xml:space="preserve">Section 21. Prohibition against gift-giving and donations. </w:t>
      </w:r>
      <w:r>
        <w:rPr>
          <w:rFonts w:ascii="Calibri" w:hAnsi="Calibri"/>
          <w:i w:val="0"/>
          <w:color w:val="282828"/>
          <w:sz w:val="21"/>
        </w:rPr>
        <w:t>A lawyer shall not, directly or indirectly, give gifts, donations, or contributions of any value or sort, on any occasion, to any court, tribunal, or government agency, or any of its officers and personnel.</w:t>
      </w:r>
    </w:p>
    <w:p>
      <w:pPr>
        <w:spacing w:before="0" w:after="80" w:line="276" w:lineRule="auto"/>
      </w:pPr>
      <w:r>
        <w:rPr>
          <w:rFonts w:ascii="Calibri" w:hAnsi="Calibri"/>
          <w:b/>
          <w:color w:val="0F2C59"/>
          <w:sz w:val="21"/>
        </w:rPr>
        <w:t xml:space="preserve">Section 22. No undue advantage of ignorance of the law. </w:t>
      </w:r>
      <w:r>
        <w:rPr>
          <w:rFonts w:ascii="Calibri" w:hAnsi="Calibri"/>
          <w:i w:val="0"/>
          <w:color w:val="282828"/>
          <w:sz w:val="21"/>
        </w:rPr>
        <w:t>A lawyer shall not take undue advantage of a person's lack of knowledge, literacy, or understanding of the law.</w:t>
      </w:r>
    </w:p>
    <w:p>
      <w:pPr>
        <w:spacing w:before="0" w:after="80" w:line="276" w:lineRule="auto"/>
      </w:pPr>
      <w:r>
        <w:rPr>
          <w:rFonts w:ascii="Calibri" w:hAnsi="Calibri"/>
          <w:b/>
          <w:color w:val="0F2C59"/>
          <w:sz w:val="21"/>
        </w:rPr>
        <w:t xml:space="preserve">Section 23. Instituting multiple cases; forum shopping. </w:t>
      </w:r>
      <w:r>
        <w:rPr>
          <w:rFonts w:ascii="Calibri" w:hAnsi="Calibri"/>
          <w:i w:val="0"/>
          <w:color w:val="282828"/>
          <w:sz w:val="21"/>
        </w:rPr>
        <w:t>A lawyer shall not knowingly engage in, or through gross negligence commit, forum shopping, nor advise a client to file multiple frivolous cases.</w:t>
      </w:r>
    </w:p>
    <w:p>
      <w:pPr>
        <w:spacing w:before="0" w:after="80" w:line="276" w:lineRule="auto"/>
      </w:pPr>
      <w:r>
        <w:rPr>
          <w:rFonts w:ascii="Calibri" w:hAnsi="Calibri"/>
          <w:b/>
          <w:color w:val="0F2C59"/>
          <w:sz w:val="21"/>
        </w:rPr>
        <w:t xml:space="preserve">Section 24. Encroaching or interfering in another lawyer’s engagement. </w:t>
      </w:r>
      <w:r>
        <w:rPr>
          <w:rFonts w:ascii="Calibri" w:hAnsi="Calibri"/>
          <w:i w:val="0"/>
          <w:color w:val="282828"/>
          <w:sz w:val="21"/>
        </w:rPr>
        <w:t>A lawyer shall not directly or indirectly encroach upon or interfere in the professional engagement of another lawyer without proper consent or notice.</w:t>
      </w:r>
    </w:p>
    <w:p>
      <w:pPr>
        <w:spacing w:before="0" w:after="80" w:line="276" w:lineRule="auto"/>
      </w:pPr>
      <w:r>
        <w:rPr>
          <w:rFonts w:ascii="Calibri" w:hAnsi="Calibri"/>
          <w:b/>
          <w:color w:val="0F2C59"/>
          <w:sz w:val="21"/>
        </w:rPr>
        <w:t xml:space="preserve">Section 25. Professional engagements and firm names. </w:t>
      </w:r>
      <w:r>
        <w:rPr>
          <w:rFonts w:ascii="Calibri" w:hAnsi="Calibri"/>
          <w:i w:val="0"/>
          <w:color w:val="282828"/>
          <w:sz w:val="21"/>
        </w:rPr>
        <w:t>Firm names shall not contain misleading designations. Deceased partners' names may be retained only if indicated as deceased.</w:t>
      </w:r>
    </w:p>
    <w:p>
      <w:pPr>
        <w:spacing w:before="0" w:after="80" w:line="276" w:lineRule="auto"/>
      </w:pPr>
      <w:r>
        <w:rPr>
          <w:rFonts w:ascii="Calibri" w:hAnsi="Calibri"/>
          <w:b/>
          <w:color w:val="0F2C59"/>
          <w:sz w:val="21"/>
        </w:rPr>
        <w:t xml:space="preserve">Section 26. Practice of law in government service. </w:t>
      </w:r>
      <w:r>
        <w:rPr>
          <w:rFonts w:ascii="Calibri" w:hAnsi="Calibri"/>
          <w:i w:val="0"/>
          <w:color w:val="282828"/>
          <w:sz w:val="21"/>
        </w:rPr>
        <w:t>A lawyer in government service shall discharge duties with integrity, fidelity to public interest, and in compliance with civil service laws.</w:t>
      </w:r>
    </w:p>
    <w:p>
      <w:pPr>
        <w:spacing w:before="0" w:after="80" w:line="276" w:lineRule="auto"/>
      </w:pPr>
      <w:r>
        <w:rPr>
          <w:rFonts w:ascii="Calibri" w:hAnsi="Calibri"/>
          <w:b/>
          <w:color w:val="0F2C59"/>
          <w:sz w:val="21"/>
        </w:rPr>
        <w:t xml:space="preserve">Section 27. Public prosecutors and duty to do justice. </w:t>
      </w:r>
      <w:r>
        <w:rPr>
          <w:rFonts w:ascii="Calibri" w:hAnsi="Calibri"/>
          <w:i w:val="0"/>
          <w:color w:val="282828"/>
          <w:sz w:val="21"/>
        </w:rPr>
        <w:t>The primary duty of a public prosecutor is not to convict, but to see that justice is done. A prosecutor shall not suppress evidence favorable to the accused.</w:t>
      </w:r>
    </w:p>
    <w:p>
      <w:pPr>
        <w:spacing w:before="0" w:after="80" w:line="276" w:lineRule="auto"/>
      </w:pPr>
      <w:r>
        <w:rPr>
          <w:rFonts w:ascii="Calibri" w:hAnsi="Calibri"/>
          <w:b/>
          <w:color w:val="0F2C59"/>
          <w:sz w:val="21"/>
        </w:rPr>
        <w:t xml:space="preserve">Section 28. Lawyers in local government units / legislative bodies. </w:t>
      </w:r>
      <w:r>
        <w:rPr>
          <w:rFonts w:ascii="Calibri" w:hAnsi="Calibri"/>
          <w:i w:val="0"/>
          <w:color w:val="282828"/>
          <w:sz w:val="21"/>
        </w:rPr>
        <w:t>Lawyers serving in legislative or local councils shall refrain from practicing law where their official position creates a conflict of interest.</w:t>
      </w:r>
    </w:p>
    <w:p>
      <w:pPr>
        <w:spacing w:before="0" w:after="80" w:line="276" w:lineRule="auto"/>
      </w:pPr>
      <w:r>
        <w:rPr>
          <w:rFonts w:ascii="Calibri" w:hAnsi="Calibri"/>
          <w:b/>
          <w:color w:val="0F2C59"/>
          <w:sz w:val="21"/>
        </w:rPr>
        <w:t xml:space="preserve">Section 29. Former government lawyers; post-employment restrictions. </w:t>
      </w:r>
      <w:r>
        <w:rPr>
          <w:rFonts w:ascii="Calibri" w:hAnsi="Calibri"/>
          <w:i w:val="0"/>
          <w:color w:val="282828"/>
          <w:sz w:val="21"/>
        </w:rPr>
        <w:t>A former government lawyer shall not accept employment in connection with any matter in which the lawyer intervened while in government service (1-year cooling-off period).</w:t>
      </w:r>
    </w:p>
    <w:p>
      <w:pPr>
        <w:spacing w:before="0" w:after="80" w:line="276" w:lineRule="auto"/>
      </w:pPr>
      <w:r>
        <w:rPr>
          <w:rFonts w:ascii="Calibri" w:hAnsi="Calibri"/>
          <w:b/>
          <w:color w:val="0F2C59"/>
          <w:sz w:val="21"/>
        </w:rPr>
        <w:t xml:space="preserve">Section 30. Conflict of interest for government lawyers. </w:t>
      </w:r>
      <w:r>
        <w:rPr>
          <w:rFonts w:ascii="Calibri" w:hAnsi="Calibri"/>
          <w:i w:val="0"/>
          <w:color w:val="282828"/>
          <w:sz w:val="21"/>
        </w:rPr>
        <w:t>Lawyers in government service are subject to the same strict conflict of interest rules governing private practitioners.</w:t>
      </w:r>
    </w:p>
    <w:p>
      <w:pPr>
        <w:spacing w:before="0" w:after="80" w:line="276" w:lineRule="auto"/>
      </w:pPr>
      <w:r>
        <w:rPr>
          <w:rFonts w:ascii="Calibri" w:hAnsi="Calibri"/>
          <w:b/>
          <w:color w:val="0F2C59"/>
          <w:sz w:val="21"/>
        </w:rPr>
        <w:t xml:space="preserve">Section 31. Academic practice. </w:t>
      </w:r>
      <w:r>
        <w:rPr>
          <w:rFonts w:ascii="Calibri" w:hAnsi="Calibri"/>
          <w:i w:val="0"/>
          <w:color w:val="282828"/>
          <w:sz w:val="21"/>
        </w:rPr>
        <w:t>Law professors and deans shall maintain academic integrity and ethical standards in all teaching and publications.</w:t>
      </w:r>
    </w:p>
    <w:p>
      <w:pPr>
        <w:spacing w:before="0" w:after="80" w:line="276" w:lineRule="auto"/>
      </w:pPr>
      <w:r>
        <w:rPr>
          <w:rFonts w:ascii="Calibri" w:hAnsi="Calibri"/>
          <w:b/>
          <w:color w:val="0F2C59"/>
          <w:sz w:val="21"/>
        </w:rPr>
        <w:t xml:space="preserve">Section 32. Paralegals and non-lawyer personnel. </w:t>
      </w:r>
      <w:r>
        <w:rPr>
          <w:rFonts w:ascii="Calibri" w:hAnsi="Calibri"/>
          <w:i w:val="0"/>
          <w:color w:val="282828"/>
          <w:sz w:val="21"/>
        </w:rPr>
        <w:t>A lawyer shall be responsible for supervising paralegals and staff to ensure compliance with ethical rules.</w:t>
      </w:r>
    </w:p>
    <w:p>
      <w:pPr>
        <w:spacing w:before="0" w:after="80" w:line="276" w:lineRule="auto"/>
      </w:pPr>
      <w:r>
        <w:rPr>
          <w:rFonts w:ascii="Calibri" w:hAnsi="Calibri"/>
          <w:b/>
          <w:color w:val="0F2C59"/>
          <w:sz w:val="21"/>
        </w:rPr>
        <w:t xml:space="preserve">Section 33. Non-delegation of legal practice. </w:t>
      </w:r>
      <w:r>
        <w:rPr>
          <w:rFonts w:ascii="Calibri" w:hAnsi="Calibri"/>
          <w:i w:val="0"/>
          <w:color w:val="282828"/>
          <w:sz w:val="21"/>
        </w:rPr>
        <w:t>A lawyer shall not delegate to non-lawyers any act that constitutes the practice of law.</w:t>
      </w:r>
    </w:p>
    <w:p>
      <w:pPr>
        <w:spacing w:before="0" w:after="80" w:line="276" w:lineRule="auto"/>
      </w:pPr>
      <w:r>
        <w:rPr>
          <w:rFonts w:ascii="Calibri" w:hAnsi="Calibri"/>
          <w:b/>
          <w:color w:val="0F2C59"/>
          <w:sz w:val="21"/>
        </w:rPr>
        <w:t xml:space="preserve">Section 34. Maintenance of independence in multidisciplinary practices. </w:t>
      </w:r>
      <w:r>
        <w:rPr>
          <w:rFonts w:ascii="Calibri" w:hAnsi="Calibri"/>
          <w:i w:val="0"/>
          <w:color w:val="282828"/>
          <w:sz w:val="21"/>
        </w:rPr>
        <w:t>A lawyer shall not form a partnership or joint venture with non-lawyers where any of the activities involve the practice of law.</w:t>
      </w:r>
    </w:p>
    <w:p>
      <w:pPr>
        <w:spacing w:before="0" w:after="80" w:line="276" w:lineRule="auto"/>
      </w:pPr>
      <w:r>
        <w:rPr>
          <w:rFonts w:ascii="Calibri" w:hAnsi="Calibri"/>
          <w:b/>
          <w:color w:val="0F2C59"/>
          <w:sz w:val="21"/>
        </w:rPr>
        <w:t xml:space="preserve">Section 35. Prohibition against fee-splitting with non-lawyers. </w:t>
      </w:r>
      <w:r>
        <w:rPr>
          <w:rFonts w:ascii="Calibri" w:hAnsi="Calibri"/>
          <w:i w:val="0"/>
          <w:color w:val="282828"/>
          <w:sz w:val="21"/>
        </w:rPr>
        <w:t>A lawyer shall not share, divide, or split legal fees with non-lawyers, except in established exceptions (e.g., retirement/death payments to heirs).</w:t>
      </w:r>
    </w:p>
    <w:p>
      <w:pPr>
        <w:keepNext/>
        <w:spacing w:before="200" w:after="60"/>
      </w:pPr>
      <w:r>
        <w:rPr>
          <w:rFonts w:ascii="Georgia" w:hAnsi="Georgia"/>
          <w:b/>
          <w:color w:val="21468B"/>
          <w:sz w:val="22"/>
        </w:rPr>
        <w:t>SPECIAL MODULE: RESPONSIBLE USE OF SOCIAL MEDIA (SECTIONS 36 TO 44)</w:t>
      </w:r>
    </w:p>
    <w:tbl>
      <w:tblPr>
        <w:tblW w:type="auto" w:w="0"/>
        <w:jc w:val="center"/>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47857"/>
              <w:top w:val="none"/>
              <w:bottom w:val="none"/>
              <w:right w:val="none"/>
            </w:tcBorders>
          </w:tcPr>
          <w:p>
            <w:pPr>
              <w:spacing w:before="0" w:after="40" w:line="276" w:lineRule="auto"/>
            </w:pPr>
            <w:r>
              <w:rPr>
                <w:rFonts w:ascii="Georgia" w:hAnsi="Georgia"/>
                <w:b/>
                <w:color w:val="047857"/>
                <w:sz w:val="21"/>
              </w:rPr>
              <w:t>CRITICAL REFORM: CYBERSPACE &amp; SOCIAL MEDIA ACCOUNTABILITY</w:t>
              <w:br/>
            </w:r>
            <w:r>
              <w:rPr>
                <w:rFonts w:ascii="Calibri" w:hAnsi="Calibri"/>
                <w:i/>
                <w:color w:val="282828"/>
                <w:sz w:val="20"/>
              </w:rPr>
              <w:t>CPRA Canon II, Sections 36 to 44 represents the first comprehensive codification of cyberspace and social media ethics for legal professionals in the Philippines. The Supreme Court established that privacy settings on Facebook, X, TikTok, or YouTube do not immunize lawyers from bar discipline. A lawyer's online persona is an extension of their professional identity.</w:t>
            </w:r>
          </w:p>
        </w:tc>
      </w:tr>
    </w:tbl>
    <w:p>
      <w:pPr>
        <w:spacing w:before="0" w:after="80"/>
      </w:pPr>
    </w:p>
    <w:p>
      <w:pPr>
        <w:spacing w:before="0" w:after="120" w:line="276" w:lineRule="auto"/>
      </w:pPr>
      <w:r>
        <w:rPr>
          <w:rFonts w:ascii="Calibri" w:hAnsi="Calibri"/>
          <w:b/>
          <w:color w:val="0F2C59"/>
          <w:sz w:val="21"/>
        </w:rPr>
        <w:t xml:space="preserve">Section 36. Responsible use of social media. </w:t>
      </w:r>
      <w:r>
        <w:rPr>
          <w:rFonts w:ascii="Calibri" w:hAnsi="Calibri"/>
          <w:i w:val="0"/>
          <w:color w:val="282828"/>
          <w:sz w:val="21"/>
        </w:rPr>
        <w:t>A lawyer shall have the duty to understand the benefits, risks, and ethical implications of using social media and other digital technologies.</w:t>
        <w:br/>
        <w:t>• Doctrinal Meaning: Technological incompetence is no longer an excuse. Lawyers must be literate in privacy settings, encryption, online security, and digital data retention.</w:t>
      </w:r>
    </w:p>
    <w:p>
      <w:pPr>
        <w:spacing w:before="0" w:after="120" w:line="276" w:lineRule="auto"/>
      </w:pPr>
      <w:r>
        <w:rPr>
          <w:rFonts w:ascii="Calibri" w:hAnsi="Calibri"/>
          <w:b/>
          <w:color w:val="0F2C59"/>
          <w:sz w:val="21"/>
        </w:rPr>
        <w:t xml:space="preserve">Section 37. Online posts. </w:t>
      </w:r>
      <w:r>
        <w:rPr>
          <w:rFonts w:ascii="Calibri" w:hAnsi="Calibri"/>
          <w:i w:val="0"/>
          <w:color w:val="282828"/>
          <w:sz w:val="21"/>
        </w:rPr>
        <w:t>A lawyer shall ensure that his or her online posts, whether made in a public or private account, uphold the dignity of the legal profession, shield it from disrepute, and maintain respect for the law and legal processes.</w:t>
        <w:br/>
        <w:t>• Doctrinal Meaning: The duty of decorum follows the lawyer into private group chats and personal profiles. Obscene, misogynistic, or scandalous online behavior warrants disciplinary disbarment (e.g., Re: Lorenzo Gadon).</w:t>
      </w:r>
    </w:p>
    <w:p>
      <w:pPr>
        <w:spacing w:before="0" w:after="120" w:line="276" w:lineRule="auto"/>
      </w:pPr>
      <w:r>
        <w:rPr>
          <w:rFonts w:ascii="Calibri" w:hAnsi="Calibri"/>
          <w:b/>
          <w:color w:val="0F2C59"/>
          <w:sz w:val="21"/>
        </w:rPr>
        <w:t xml:space="preserve">Section 38. Non-posting of false or unverified statements; prohibition on disinformation. </w:t>
      </w:r>
      <w:r>
        <w:rPr>
          <w:rFonts w:ascii="Calibri" w:hAnsi="Calibri"/>
          <w:i w:val="0"/>
          <w:color w:val="282828"/>
          <w:sz w:val="21"/>
        </w:rPr>
        <w:t>A lawyer shall not knowingly or maliciously post, share, or disseminate false, misleading, or unverified statements, fake news, or disinformation on social media.</w:t>
        <w:br/>
        <w:t>• Doctrinal Meaning: Lawyers, as guardians of truth, must verify information before sharing. Disseminating propaganda or fabricated legal doctrines violates the Lawyer's Oath.</w:t>
      </w:r>
    </w:p>
    <w:p>
      <w:pPr>
        <w:spacing w:before="0" w:after="120" w:line="276" w:lineRule="auto"/>
      </w:pPr>
      <w:r>
        <w:rPr>
          <w:rFonts w:ascii="Calibri" w:hAnsi="Calibri"/>
          <w:b/>
          <w:color w:val="0F2C59"/>
          <w:sz w:val="21"/>
        </w:rPr>
        <w:t xml:space="preserve">Section 39. Prohibition against fraudulent accounts. </w:t>
      </w:r>
      <w:r>
        <w:rPr>
          <w:rFonts w:ascii="Calibri" w:hAnsi="Calibri"/>
          <w:i w:val="0"/>
          <w:color w:val="282828"/>
          <w:sz w:val="21"/>
        </w:rPr>
        <w:t>A lawyer shall not create, maintain, or operate fraudulent, troll, bot, or anonymous accounts for the purpose of evading the law, concealing ethical liability, trolling, or attacking the judiciary, fellow lawyers, or litigants.</w:t>
        <w:br/>
        <w:t>• Doctrinal Meaning: Ghost accounts, digital astroturfing, and sockpuppets used to bypass ethical transparency are treated as grave misconduct.</w:t>
      </w:r>
    </w:p>
    <w:p>
      <w:pPr>
        <w:spacing w:before="0" w:after="120" w:line="276" w:lineRule="auto"/>
      </w:pPr>
      <w:r>
        <w:rPr>
          <w:rFonts w:ascii="Calibri" w:hAnsi="Calibri"/>
          <w:b/>
          <w:color w:val="0F2C59"/>
          <w:sz w:val="21"/>
        </w:rPr>
        <w:t xml:space="preserve">Section 40. Non-disclosure of privileged information. </w:t>
      </w:r>
      <w:r>
        <w:rPr>
          <w:rFonts w:ascii="Calibri" w:hAnsi="Calibri"/>
          <w:i w:val="0"/>
          <w:color w:val="282828"/>
          <w:sz w:val="21"/>
        </w:rPr>
        <w:t>A lawyer shall not reveal, directly or indirectly, confidential, sensitive, or privileged information obtained in the course of legal representation through social media posts, stories, vlogs, or comments.</w:t>
        <w:br/>
        <w:t>• Doctrinal Meaning: 'Storytelling' or sharing case details on TikTok/YouTube, even without mentioning client names, violates attorney-client privilege if the facts make the client identifiable.</w:t>
      </w:r>
    </w:p>
    <w:p>
      <w:pPr>
        <w:spacing w:before="0" w:after="120" w:line="276" w:lineRule="auto"/>
      </w:pPr>
      <w:r>
        <w:rPr>
          <w:rFonts w:ascii="Calibri" w:hAnsi="Calibri"/>
          <w:b/>
          <w:color w:val="0F2C59"/>
          <w:sz w:val="21"/>
        </w:rPr>
        <w:t xml:space="preserve">Section 41. Duty to safeguard client confidences. </w:t>
      </w:r>
      <w:r>
        <w:rPr>
          <w:rFonts w:ascii="Calibri" w:hAnsi="Calibri"/>
          <w:i w:val="0"/>
          <w:color w:val="282828"/>
          <w:sz w:val="21"/>
        </w:rPr>
        <w:t>A lawyer shall exercise reasonable care and implement adequate digital security measures to prevent inadvertent disclosure or unauthorized access to client confidences stored on digital platforms, cloud services, or social networks.</w:t>
        <w:br/>
        <w:t>• Doctrinal Meaning: Requires secure passwords, two-factor authentication (2FA), encrypted messaging (e.g., Signal), and preventing cloud leaks.</w:t>
      </w:r>
    </w:p>
    <w:p>
      <w:pPr>
        <w:spacing w:before="0" w:after="120" w:line="276" w:lineRule="auto"/>
      </w:pPr>
      <w:r>
        <w:rPr>
          <w:rFonts w:ascii="Calibri" w:hAnsi="Calibri"/>
          <w:b/>
          <w:color w:val="0F2C59"/>
          <w:sz w:val="21"/>
        </w:rPr>
        <w:t xml:space="preserve">Section 42. Prohibition against improper influence through social media. </w:t>
      </w:r>
      <w:r>
        <w:rPr>
          <w:rFonts w:ascii="Calibri" w:hAnsi="Calibri"/>
          <w:i w:val="0"/>
          <w:color w:val="282828"/>
          <w:sz w:val="21"/>
        </w:rPr>
        <w:t>A lawyer shall not use social media to communicate, message, tag, or interact with court officers, judges, or hearing tribunals to influence the outcome of a case, or create the impression of intimacy or special favor.</w:t>
        <w:br/>
        <w:t>• Doctrinal Meaning: Sending direct messages (DMs), tagging judges in case-related posts, or publicly displaying personal camaraderie with presiding judges violates judicial neutrality.</w:t>
      </w:r>
    </w:p>
    <w:p>
      <w:pPr>
        <w:spacing w:before="0" w:after="120" w:line="276" w:lineRule="auto"/>
      </w:pPr>
      <w:r>
        <w:rPr>
          <w:rFonts w:ascii="Calibri" w:hAnsi="Calibri"/>
          <w:b/>
          <w:color w:val="0F2C59"/>
          <w:sz w:val="21"/>
        </w:rPr>
        <w:t xml:space="preserve">Section 43. Legal information versus legal advice (Limited Legal Services online). </w:t>
      </w:r>
      <w:r>
        <w:rPr>
          <w:rFonts w:ascii="Calibri" w:hAnsi="Calibri"/>
          <w:i w:val="0"/>
          <w:color w:val="282828"/>
          <w:sz w:val="21"/>
        </w:rPr>
        <w:t>A lawyer may disseminate general legal information through social media or digital platforms. However, when a lawyer provides tailored legal advice on a specific set of facts presented by an online user, a lawyer-client relationship is created (or Limited Legal Service is rendered), subjecting the lawyer to the full duties and liabilities under the CPRA.</w:t>
        <w:br/>
        <w:t>• Doctrinal Meaning: 'Free online consultations' in comment sections or live streams establish fiduciary duties and conflict of interest liabilities.</w:t>
      </w:r>
    </w:p>
    <w:p>
      <w:pPr>
        <w:spacing w:before="0" w:after="120" w:line="276" w:lineRule="auto"/>
      </w:pPr>
      <w:r>
        <w:rPr>
          <w:rFonts w:ascii="Calibri" w:hAnsi="Calibri"/>
          <w:b/>
          <w:color w:val="0F2C59"/>
          <w:sz w:val="21"/>
        </w:rPr>
        <w:t xml:space="preserve">Section 44. Online posts that could violate conflict of interest. </w:t>
      </w:r>
      <w:r>
        <w:rPr>
          <w:rFonts w:ascii="Calibri" w:hAnsi="Calibri"/>
          <w:i w:val="0"/>
          <w:color w:val="282828"/>
          <w:sz w:val="21"/>
        </w:rPr>
        <w:t>A lawyer shall exercise prudence and circumspection in posting content, commentary, or reactions on social media to ensure that such posts do not conflict with the interests of existing or prospective clients, or violate duty of loyalty.</w:t>
        <w:br/>
        <w:t>• Doctrinal Meaning: Publicly attacking an industry or stance that directly prejudices a current client's pending case constitutes a breach of fidelity.</w:t>
      </w:r>
    </w:p>
    <w:p>
      <w:pPr>
        <w:keepNext/>
        <w:spacing w:before="280" w:after="80"/>
      </w:pPr>
      <w:r>
        <w:rPr>
          <w:rFonts w:ascii="Georgia" w:hAnsi="Georgia"/>
          <w:b/>
          <w:color w:val="B45309"/>
          <w:sz w:val="25"/>
        </w:rPr>
        <w:t>CANON III: FIDELITY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act with absolute fidelity, loyalty, and devotion to the client's cause, keep client confidences inviolate, safeguard client funds, and serve as a trustworthy officer of the court.</w:t>
      </w:r>
    </w:p>
    <w:p>
      <w:pPr>
        <w:spacing w:before="0" w:after="120" w:line="276" w:lineRule="auto"/>
      </w:pPr>
      <w:r>
        <w:rPr>
          <w:rFonts w:ascii="Calibri" w:hAnsi="Calibri"/>
          <w:b/>
          <w:color w:val="0F2C59"/>
          <w:sz w:val="21"/>
        </w:rPr>
        <w:t xml:space="preserve">Sections 1–12: Fiduciary Relationship, Authority &amp; Client Communication </w:t>
      </w:r>
      <w:r>
        <w:rPr>
          <w:rFonts w:ascii="Calibri" w:hAnsi="Calibri"/>
          <w:i w:val="0"/>
          <w:color w:val="282828"/>
          <w:sz w:val="21"/>
        </w:rPr>
        <w:t>• Sec. 1: Practice of law defined as rendition of legal service requiring bar admission.</w:t>
        <w:br/>
        <w:t>• Sec. 2: Lawyer-client relationship is of the highest fiduciary character, attaching upon consultation.</w:t>
        <w:br/>
        <w:t>• Sec. 3–4: Authority to bind client requires written engagement; appearance requires proper authority.</w:t>
        <w:br/>
        <w:t>• Sec. 5–8: Duty to advance client cause without filing frivolous suits; duty to encourage settlement; duty to call client to rectify fraud.</w:t>
        <w:br/>
        <w:t>• Sec. 9–11: Strict supervisory liability of senior lawyers over associates, paralegals, and legal staff.</w:t>
        <w:br/>
        <w:t>• Sec. 12: Absolute duty to keep client regularly informed of case status within reasonable time.</w:t>
      </w:r>
    </w:p>
    <w:p>
      <w:pPr>
        <w:spacing w:before="0" w:after="120" w:line="276" w:lineRule="auto"/>
      </w:pPr>
      <w:r>
        <w:rPr>
          <w:rFonts w:ascii="Calibri" w:hAnsi="Calibri"/>
          <w:b/>
          <w:color w:val="0F2C59"/>
          <w:sz w:val="21"/>
        </w:rPr>
        <w:t xml:space="preserve">Sections 13–22: Comprehensive Conflict of Interest Framework </w:t>
      </w:r>
      <w:r>
        <w:rPr>
          <w:rFonts w:ascii="Calibri" w:hAnsi="Calibri"/>
          <w:i w:val="0"/>
          <w:color w:val="282828"/>
          <w:sz w:val="21"/>
        </w:rPr>
        <w:t>• Sec. 13: Absolute prohibition against representing conflicting interests without informed, written consent of all affected parties after full disclosure.</w:t>
        <w:br/>
        <w:t>• Sec. 14–16: Direct vs Indirect Conflicts; Concurrent vs Successive representation rules.</w:t>
        <w:br/>
        <w:t>• Sec. 17: Prospective Client Information — Duty of confidentiality and conflict rules apply even if engagement is declined (Hilado v. David doctrine).</w:t>
        <w:br/>
        <w:t>• Sec. 18: Corporate Representation — A lawyer representing a corporation owes fidelity to the entity, not to individual directors, officers, or majority stockholders.</w:t>
        <w:br/>
        <w:t>• Sec. 19: Derivative Suits — Lawyer for corporation cannot represent directors accused of breach of trust.</w:t>
        <w:br/>
        <w:t>• Sec. 20–22: Imputed disqualification of law firm partners and associates.</w:t>
      </w:r>
    </w:p>
    <w:p>
      <w:pPr>
        <w:spacing w:before="0" w:after="120" w:line="276" w:lineRule="auto"/>
      </w:pPr>
      <w:r>
        <w:rPr>
          <w:rFonts w:ascii="Calibri" w:hAnsi="Calibri"/>
          <w:b/>
          <w:color w:val="0F2C59"/>
          <w:sz w:val="21"/>
        </w:rPr>
        <w:t xml:space="preserve">Sections 23–34: Privileged Communication &amp; Inviolate Confidences </w:t>
      </w:r>
      <w:r>
        <w:rPr>
          <w:rFonts w:ascii="Calibri" w:hAnsi="Calibri"/>
          <w:i w:val="0"/>
          <w:color w:val="282828"/>
          <w:sz w:val="21"/>
        </w:rPr>
        <w:t>• Sec. 23: Inviolability of attorney-client privilege spanning oral, written, and electronic communications.</w:t>
        <w:br/>
        <w:t>• Sec. 24–27: Perpetual duty surviving termination of engagement and client's death.</w:t>
        <w:br/>
        <w:t>• Sec. 28–30: Strict exceptions: (1) Client consent; (2) Prevention of future crime/fraud; (3) Defense of lawyer against client's accusation of malpractice.</w:t>
        <w:br/>
        <w:t>• Sec. 31–34: Inadvertent disclosures, metadata, and privileged documents mistakenly received.</w:t>
      </w:r>
    </w:p>
    <w:p>
      <w:pPr>
        <w:spacing w:before="0" w:after="120" w:line="276" w:lineRule="auto"/>
      </w:pPr>
      <w:r>
        <w:rPr>
          <w:rFonts w:ascii="Calibri" w:hAnsi="Calibri"/>
          <w:b/>
          <w:color w:val="0F2C59"/>
          <w:sz w:val="21"/>
        </w:rPr>
        <w:t xml:space="preserve">Sections 35–40: Limited Legal Services </w:t>
      </w:r>
      <w:r>
        <w:rPr>
          <w:rFonts w:ascii="Calibri" w:hAnsi="Calibri"/>
          <w:i w:val="0"/>
          <w:color w:val="282828"/>
          <w:sz w:val="21"/>
        </w:rPr>
        <w:t>• Sec. 35–37: Pro bono legal clinics, hotline legal aid, brief advice desks.</w:t>
        <w:br/>
        <w:t>• Sec. 38–40: Relaxed conflict screening for short-term limited legal services unless known direct conflict exists.</w:t>
      </w:r>
    </w:p>
    <w:p>
      <w:pPr>
        <w:spacing w:before="0" w:after="120" w:line="276" w:lineRule="auto"/>
      </w:pPr>
      <w:r>
        <w:rPr>
          <w:rFonts w:ascii="Calibri" w:hAnsi="Calibri"/>
          <w:b/>
          <w:color w:val="0F2C59"/>
          <w:sz w:val="21"/>
        </w:rPr>
        <w:t xml:space="preserve">Sections 41–48: Accounting, Client Funds, and Property Management </w:t>
      </w:r>
      <w:r>
        <w:rPr>
          <w:rFonts w:ascii="Calibri" w:hAnsi="Calibri"/>
          <w:i w:val="0"/>
          <w:color w:val="282828"/>
          <w:sz w:val="21"/>
        </w:rPr>
        <w:t>• Sec. 41: Absolute fiduciary duty over client money and property.</w:t>
        <w:br/>
        <w:t>• Sec. 42: Strict segregation of funds — Prohibition against commingling client funds with personal/office accounts.</w:t>
        <w:br/>
        <w:t>• Sec. 43: Prohibition against borrowing from or lending money to client, except under extraordinary circumstances with written independent counsel advice.</w:t>
        <w:br/>
        <w:t>• Sec. 44–48: Immediate accounting, inventory, and prompt turnover of client property upon demand (Burbe v. Magulta doctrine).</w:t>
      </w:r>
    </w:p>
    <w:p>
      <w:pPr>
        <w:spacing w:before="0" w:after="120" w:line="276" w:lineRule="auto"/>
      </w:pPr>
      <w:r>
        <w:rPr>
          <w:rFonts w:ascii="Calibri" w:hAnsi="Calibri"/>
          <w:b/>
          <w:color w:val="0F2C59"/>
          <w:sz w:val="21"/>
        </w:rPr>
        <w:t xml:space="preserve">Sections 49–54: Attorney’s Fees, Retainers, and Liens </w:t>
      </w:r>
      <w:r>
        <w:rPr>
          <w:rFonts w:ascii="Calibri" w:hAnsi="Calibri"/>
          <w:i w:val="0"/>
          <w:color w:val="282828"/>
          <w:sz w:val="21"/>
        </w:rPr>
        <w:t>• Sec. 49: Reasonable compensation based on time spent, novelty/difficulty, skill required, and amount involved.</w:t>
        <w:br/>
        <w:t>• Sec. 50: Prohibition against unconscionable fees or champertous agreements.</w:t>
        <w:br/>
        <w:t>• Sec. 51: Contingency fee agreements must be in writing and subject to court reasonableness review.</w:t>
        <w:br/>
        <w:t>• Sec. 52–54: Retaining Lien (passive possession of papers/funds) vs Charging Lien (active lien on favorable judgment).</w:t>
      </w:r>
    </w:p>
    <w:p>
      <w:pPr>
        <w:spacing w:before="0" w:after="120" w:line="276" w:lineRule="auto"/>
      </w:pPr>
      <w:r>
        <w:rPr>
          <w:rFonts w:ascii="Calibri" w:hAnsi="Calibri"/>
          <w:b/>
          <w:color w:val="0F2C59"/>
          <w:sz w:val="21"/>
        </w:rPr>
        <w:t xml:space="preserve">Sections 55–56: Withdrawal of Appearance &amp; Termination of Engagement </w:t>
      </w:r>
      <w:r>
        <w:rPr>
          <w:rFonts w:ascii="Calibri" w:hAnsi="Calibri"/>
          <w:i w:val="0"/>
          <w:color w:val="282828"/>
          <w:sz w:val="21"/>
        </w:rPr>
        <w:t>• Sec. 55: Good cause for withdrawal (client insists on illegal act, fails to pay agreed fees, or makes representation impossible).</w:t>
        <w:br/>
        <w:t>• Sec. 56: Duty upon termination — Prompt turnover of papers, return of unearned retainers, and transition assistance.</w:t>
      </w:r>
    </w:p>
    <w:p>
      <w:pPr>
        <w:keepNext/>
        <w:spacing w:before="280" w:after="80"/>
      </w:pPr>
      <w:r>
        <w:rPr>
          <w:rFonts w:ascii="Georgia" w:hAnsi="Georgia"/>
          <w:b/>
          <w:color w:val="B45309"/>
          <w:sz w:val="25"/>
        </w:rPr>
        <w:t>CANON IV: COMPETENCE AND DILIGENCE</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provide competent, efficient, and conscientious legal services with promptness and devotion, keeping abreast of legal developments and technological advancements.</w:t>
      </w:r>
    </w:p>
    <w:p>
      <w:pPr>
        <w:spacing w:before="0" w:after="80" w:line="276" w:lineRule="auto"/>
      </w:pPr>
      <w:r>
        <w:rPr>
          <w:rFonts w:ascii="Calibri" w:hAnsi="Calibri"/>
          <w:b/>
          <w:color w:val="0F2C59"/>
          <w:sz w:val="21"/>
        </w:rPr>
        <w:t xml:space="preserve">Section 1. Competent, efficient, and conscientious service. </w:t>
      </w:r>
      <w:r>
        <w:rPr>
          <w:rFonts w:ascii="Calibri" w:hAnsi="Calibri"/>
          <w:i w:val="0"/>
          <w:color w:val="282828"/>
          <w:sz w:val="21"/>
        </w:rPr>
        <w:t>A lawyer shall serve the client with competence, diligence, and devotion, giving warm zeal and full intellectual application to the client's cause.</w:t>
      </w:r>
    </w:p>
    <w:p>
      <w:pPr>
        <w:spacing w:before="0" w:after="80" w:line="276" w:lineRule="auto"/>
      </w:pPr>
      <w:r>
        <w:rPr>
          <w:rFonts w:ascii="Calibri" w:hAnsi="Calibri"/>
          <w:b/>
          <w:color w:val="0F2C59"/>
          <w:sz w:val="21"/>
        </w:rPr>
        <w:t xml:space="preserve">Section 2. Undertaking legal services &amp; collaborating counsel. </w:t>
      </w:r>
      <w:r>
        <w:rPr>
          <w:rFonts w:ascii="Calibri" w:hAnsi="Calibri"/>
          <w:i w:val="0"/>
          <w:color w:val="282828"/>
          <w:sz w:val="21"/>
        </w:rPr>
        <w:t>A lawyer shall only undertake cases they are qualified to handle. Securing collaborating counsel requires client consent.</w:t>
      </w:r>
    </w:p>
    <w:p>
      <w:pPr>
        <w:spacing w:before="0" w:after="80" w:line="276" w:lineRule="auto"/>
      </w:pPr>
      <w:r>
        <w:rPr>
          <w:rFonts w:ascii="Calibri" w:hAnsi="Calibri"/>
          <w:b/>
          <w:color w:val="0F2C59"/>
          <w:sz w:val="21"/>
        </w:rPr>
        <w:t xml:space="preserve">Section 3. Diligence and punctuality. </w:t>
      </w:r>
      <w:r>
        <w:rPr>
          <w:rFonts w:ascii="Calibri" w:hAnsi="Calibri"/>
          <w:i w:val="0"/>
          <w:color w:val="282828"/>
          <w:sz w:val="21"/>
        </w:rPr>
        <w:t>A lawyer shall be punctual in all court appearances, client meetings, and submissions.</w:t>
      </w:r>
    </w:p>
    <w:p>
      <w:pPr>
        <w:spacing w:before="0" w:after="80" w:line="276" w:lineRule="auto"/>
      </w:pPr>
      <w:r>
        <w:rPr>
          <w:rFonts w:ascii="Calibri" w:hAnsi="Calibri"/>
          <w:b/>
          <w:color w:val="0F2C59"/>
          <w:sz w:val="21"/>
        </w:rPr>
        <w:t xml:space="preserve">Section 4. Duty to avoid delays. </w:t>
      </w:r>
      <w:r>
        <w:rPr>
          <w:rFonts w:ascii="Calibri" w:hAnsi="Calibri"/>
          <w:i w:val="0"/>
          <w:color w:val="282828"/>
          <w:sz w:val="21"/>
        </w:rPr>
        <w:t>A lawyer shall not delay any matter for money, malice, or personal convenience.</w:t>
      </w:r>
    </w:p>
    <w:p>
      <w:pPr>
        <w:spacing w:before="0" w:after="80" w:line="276" w:lineRule="auto"/>
      </w:pPr>
      <w:r>
        <w:rPr>
          <w:rFonts w:ascii="Calibri" w:hAnsi="Calibri"/>
          <w:b/>
          <w:color w:val="0F2C59"/>
          <w:sz w:val="21"/>
        </w:rPr>
        <w:t xml:space="preserve">Section 5. Prompt assessment of case merits. </w:t>
      </w:r>
      <w:r>
        <w:rPr>
          <w:rFonts w:ascii="Calibri" w:hAnsi="Calibri"/>
          <w:i w:val="0"/>
          <w:color w:val="282828"/>
          <w:sz w:val="21"/>
        </w:rPr>
        <w:t>A lawyer shall promptly evaluate the factual and legal basis of a client's claim or defense and advise frankly on prospects of success.</w:t>
      </w:r>
    </w:p>
    <w:p>
      <w:pPr>
        <w:spacing w:before="0" w:after="80" w:line="276" w:lineRule="auto"/>
      </w:pPr>
      <w:r>
        <w:rPr>
          <w:rFonts w:ascii="Calibri" w:hAnsi="Calibri"/>
          <w:b/>
          <w:color w:val="0F2C59"/>
          <w:sz w:val="21"/>
        </w:rPr>
        <w:t xml:space="preserve">Section 6. Duty to inform client of status. </w:t>
      </w:r>
      <w:r>
        <w:rPr>
          <w:rFonts w:ascii="Calibri" w:hAnsi="Calibri"/>
          <w:i w:val="0"/>
          <w:color w:val="282828"/>
          <w:sz w:val="21"/>
        </w:rPr>
        <w:t>A lawyer shall provide regular updates and copies of all pleadings, notices, and orders to the client.</w:t>
      </w:r>
    </w:p>
    <w:p>
      <w:pPr>
        <w:spacing w:before="0" w:after="80" w:line="276" w:lineRule="auto"/>
      </w:pPr>
      <w:r>
        <w:rPr>
          <w:rFonts w:ascii="Calibri" w:hAnsi="Calibri"/>
          <w:b/>
          <w:color w:val="0F2C59"/>
          <w:sz w:val="21"/>
        </w:rPr>
        <w:t xml:space="preserve">Section 7. Prohibition against unnecessary requests for extensions. </w:t>
      </w:r>
      <w:r>
        <w:rPr>
          <w:rFonts w:ascii="Calibri" w:hAnsi="Calibri"/>
          <w:i w:val="0"/>
          <w:color w:val="282828"/>
          <w:sz w:val="21"/>
        </w:rPr>
        <w:t>Extensions of time are exceptions, not rights. Lawyers shall avoid filing repeated dilatory motions for extension.</w:t>
      </w:r>
    </w:p>
    <w:p>
      <w:pPr>
        <w:spacing w:before="0" w:after="80" w:line="276" w:lineRule="auto"/>
      </w:pPr>
      <w:r>
        <w:rPr>
          <w:rFonts w:ascii="Calibri" w:hAnsi="Calibri"/>
          <w:b/>
          <w:color w:val="0F2C59"/>
          <w:sz w:val="21"/>
        </w:rPr>
        <w:t xml:space="preserve">Section 8. Lifelong learning and Mandatory Continuing Legal Education (MCLE). </w:t>
      </w:r>
      <w:r>
        <w:rPr>
          <w:rFonts w:ascii="Calibri" w:hAnsi="Calibri"/>
          <w:i w:val="0"/>
          <w:color w:val="282828"/>
          <w:sz w:val="21"/>
        </w:rPr>
        <w:t>A lawyer shall continuously enhance legal knowledge, comply strictly with MCLE compliance periods, and participate in bar development programs.</w:t>
      </w:r>
    </w:p>
    <w:p>
      <w:pPr>
        <w:spacing w:before="0" w:after="80" w:line="276" w:lineRule="auto"/>
      </w:pPr>
      <w:r>
        <w:rPr>
          <w:rFonts w:ascii="Calibri" w:hAnsi="Calibri"/>
          <w:b/>
          <w:color w:val="0F2C59"/>
          <w:sz w:val="21"/>
        </w:rPr>
        <w:t xml:space="preserve">Section 9. Practice of law and technology / Artificial Intelligence (AI). </w:t>
      </w:r>
      <w:r>
        <w:rPr>
          <w:rFonts w:ascii="Calibri" w:hAnsi="Calibri"/>
          <w:i w:val="0"/>
          <w:color w:val="282828"/>
          <w:sz w:val="21"/>
        </w:rPr>
        <w:t>A lawyer who uses technology, legal tech software, or Artificial Intelligence (AI) tools remains personally responsible for verifying the accuracy of legal citations, authorities, and generated work. AI cannot replace independent professional judgment.</w:t>
      </w:r>
    </w:p>
    <w:p>
      <w:pPr>
        <w:spacing w:before="0" w:after="80" w:line="276" w:lineRule="auto"/>
      </w:pPr>
      <w:r>
        <w:rPr>
          <w:rFonts w:ascii="Calibri" w:hAnsi="Calibri"/>
          <w:b/>
          <w:color w:val="0F2C59"/>
          <w:sz w:val="21"/>
        </w:rPr>
        <w:t xml:space="preserve">Section 10. Concurrent practice of other professions. </w:t>
      </w:r>
      <w:r>
        <w:rPr>
          <w:rFonts w:ascii="Calibri" w:hAnsi="Calibri"/>
          <w:i w:val="0"/>
          <w:color w:val="282828"/>
          <w:sz w:val="21"/>
        </w:rPr>
        <w:t>A lawyer engaged in other businesses or professions must maintain clear separation and ensure ethical standards are not compromised.</w:t>
      </w:r>
    </w:p>
    <w:p>
      <w:pPr>
        <w:keepNext/>
        <w:spacing w:before="280" w:after="80"/>
      </w:pPr>
      <w:r>
        <w:rPr>
          <w:rFonts w:ascii="Georgia" w:hAnsi="Georgia"/>
          <w:b/>
          <w:color w:val="B45309"/>
          <w:sz w:val="25"/>
        </w:rPr>
        <w:t>CANON V: EQUALITY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treat all persons with equality, fairness, and respect, ensuring non-discrimination and advancing equal access to justice for vulnerable and indigent sectors.</w:t>
      </w:r>
    </w:p>
    <w:p>
      <w:pPr>
        <w:spacing w:before="0" w:after="80" w:line="276" w:lineRule="auto"/>
      </w:pPr>
      <w:r>
        <w:rPr>
          <w:rFonts w:ascii="Calibri" w:hAnsi="Calibri"/>
          <w:b/>
          <w:color w:val="0F2C59"/>
          <w:sz w:val="21"/>
        </w:rPr>
        <w:t xml:space="preserve">Section 1. Non-discrimination in legal representation. </w:t>
      </w:r>
      <w:r>
        <w:rPr>
          <w:rFonts w:ascii="Calibri" w:hAnsi="Calibri"/>
          <w:i w:val="0"/>
          <w:color w:val="282828"/>
          <w:sz w:val="21"/>
        </w:rPr>
        <w:t>A lawyer shall not decline representation solely on the basis of sex, gender, race, religion, ethnicity, social status, sexual orientation, disability, or political belief.</w:t>
      </w:r>
    </w:p>
    <w:p>
      <w:pPr>
        <w:spacing w:before="0" w:after="80" w:line="276" w:lineRule="auto"/>
      </w:pPr>
      <w:r>
        <w:rPr>
          <w:rFonts w:ascii="Calibri" w:hAnsi="Calibri"/>
          <w:b/>
          <w:color w:val="0F2C59"/>
          <w:sz w:val="21"/>
        </w:rPr>
        <w:t xml:space="preserve">Section 2. Standard of service for vulnerable persons. </w:t>
      </w:r>
      <w:r>
        <w:rPr>
          <w:rFonts w:ascii="Calibri" w:hAnsi="Calibri"/>
          <w:i w:val="0"/>
          <w:color w:val="282828"/>
          <w:sz w:val="21"/>
        </w:rPr>
        <w:t>A lawyer shall observe a heightened standard of care and patience when representing vulnerable persons, including children, victims of violence, persons with disabilities, and senior citizens.</w:t>
      </w:r>
    </w:p>
    <w:p>
      <w:pPr>
        <w:spacing w:before="0" w:after="80" w:line="276" w:lineRule="auto"/>
      </w:pPr>
      <w:r>
        <w:rPr>
          <w:rFonts w:ascii="Calibri" w:hAnsi="Calibri"/>
          <w:b/>
          <w:color w:val="0F2C59"/>
          <w:sz w:val="21"/>
        </w:rPr>
        <w:t xml:space="preserve">Section 3. Indigent persons and free legal aid. </w:t>
      </w:r>
      <w:r>
        <w:rPr>
          <w:rFonts w:ascii="Calibri" w:hAnsi="Calibri"/>
          <w:i w:val="0"/>
          <w:color w:val="282828"/>
          <w:sz w:val="21"/>
        </w:rPr>
        <w:t>A lawyer shall actively participate in the legal aid program of the Integrated Bar of the Philippines and render free legal services to indigent litigants.</w:t>
      </w:r>
    </w:p>
    <w:p>
      <w:pPr>
        <w:spacing w:before="0" w:after="80" w:line="276" w:lineRule="auto"/>
      </w:pPr>
      <w:r>
        <w:rPr>
          <w:rFonts w:ascii="Calibri" w:hAnsi="Calibri"/>
          <w:b/>
          <w:color w:val="0F2C59"/>
          <w:sz w:val="21"/>
        </w:rPr>
        <w:t xml:space="preserve">Section 4. Standard of service regardless of remuneration. </w:t>
      </w:r>
      <w:r>
        <w:rPr>
          <w:rFonts w:ascii="Calibri" w:hAnsi="Calibri"/>
          <w:i w:val="0"/>
          <w:color w:val="282828"/>
          <w:sz w:val="21"/>
        </w:rPr>
        <w:t>A lawyer owes the exact same high degree of competence, diligence, and fidelity to a non-paying or indigent client as to a high-paying corporate client.</w:t>
      </w:r>
    </w:p>
    <w:p>
      <w:pPr>
        <w:keepNext/>
        <w:spacing w:before="280" w:after="80"/>
      </w:pPr>
      <w:r>
        <w:rPr>
          <w:rFonts w:ascii="Georgia" w:hAnsi="Georgia"/>
          <w:b/>
          <w:color w:val="B45309"/>
          <w:sz w:val="25"/>
        </w:rPr>
        <w:t>CANON VI: ACCOUNTABILITY</w:t>
      </w:r>
    </w:p>
    <w:p>
      <w:pPr>
        <w:spacing w:before="0" w:after="80" w:line="276" w:lineRule="auto"/>
      </w:pPr>
      <w:r>
        <w:rPr>
          <w:rFonts w:ascii="Calibri" w:hAnsi="Calibri"/>
          <w:b/>
          <w:color w:val="0F2C59"/>
          <w:sz w:val="21"/>
        </w:rPr>
        <w:t xml:space="preserve">Core Principle: </w:t>
      </w:r>
      <w:r>
        <w:rPr>
          <w:rFonts w:ascii="Calibri" w:hAnsi="Calibri"/>
          <w:i w:val="0"/>
          <w:color w:val="282828"/>
          <w:sz w:val="21"/>
        </w:rPr>
        <w:t>Mandate: A lawyer shall be accountable to society, the courts, the legal profession, and the client for all ethical obligations and professional actions.</w:t>
      </w:r>
    </w:p>
    <w:p>
      <w:pPr>
        <w:spacing w:before="0" w:after="120" w:line="276" w:lineRule="auto"/>
      </w:pPr>
      <w:r>
        <w:rPr>
          <w:rFonts w:ascii="Calibri" w:hAnsi="Calibri"/>
          <w:b/>
          <w:color w:val="0F2C59"/>
          <w:sz w:val="21"/>
        </w:rPr>
        <w:t xml:space="preserve">Sections 1–10: Nature of Disciplinary Proceedings &amp; Institution </w:t>
      </w:r>
      <w:r>
        <w:rPr>
          <w:rFonts w:ascii="Calibri" w:hAnsi="Calibri"/>
          <w:i w:val="0"/>
          <w:color w:val="282828"/>
          <w:sz w:val="21"/>
        </w:rPr>
        <w:t>• Sec. 1: Disciplinary proceedings are sui generis — Neither purely civil nor purely criminal; their purpose is to protect the court, public, and bar integrity.</w:t>
        <w:br/>
        <w:t>• Sec. 2–3: Instituted motu proprio by the Supreme Court, or through a verified complaint filed with the SC or IBP Commission on Bar Discipline (CBD).</w:t>
        <w:br/>
        <w:t>• Sec. 4–10: Quantum of Proof: The required quantum of proof in administrative disciplinary cases against lawyers is SUBSTANTIAL EVIDENCE (that amount of relevant evidence which a reasonable mind might accept as adequate to support a conclusion).</w:t>
      </w:r>
    </w:p>
    <w:p>
      <w:pPr>
        <w:spacing w:before="0" w:after="120" w:line="276" w:lineRule="auto"/>
      </w:pPr>
      <w:r>
        <w:rPr>
          <w:rFonts w:ascii="Calibri" w:hAnsi="Calibri"/>
          <w:b/>
          <w:color w:val="0F2C59"/>
          <w:sz w:val="21"/>
        </w:rPr>
        <w:t xml:space="preserve">Sections 33–35: Classification of Offenses </w:t>
      </w:r>
      <w:r>
        <w:rPr>
          <w:rFonts w:ascii="Calibri" w:hAnsi="Calibri"/>
          <w:i w:val="0"/>
          <w:color w:val="282828"/>
          <w:sz w:val="21"/>
        </w:rPr>
        <w:t>• Sec. 33: SERIOUS OFFENSES:</w:t>
        <w:br/>
        <w:t xml:space="preserve">  1. Gross misconduct;</w:t>
        <w:br/>
        <w:t xml:space="preserve">  2. Serious dishonesty, fraud, or deceit;</w:t>
        <w:br/>
        <w:t xml:space="preserve">  3. Bribery or corruption;</w:t>
        <w:br/>
        <w:t xml:space="preserve">  4. Misappropriation of client funds or property;</w:t>
        <w:br/>
        <w:t xml:space="preserve">  5. Gross negligence resulting in client's loss of cause or day in court;</w:t>
        <w:br/>
        <w:t xml:space="preserve">  6. Conviction of a crime involving moral turpitude;</w:t>
        <w:br/>
        <w:t xml:space="preserve">  7. Physical, sexual, or psychological abuse, harassment, or gender-based violence;</w:t>
        <w:br/>
        <w:t xml:space="preserve">  8. Grossly immoral conduct;</w:t>
        <w:br/>
        <w:t xml:space="preserve">  9. Willful violation of court orders or direct contempt.</w:t>
        <w:br/>
        <w:br/>
        <w:t>• Sec. 34: LESS SERIOUS OFFENSES:</w:t>
        <w:br/>
        <w:t xml:space="preserve">  1. Simple misconduct without flagrant corruption;</w:t>
        <w:br/>
        <w:t xml:space="preserve">  2. Simple negligence without loss of day in court;</w:t>
        <w:br/>
        <w:t xml:space="preserve">  3. Unwarranted delay in filing pleadings;</w:t>
        <w:br/>
        <w:t xml:space="preserve">  4. Violation of IBP or Supreme Court administrative rules;</w:t>
        <w:br/>
        <w:t xml:space="preserve">  5. Failure to comply with MCLE requirements;</w:t>
        <w:br/>
        <w:t xml:space="preserve">  6. Improper advertising or unauthorized solicitation.</w:t>
        <w:br/>
        <w:br/>
        <w:t>• Sec. 35: LIGHT OFFENSES:</w:t>
        <w:br/>
        <w:t xml:space="preserve">  1. Non-payment of IBP dues;</w:t>
        <w:br/>
        <w:t xml:space="preserve">  2. Use of intemperate or vulgar language in personal dealings;</w:t>
        <w:br/>
        <w:t xml:space="preserve">  3. Fraternizing with court personnel with pending cases;</w:t>
        <w:br/>
        <w:t xml:space="preserve">  4. Minor infractions of procedural and decorum rules.</w:t>
      </w:r>
    </w:p>
    <w:p>
      <w:pPr>
        <w:spacing w:before="0" w:after="120" w:line="276" w:lineRule="auto"/>
      </w:pPr>
      <w:r>
        <w:rPr>
          <w:rFonts w:ascii="Calibri" w:hAnsi="Calibri"/>
          <w:b/>
          <w:color w:val="0F2C59"/>
          <w:sz w:val="21"/>
        </w:rPr>
        <w:t xml:space="preserve">Sections 37–41: Sanctions and Modifying Circumstances </w:t>
      </w:r>
      <w:r>
        <w:rPr>
          <w:rFonts w:ascii="Calibri" w:hAnsi="Calibri"/>
          <w:i w:val="0"/>
          <w:color w:val="282828"/>
          <w:sz w:val="21"/>
        </w:rPr>
        <w:t>• Sec. 37: Sanctions Matrix:</w:t>
        <w:br/>
        <w:t xml:space="preserve">  - For Serious Offenses: Disbarment, suspension from practice of law for 1 to 5 years, or fine exceeding ₱100,000.00 up to ₱500,000.00 (or both).</w:t>
        <w:br/>
        <w:t xml:space="preserve">  - For Less Serious Offenses: Suspension for 1 month to 1 year, or fine of ₱35,000.00 to ₱100,000.00 (or both).</w:t>
        <w:br/>
        <w:t xml:space="preserve">  - For Light Offenses: Reprimand, admonition with warning, or fine of ₱1,000.00 to ₱35,000.00.</w:t>
        <w:br/>
        <w:br/>
        <w:t>• Sec. 38–41: Modifying Circumstances:</w:t>
        <w:br/>
        <w:t xml:space="preserve">  - Mitigating: First offense, good faith, full restitution, voluntary admission/remorse, advanced age/health, length of service.</w:t>
        <w:br/>
        <w:t xml:space="preserve">  - Aggravating: Prior disciplinary record, dishonest/selfish motive, vulnerable victim, refusal to acknowledge wrongful conduct, obstruction of proceedings.</w:t>
      </w:r>
    </w:p>
    <w:p>
      <w:pPr>
        <w:spacing w:before="0" w:after="120" w:line="276" w:lineRule="auto"/>
      </w:pPr>
      <w:r>
        <w:rPr>
          <w:rFonts w:ascii="Calibri" w:hAnsi="Calibri"/>
          <w:b/>
          <w:color w:val="0F2C59"/>
          <w:sz w:val="21"/>
        </w:rPr>
        <w:t xml:space="preserve">Sections 42–53: Judicial Clemency Guidelines (Re: Ong Guidelines) </w:t>
      </w:r>
      <w:r>
        <w:rPr>
          <w:rFonts w:ascii="Calibri" w:hAnsi="Calibri"/>
          <w:i w:val="0"/>
          <w:color w:val="282828"/>
          <w:sz w:val="21"/>
        </w:rPr>
        <w:t>• Requirements for Reinstatement / Judicial Clemency:</w:t>
        <w:br/>
        <w:t xml:space="preserve">  1. Lapse of at least 5 years from disbarment/suspension (unless extraordinary reasons exist);</w:t>
        <w:br/>
        <w:t xml:space="preserve">  2. Prima facie evidence of genuine remorse, reformation, and moral rehabilitation;</w:t>
        <w:br/>
        <w:t xml:space="preserve">  3. Restitution of all misappropriated funds or indemnification of victim;</w:t>
        <w:br/>
        <w:t xml:space="preserve">  4. Sworn testimonials from judges, IBP chapter officers, and community leaders;</w:t>
        <w:br/>
        <w:t xml:space="preserve">  5. Proof of engagement in productive, honest, and civic activities.</w:t>
      </w:r>
    </w:p>
    <w:p>
      <w:pPr>
        <w:keepNext/>
        <w:spacing w:before="360" w:after="120"/>
      </w:pPr>
      <w:r>
        <w:rPr>
          <w:rFonts w:ascii="Georgia" w:hAnsi="Georgia"/>
          <w:b/>
          <w:color w:val="0F2C59"/>
          <w:sz w:val="30"/>
        </w:rPr>
        <w:t>PART III: LANDMARK JURISPRUDENCE (BLJE &amp; JUDICIAL ETHICS)</w:t>
      </w:r>
    </w:p>
    <w:p>
      <w:pPr>
        <w:spacing w:before="0" w:after="80" w:line="276" w:lineRule="auto"/>
      </w:pPr>
      <w:r>
        <w:rPr>
          <w:rFonts w:ascii="Calibri" w:hAnsi="Calibri"/>
          <w:i w:val="0"/>
          <w:color w:val="282828"/>
          <w:sz w:val="21"/>
        </w:rPr>
        <w:t>This compendium details the definitive, benchmark decisions of the Supreme Court En Banc across Social Media Ethics, CPRA Canons I to VI, and Judicial Ethics under the ALAC / Authentic Legal Defense structure.</w:t>
      </w:r>
    </w:p>
    <w:p>
      <w:pPr>
        <w:keepNext/>
        <w:spacing w:before="280" w:after="80"/>
      </w:pPr>
      <w:r>
        <w:rPr>
          <w:rFonts w:ascii="Georgia" w:hAnsi="Georgia"/>
          <w:b/>
          <w:color w:val="B45309"/>
          <w:sz w:val="25"/>
        </w:rPr>
        <w:t>MODULE A: MEDIA, SOCIAL MEDIA, CYBER DECORUM &amp; SUB JUDICE CASES</w:t>
      </w:r>
    </w:p>
    <w:p>
      <w:pPr>
        <w:keepNext/>
        <w:spacing w:before="240" w:after="40"/>
      </w:pPr>
      <w:r>
        <w:rPr>
          <w:rFonts w:ascii="Georgia" w:hAnsi="Georgia"/>
          <w:b/>
          <w:color w:val="0F2C59"/>
          <w:sz w:val="23"/>
        </w:rPr>
        <w:t>⚖ RE: INVESTIGATION OF ATTY. LORENZO G. GADON (DISBARMENT)</w:t>
        <w:br/>
      </w:r>
      <w:r>
        <w:rPr>
          <w:rFonts w:ascii="Calibri" w:hAnsi="Calibri"/>
          <w:b/>
          <w:color w:val="B45309"/>
          <w:sz w:val="19"/>
        </w:rPr>
        <w:t>Citation: A.C. No. 13521, June 27, 2023 (En Banc, Per Curiam)  |  Governing Anchor: CPRA Canon II (Propriety), Sections 1, 2, 4, 37, 38 &amp; Canon VI (Accountability)</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video clip featuring Atty. Lorenzo Gadon went viral across multiple social media platforms (Facebook, Twitter, YouTube), wherein he uttered extremely foul, vulgar, misogynistic, and abusive profanities against journalist Raissa Robles. The Supreme Court motu proprio issued a show cause order and placed him under preventive suspension pending disciplinary investigation. This was the first major disbarment case adjudicated immediately following the effectivity of the CPRA.</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Gadon argued that the video was a private recording shared among friends that was leaked without his consent; that his statements were protected political speech and freedom of expression; that the CPRA cannot be applied retroactively to conduct occurring prior to May 29, 2023; and that his right to privacy was violated.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Atty. Gadon’s viral, profane, and misogynistic video on social media warrants disbarment under the CPRA, and whether privacy settings or freedom of expression protect a lawyer from disciplinary sanctions.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UNANIMOUSLY. The Supreme Court held that the CPRA applies retroactively to pending disciplinary proceedings. The Court ruled that freedom of expression is not a license for a lawyer to utter scandalous, misogynistic, and profane vitriol against any person. Lawyers are bound by a higher standard of decency, decorum, and civility, which extends to all digital spaces and social media platforms.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lawyer's speech on social media is subject to ethical regulation. Using online platforms to hurl profanities or engage in gender-based harassment degrades the legal profession. Privacy settings on social media do not shield a lawyer from administrative accountability under Canon II (Propriety) and Sections 36-38 of the CPRA.</w:t>
            </w:r>
          </w:p>
        </w:tc>
      </w:tr>
    </w:tbl>
    <w:p>
      <w:pPr>
        <w:spacing w:before="0" w:after="80"/>
      </w:pPr>
    </w:p>
    <w:p>
      <w:pPr>
        <w:keepNext/>
        <w:spacing w:before="240" w:after="40"/>
      </w:pPr>
      <w:r>
        <w:rPr>
          <w:rFonts w:ascii="Georgia" w:hAnsi="Georgia"/>
          <w:b/>
          <w:color w:val="0F2C59"/>
          <w:sz w:val="23"/>
        </w:rPr>
        <w:t>⚖ DR. VICTORIA 'VICKI' G. BELO-HENARES v. ATTY. ROBERTO 'ARGEE' C. GUEVARRA</w:t>
        <w:br/>
      </w:r>
      <w:r>
        <w:rPr>
          <w:rFonts w:ascii="Calibri" w:hAnsi="Calibri"/>
          <w:b/>
          <w:color w:val="B45309"/>
          <w:sz w:val="19"/>
        </w:rPr>
        <w:t>Citation: A.C. No. 11394, December 1, 2016 (Per Curiam)  |  Governing Anchor: Canon II (Propriety), Dignified Conduct &amp; Online Defamation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Guevarra represented a former client in a medical malpractice dispute against Dr. Vicki Belo. Instead of confining the dispute to the courts, Atty. Guevarra launched a malicious campaign on Facebook, posting defamatory, insulting, and obscene remarks against Dr. Belo, calling her a 'quack doctor,' 'criminal,' and 'shyster,' while urging the public to boycott her clinics.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Guevarra claimed that his Facebook posts were set to 'Friends Only' (private), thus enjoying constitutional privacy protection, and that his posts were legitimate exercises of freedom of speech and zealous advocacy for his client.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invoke constitutional privacy rights over Facebook posts to escape disciplinary liability for defamatory online statements against an opposing party.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rejected the privacy defense, emphasizing that Facebook is inherently a public platform. A lawyer cannot hide behind 'Friends Only' settings to unleash defamatory attacks. Zealous advocacy does not justify launching a cyber-smear campaign.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cannot invoke privacy settings on social media as a defense for posting defamatory, scandalous, or unprofessional remarks. A lawyer's duty of sobriety and decorum applies equally to cyberspace and social networking sites.</w:t>
            </w:r>
          </w:p>
        </w:tc>
      </w:tr>
    </w:tbl>
    <w:p>
      <w:pPr>
        <w:spacing w:before="0" w:after="80"/>
      </w:pPr>
    </w:p>
    <w:p>
      <w:pPr>
        <w:keepNext/>
        <w:spacing w:before="240" w:after="40"/>
      </w:pPr>
      <w:r>
        <w:rPr>
          <w:rFonts w:ascii="Georgia" w:hAnsi="Georgia"/>
          <w:b/>
          <w:color w:val="0F2C59"/>
          <w:sz w:val="23"/>
        </w:rPr>
        <w:t>⚖ POLICE SUPT. HANS CRISTIAN MARANTAN v. ATTY. JOSE MANUEL DIOKNO &amp; ATTY. FERDINAND TOPACIO</w:t>
        <w:br/>
      </w:r>
      <w:r>
        <w:rPr>
          <w:rFonts w:ascii="Calibri" w:hAnsi="Calibri"/>
          <w:b/>
          <w:color w:val="B45309"/>
          <w:sz w:val="19"/>
        </w:rPr>
        <w:t>Citation: G.R. No. 205956, January 22, 2014 (Sub Judice Rule)  |  Governing Anchor: Canon II, Section 19 (Sub Judice Rule) &amp; Public Media Statements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Following the Atimonan incident resulting in multiple deaths, several criminal and administrative cases were filed against Supt. Marantan. During the pendency of preliminary investigations and trial, opposing counsel held press conferences, appeared in televised interviews, and made detailed public statements analyzing the physical evidence and asserting the criminal culpability of the accused.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Counsels argued that their media appearances were protected by freedom of information and the press, and that they were merely answering press queries without intending to impede the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holding press conferences and making public commentaries on the merits of a pending criminal case violates the Sub Judice Rule and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WARNED AND ADMONISHED. The Supreme Court clarified the parameters of the Sub Judice Rule. While fair and factual reporting of court proceedings is permitted, lawyers are strictly prohibited from making public statements that tend to prejudge the merits, influence the court, or incite public passion regarding a pending case.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Sub Judice Rule restricts public statements regarding pending judicial proceedings. Under CPRA Canon II, Section 19, lawyers must refrain from orchestrating media trials or making online/press statements that have a dangerous tendency to obstruct justice or sway public perception.</w:t>
            </w:r>
          </w:p>
        </w:tc>
      </w:tr>
    </w:tbl>
    <w:p>
      <w:pPr>
        <w:spacing w:before="0" w:after="80"/>
      </w:pPr>
    </w:p>
    <w:p>
      <w:pPr>
        <w:keepNext/>
        <w:spacing w:before="240" w:after="40"/>
      </w:pPr>
      <w:r>
        <w:rPr>
          <w:rFonts w:ascii="Georgia" w:hAnsi="Georgia"/>
          <w:b/>
          <w:color w:val="0F2C59"/>
          <w:sz w:val="23"/>
        </w:rPr>
        <w:t>⚖ MA. CECILIA LORENZANA v. JUDGE MA. CECILIA I. AUSTRIA</w:t>
        <w:br/>
      </w:r>
      <w:r>
        <w:rPr>
          <w:rFonts w:ascii="Calibri" w:hAnsi="Calibri"/>
          <w:b/>
          <w:color w:val="B45309"/>
          <w:sz w:val="19"/>
        </w:rPr>
        <w:t>Citation: A.M. No. RTJ-09-2200, April 2, 2014 (Judicial Cyber Ethics)  |  Governing Anchor: CJCA Canon IV (Propriety) &amp; Judicial Conduct on Social Media</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An administrative complaint was filed against RTC Judge Austria for displaying inappropriate photos of herself in provocative attire on Friendster and Facebook, and for using social media to engage in public arguments regarding her personal life and judicial functions.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Austria contended that her social media profiles were personal, recreational, and had nothing to do with her judicial rulings, and that judges do not forfeit their fundamental right to express themselves online.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presiding judge violates the Code of Judicial Conduct by posting undignified photos and engaging in public discourse on social networking sites.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FOUND GUILTY OF CONDUCT UNBECOMING OF A JUDGE. The Supreme Court reprimanded the judge, holding that magistrates must maintain propriety and the appearance of propriety in all activities, including in cyberspace.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are visible symbols of the law. They must exercise extreme circumspection on social media and ensure that their online posts, photos, and interactions do not erode public confidence in the dignity and impartiality of the Judiciary.</w:t>
            </w:r>
          </w:p>
        </w:tc>
      </w:tr>
    </w:tbl>
    <w:p>
      <w:pPr>
        <w:spacing w:before="0" w:after="80"/>
      </w:pPr>
    </w:p>
    <w:p>
      <w:pPr>
        <w:keepNext/>
        <w:spacing w:before="240" w:after="40"/>
      </w:pPr>
      <w:r>
        <w:rPr>
          <w:rFonts w:ascii="Georgia" w:hAnsi="Georgia"/>
          <w:b/>
          <w:color w:val="0F2C59"/>
          <w:sz w:val="23"/>
        </w:rPr>
        <w:t>⚖ RE: ANONYMOUS COMPLAINT AGAINST JUDGE FERDINAND R. VILLANUEVA</w:t>
        <w:br/>
      </w:r>
      <w:r>
        <w:rPr>
          <w:rFonts w:ascii="Calibri" w:hAnsi="Calibri"/>
          <w:b/>
          <w:color w:val="B45309"/>
          <w:sz w:val="19"/>
        </w:rPr>
        <w:t>Citation: A.M. No. MTJ-20-1945, September 29, 2021  |  Governing Anchor: CJCA Canon IV (Propriety) &amp; Canon I (Independence) in Social Media</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An anonymous complaint with screenshots was filed against Judge Villanueva, alleging that he maintained an active social media presence where he engaged in partisan political commentary, criticized government policies, and shared TikTok dance videos in court attire.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the complaint was anonymous and malicious; that the TikTok videos were harmless recreational stress-relievers during pandemic lockdowns; and that political comments were made in his personal capacity.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judge's active online posting and political commentary undermine judicial integrity and decorum.</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SANCTIONED AND FINED FOR CONDUCT UNBECOMING. The Supreme Court emphasized that judges must avoid any appearance of partisanship or triviality. The black robe and judicial office command a solemn standard that cannot be compromised for social media likes or viral notoriety.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must observe judicial restraint and temperance online. Engaging in partisan political discussions or frivolous antics on social media impairs the public's perception of judicial independence, dignity, and neutrality.</w:t>
            </w:r>
          </w:p>
        </w:tc>
      </w:tr>
    </w:tbl>
    <w:p>
      <w:pPr>
        <w:spacing w:before="0" w:after="80"/>
      </w:pPr>
    </w:p>
    <w:p>
      <w:pPr>
        <w:keepNext/>
        <w:spacing w:before="280" w:after="80"/>
      </w:pPr>
      <w:r>
        <w:rPr>
          <w:rFonts w:ascii="Georgia" w:hAnsi="Georgia"/>
          <w:b/>
          <w:color w:val="B45309"/>
          <w:sz w:val="25"/>
        </w:rPr>
        <w:t>MODULE B: CPRA LEGAL ETHICS LANDMARK JURISPRUDENCE</w:t>
      </w:r>
    </w:p>
    <w:p>
      <w:pPr>
        <w:keepNext/>
        <w:spacing w:before="240" w:after="40"/>
      </w:pPr>
      <w:r>
        <w:rPr>
          <w:rFonts w:ascii="Georgia" w:hAnsi="Georgia"/>
          <w:b/>
          <w:color w:val="0F2C59"/>
          <w:sz w:val="23"/>
        </w:rPr>
        <w:t>⚖ IN RE: ATTY. VICENTE RAUL ALMACEN</w:t>
        <w:br/>
      </w:r>
      <w:r>
        <w:rPr>
          <w:rFonts w:ascii="Calibri" w:hAnsi="Calibri"/>
          <w:b/>
          <w:color w:val="B45309"/>
          <w:sz w:val="19"/>
        </w:rPr>
        <w:t>Citation: G.R. No. L-27654 / 31 SCRA 562, February 18, 1970  |  Governing Anchor: Canon I (Independence) &amp; Canon II (Respect for Courts)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Almacen lost a civil case before the Court of Appeals and Supreme Court. In his Petition to Surrender Lawyer's Certificate of Title, he launched a bitter, insolent attack against the Supreme Court, calling it a 'corrupt, unprincipled institution' committed to injustice, and publicized his petition in the press.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Almacen asserted his constitutional right to free speech and redressing grievances, arguing that he had the moral duty to expose judicial incompetence.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lawyer's right to criticize the courts justifies intemperate, disrespectful, and insolent language aimed at destroying public trust in the judiciary.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INDEFINITELY SUSPENDED. The Supreme Court ruled that while post-litigation criticism of judicial decisions is permissible, it must be respectful, scholarly, and constructive. Insolent and scurrilous attacks on the integrity of the Court warrant severe disciplinary sanction.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owe respect and dignity to the courts as officers of the justice system. Criticism of judicial decisions must be made through respectful legal reasoning, not insolent vitriol calculated to demean the judiciary.</w:t>
            </w:r>
          </w:p>
        </w:tc>
      </w:tr>
    </w:tbl>
    <w:p>
      <w:pPr>
        <w:spacing w:before="0" w:after="80"/>
      </w:pPr>
    </w:p>
    <w:p>
      <w:pPr>
        <w:keepNext/>
        <w:spacing w:before="240" w:after="40"/>
      </w:pPr>
      <w:r>
        <w:rPr>
          <w:rFonts w:ascii="Georgia" w:hAnsi="Georgia"/>
          <w:b/>
          <w:color w:val="0F2C59"/>
          <w:sz w:val="23"/>
        </w:rPr>
        <w:t>⚖ BENJAMIN TAN v. ELPIDIO SABANDAL</w:t>
        <w:br/>
      </w:r>
      <w:r>
        <w:rPr>
          <w:rFonts w:ascii="Calibri" w:hAnsi="Calibri"/>
          <w:b/>
          <w:color w:val="B45309"/>
          <w:sz w:val="19"/>
        </w:rPr>
        <w:t>Citation: B.M. No. 44, February 10, 1989 &amp; 206 SCRA 473  |  Governing Anchor: CPRA Canon II (Propriety) &amp; Good Moral Character Requirement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Sabandal successfully passed the 1978 Philippine Bar Examination. However, during his bar admission processing, it was revealed that while working as a Land Investigator at the Bureau of Lands, he procured fraudulent land titles and committed grave dishonesty.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Sabandal argued that he had already been acquitted of the criminal charges of falsification; that he had displayed good conduct since; and that passing the bar entitled him to take the Lawyer's Oath.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passing the bar exam automatically grants admission if the applicant fails to demonstrate continuing good moral character.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 TO TAKE LAWYER'S OATH DENIED. The Supreme Court held that good moral character is not merely a condition precedent to taking the bar, but a continuing requirement. Acquittal in a criminal case does not automatically prove moral fitness in administrative bar proceedings.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Good moral character is an indispensable, continuing qualification for the practice of law. The practice of law is not a natural right, but a privilege burdened with conditions of absolute honesty and probity.</w:t>
            </w:r>
          </w:p>
        </w:tc>
      </w:tr>
    </w:tbl>
    <w:p>
      <w:pPr>
        <w:spacing w:before="0" w:after="80"/>
      </w:pPr>
    </w:p>
    <w:p>
      <w:pPr>
        <w:keepNext/>
        <w:spacing w:before="240" w:after="40"/>
      </w:pPr>
      <w:r>
        <w:rPr>
          <w:rFonts w:ascii="Georgia" w:hAnsi="Georgia"/>
          <w:b/>
          <w:color w:val="0F2C59"/>
          <w:sz w:val="23"/>
        </w:rPr>
        <w:t>⚖ TERESITA T. VENTURA v. ATTY. EDWIN SAMSON</w:t>
        <w:br/>
      </w:r>
      <w:r>
        <w:rPr>
          <w:rFonts w:ascii="Calibri" w:hAnsi="Calibri"/>
          <w:b/>
          <w:color w:val="B45309"/>
          <w:sz w:val="19"/>
        </w:rPr>
        <w:t>Citation: A.C. No. 9608, November 27, 2012 (En Banc)  |  Governing Anchor: Canon II, Section 1 (Proper Conduct) &amp; Immoral Behavior</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Samson engaged in a sexual and romantic relationship with complainant while he was already legally married. Furthermore, he fathered a child and subsequently abandoned both the mother and the child without financial support.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Samson contended that his relationship with complainant was consensual, private, and did not affect his professional capability or legal representation in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extramarital relations and abandonment of offspring constitute grossly immoral conduct warranting disbarment under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a lawyer must maintain impeccable morality in both private and professional life. Engaging in adulterous relationships and abandoning offspring exhibits a depraved character unfit for the Bar.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 must maintain the highest standards of morality. Grossly immoral conduct—even in private life—destroys moral fitness and warrants the supreme penalty of disbarment.</w:t>
            </w:r>
          </w:p>
        </w:tc>
      </w:tr>
    </w:tbl>
    <w:p>
      <w:pPr>
        <w:spacing w:before="0" w:after="80"/>
      </w:pPr>
    </w:p>
    <w:p>
      <w:pPr>
        <w:keepNext/>
        <w:spacing w:before="240" w:after="40"/>
      </w:pPr>
      <w:r>
        <w:rPr>
          <w:rFonts w:ascii="Georgia" w:hAnsi="Georgia"/>
          <w:b/>
          <w:color w:val="0F2C59"/>
          <w:sz w:val="23"/>
        </w:rPr>
        <w:t>⚖ JOSIEPUE GUEVARRA v. ATTY. JOSE EMMANUEL 'NOLI' EALA</w:t>
        <w:br/>
      </w:r>
      <w:r>
        <w:rPr>
          <w:rFonts w:ascii="Calibri" w:hAnsi="Calibri"/>
          <w:b/>
          <w:color w:val="B45309"/>
          <w:sz w:val="19"/>
        </w:rPr>
        <w:t>Citation: A.C. No. 7136, August 1, 2007 (En Banc)  |  Governing Anchor: Canon II (Propriety), Moral Turpitude &amp; Sanctity of Marriage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Noli Eala, while married, carried on an open, public adulterous affair with complainant’s wife, wrote explicit romantic letters, and eventually lived together and fathered a child with her.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Eala argued that his own marriage had broken down; that his relationship with complainant's wife was born out of love and mutual consent; and that his professional standing as a respected sports broadcaster and lawyer remained unblemished.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maintaining an open adulterous relationship constitutes grossly immoral conduct warranting disbarment.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marriage is a sacrosanct institution protected by the Constitution. A lawyer who openly violates marriage laws and flaunts an illicit affair commits gross immorality that degrades the legal profession.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must respect the law on marriage and family. Flaunting an adulterous relationship constitutes gross immorality that renders a lawyer morally unfit to remain a member of the Bar.</w:t>
            </w:r>
          </w:p>
        </w:tc>
      </w:tr>
    </w:tbl>
    <w:p>
      <w:pPr>
        <w:spacing w:before="0" w:after="80"/>
      </w:pPr>
    </w:p>
    <w:p>
      <w:pPr>
        <w:keepNext/>
        <w:spacing w:before="240" w:after="40"/>
      </w:pPr>
      <w:r>
        <w:rPr>
          <w:rFonts w:ascii="Georgia" w:hAnsi="Georgia"/>
          <w:b/>
          <w:color w:val="0F2C59"/>
          <w:sz w:val="23"/>
        </w:rPr>
        <w:t>⚖ AURELIO HORNILLA &amp; ERNESTO AUBEN v. ATTY. ERNESTO SALDIVAR</w:t>
        <w:br/>
      </w:r>
      <w:r>
        <w:rPr>
          <w:rFonts w:ascii="Calibri" w:hAnsi="Calibri"/>
          <w:b/>
          <w:color w:val="B45309"/>
          <w:sz w:val="19"/>
        </w:rPr>
        <w:t>Citation: A.C. No. 5804, July 1, 2003  |  Governing Anchor: Canon III, Section 13 &amp; 19 (Conflict of Interest in Derivative Suits)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Saldivar was the retained corporate counsel of the Philippine Public School Teachers Association (PPSTA). When minority members filed a derivative suit against the corporate directors for misappropriation of funds, Atty. Saldivar entered his appearance as counsel for the accused directors against the corporation.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Saldivar argued that as retained counsel of the corporation, he was defending the existing board of directors who held lawful management authority over the entity.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corporate counsel may represent the board of directors in a derivative suit filed against them by minority stockholders.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6 MONTHS. The Supreme Court established that in a derivative suit, the real party in interest is the corporation itself. Corporate counsel owes fidelity to the corporate entity, not the individual directors accused of fraud.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corporate counsel owes undivided allegiance to the corporation. In a derivative suit, corporate counsel cannot represent the directors accused of misconduct, as their interests directly conflict with the corporation.</w:t>
            </w:r>
          </w:p>
        </w:tc>
      </w:tr>
    </w:tbl>
    <w:p>
      <w:pPr>
        <w:spacing w:before="0" w:after="80"/>
      </w:pPr>
    </w:p>
    <w:p>
      <w:pPr>
        <w:keepNext/>
        <w:spacing w:before="240" w:after="40"/>
      </w:pPr>
      <w:r>
        <w:rPr>
          <w:rFonts w:ascii="Georgia" w:hAnsi="Georgia"/>
          <w:b/>
          <w:color w:val="0F2C59"/>
          <w:sz w:val="23"/>
        </w:rPr>
        <w:t>⚖ FELICITAS S. QUIAMBAO v. ATTY. NESTOR A. BAMBA</w:t>
        <w:br/>
      </w:r>
      <w:r>
        <w:rPr>
          <w:rFonts w:ascii="Calibri" w:hAnsi="Calibri"/>
          <w:b/>
          <w:color w:val="B45309"/>
          <w:sz w:val="19"/>
        </w:rPr>
        <w:t>Citation: A.C. No. 6708, August 25, 2005  |  Governing Anchor: Canon III, Section 13 (Concurrent Representation of Conflicting Interests)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Bamba served as corporate counsel and legal officer of AIB Company. While holding this post, he accepted an engagement to represent an individual in an ejectment suit against AIB’s president and managing director (Quiambao), involving property linked to the corporate business.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Bamba argued that the ejectment suit was a personal matter between complainant and his client, completely separate from his corporate retainer with AIB Company.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represent a client in a case against an existing client or corporate executive without written informed consent.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held that the prohibition against representing conflicting interests applies regardless of whether the matters are related or completely distinct.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 lawyer cannot represent conflicting interests without written informed consent. Acceptance of a new retainer against an existing client violates absolute fidelity, regardless of whether the subject matters are related.</w:t>
            </w:r>
          </w:p>
        </w:tc>
      </w:tr>
    </w:tbl>
    <w:p>
      <w:pPr>
        <w:spacing w:before="0" w:after="80"/>
      </w:pPr>
    </w:p>
    <w:p>
      <w:pPr>
        <w:keepNext/>
        <w:spacing w:before="240" w:after="40"/>
      </w:pPr>
      <w:r>
        <w:rPr>
          <w:rFonts w:ascii="Georgia" w:hAnsi="Georgia"/>
          <w:b/>
          <w:color w:val="0F2C59"/>
          <w:sz w:val="23"/>
        </w:rPr>
        <w:t>⚖ BLANDINA GAMBOA HILADO v. JOSE GUTIERREZ DAVID</w:t>
        <w:br/>
      </w:r>
      <w:r>
        <w:rPr>
          <w:rFonts w:ascii="Calibri" w:hAnsi="Calibri"/>
          <w:b/>
          <w:color w:val="B45309"/>
          <w:sz w:val="19"/>
        </w:rPr>
        <w:t>Citation: 84 Phil. 569, September 21, 1949 (Foundational Landmark)  |  Governing Anchor: Canon III, Section 2, 17 &amp; 23 (Prospective Client &amp; Inviolability of Confidences)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consulted Atty. Vicente Francisco regarding an estate settlement dispute and provided extensive confidential records. Atty. Francisco later declined the engagement because he was not compensated. Subsequently, Atty. Francisco accepted the retainer to represent the opposing party in the exact same dispute.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Francisco claimed that no formal lawyer-client contract was signed, no legal fees were paid, and that he did not use any confidential information disclosed by complainant.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lawyer-client relationship attaches upon initial consultation to disqualify the lawyer from subsequently representing the opposing party.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DISQUALIFIED FROM REPRESENTATION. The Supreme Court ruled that the fiduciary relation attaches the very moment a prospective client shares confidences with a view to retaining counsel, regardless of whether a contract is perfected or fees are paid.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fiduciary relationship and duty of confidentiality attach upon the initial consultation of a prospective client. A lawyer cannot later represent the opposing party in the same controversy, even if no formal engagement occurred.</w:t>
            </w:r>
          </w:p>
        </w:tc>
      </w:tr>
    </w:tbl>
    <w:p>
      <w:pPr>
        <w:spacing w:before="0" w:after="80"/>
      </w:pPr>
    </w:p>
    <w:p>
      <w:pPr>
        <w:keepNext/>
        <w:spacing w:before="240" w:after="40"/>
      </w:pPr>
      <w:r>
        <w:rPr>
          <w:rFonts w:ascii="Georgia" w:hAnsi="Georgia"/>
          <w:b/>
          <w:color w:val="0F2C59"/>
          <w:sz w:val="23"/>
        </w:rPr>
        <w:t>⚖ TEODORO REGALA ET AL. (ACCRA LAW FIRM) v. SANDIGANBAYAN</w:t>
        <w:br/>
      </w:r>
      <w:r>
        <w:rPr>
          <w:rFonts w:ascii="Calibri" w:hAnsi="Calibri"/>
          <w:b/>
          <w:color w:val="B45309"/>
          <w:sz w:val="19"/>
        </w:rPr>
        <w:t>Citation: G.R. No. 105938, September 20, 1996 (En Banc)  |  Governing Anchor: Canon III, Section 23 (Privileged Communication &amp; Identity of Client)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 a recovery suit involving ill-gotten wealth, the PCGG required ACCRA lawyers to disclose the identities of their clients for whom they organized corporations. When the lawyers refused, citing attorney-client privilege, the Sandiganbayan ordered them to comply under threat of inclusion as co-defendants.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ACCRA lawyers invoked attorney-client privilege, arguing that disclosing the client’s identity in this specific context would furnish the essential link to implicate their client in the very crime charged.</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be compelled to disclose the identity of their client in judicial proceedings.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 GRANTED; LAWYERS PROTECTED. General rule: Client identity is not privileged. Exception: Client identity is strictly privileged where disclosure would furnish the essential link to convict the client, or where it would reveal confidential communications.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As a general rule, a client's identity is not privileged. However, client identity becomes strictly privileged when its revelation would link the client to a crime or expose the substance of confidential communications.</w:t>
            </w:r>
          </w:p>
        </w:tc>
      </w:tr>
    </w:tbl>
    <w:p>
      <w:pPr>
        <w:spacing w:before="0" w:after="80"/>
      </w:pPr>
    </w:p>
    <w:p>
      <w:pPr>
        <w:keepNext/>
        <w:spacing w:before="240" w:after="40"/>
      </w:pPr>
      <w:r>
        <w:rPr>
          <w:rFonts w:ascii="Georgia" w:hAnsi="Georgia"/>
          <w:b/>
          <w:color w:val="0F2C59"/>
          <w:sz w:val="23"/>
        </w:rPr>
        <w:t>⚖ CELSO M. BURBE v. ATTY. ALBERTO C. MAGULTA</w:t>
        <w:br/>
      </w:r>
      <w:r>
        <w:rPr>
          <w:rFonts w:ascii="Calibri" w:hAnsi="Calibri"/>
          <w:b/>
          <w:color w:val="B45309"/>
          <w:sz w:val="19"/>
        </w:rPr>
        <w:t>Citation: A.C. No. 99-634, June 10, 2002  |  Governing Anchor: Canon III, Section 41–48 (Client Funds Misappropriation &amp; Fiduciary Trust)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engaged Atty. Magulta to file a civil complaint for breach of contract and paid him ₱25,000.00 for filing fees and filing expenses. Instead of filing the case, the lawyer misappropriated the money for personal use and falsely claimed that the court was processing the case.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Magulta claimed that complainant owed him legal fees and that he applied the filing fees as compensation under his attorney's lien.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unilaterally apply client filing fees toward unpaid attorney's fees without the client's consent.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THE PRACTICE OF LAW FOR 1 YEAR. The Supreme Court held that money entrusted to a lawyer for a specific purpose (filing fees) is held in trust. The lawyer has no right to misappropriate or unilaterally offset it against attorney's fees.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Client money received for a specific purpose (such as filing fees) is held in sacred trust. A lawyer cannot commingle, misappropriate, or unilaterally convert client funds to satisfy legal fees.</w:t>
            </w:r>
          </w:p>
        </w:tc>
      </w:tr>
    </w:tbl>
    <w:p>
      <w:pPr>
        <w:spacing w:before="0" w:after="80"/>
      </w:pPr>
    </w:p>
    <w:p>
      <w:pPr>
        <w:keepNext/>
        <w:spacing w:before="240" w:after="40"/>
      </w:pPr>
      <w:r>
        <w:rPr>
          <w:rFonts w:ascii="Georgia" w:hAnsi="Georgia"/>
          <w:b/>
          <w:color w:val="0F2C59"/>
          <w:sz w:val="23"/>
        </w:rPr>
        <w:t>⚖ TERRY ADAMS FOSTER v. ATTY. ELIZABETH AGTANG</w:t>
        <w:br/>
      </w:r>
      <w:r>
        <w:rPr>
          <w:rFonts w:ascii="Calibri" w:hAnsi="Calibri"/>
          <w:b/>
          <w:color w:val="B45309"/>
          <w:sz w:val="19"/>
        </w:rPr>
        <w:t>Citation: A.C. No. 10579, December 10, 2014 (En Banc)  |  Governing Anchor: Canon III, Section 43 &amp; 49 (Borrowing from Client &amp; Unconscionable Fees)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Agtang represented complainant in purchasing real property. During the relationship, she borrowed substantial amounts of money from her client, collected exorbitant unauthorized fees totaling over ₱1.2 million, and failed to return the funds despite repeated demands.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Agtang claimed that the money received represented genuine loans and reasonable attorney's fees agreed upon for her extensive legal services.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 may borrow money from a client and charge unconscionable fees without proper accounting.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AND ORDERED TO RESTITUTE FUNDS. The Supreme Court held that borrowing money from a client erodes the fiduciary relationship and creates an impermissible conflict of interest. Taking financial advantage of a client warrants disbarment.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Lawyers are strictly prohibited from borrowing money from a client or taking unfair financial advantage of the fiduciary engagement. Charging unconscionable fees and failing to account for client funds warrants disbarment.</w:t>
            </w:r>
          </w:p>
        </w:tc>
      </w:tr>
    </w:tbl>
    <w:p>
      <w:pPr>
        <w:spacing w:before="0" w:after="80"/>
      </w:pPr>
    </w:p>
    <w:p>
      <w:pPr>
        <w:keepNext/>
        <w:spacing w:before="240" w:after="40"/>
      </w:pPr>
      <w:r>
        <w:rPr>
          <w:rFonts w:ascii="Georgia" w:hAnsi="Georgia"/>
          <w:b/>
          <w:color w:val="0F2C59"/>
          <w:sz w:val="23"/>
        </w:rPr>
        <w:t>⚖ JOSEFINA M. PALMA v. ATTY. GENEROSO MADURAMENTE</w:t>
        <w:br/>
      </w:r>
      <w:r>
        <w:rPr>
          <w:rFonts w:ascii="Calibri" w:hAnsi="Calibri"/>
          <w:b/>
          <w:color w:val="B45309"/>
          <w:sz w:val="19"/>
        </w:rPr>
        <w:t>Citation: A.C. No. 8055, July 4, 2012  |  Governing Anchor: Canon IV, Section 1 &amp; 3 (Gross Negligence &amp; Failure to File Pleadings)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Complainant engaged Atty. Maduramente to represent her in a civil case and paid him acceptance fees. The lawyer failed to file the required pre-trial brief, missed pre-trial hearings, and failed to submit a notice of appeal, resulting in the judgment becoming final and executory against the client.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Atty. Maduramente claimed that he suffered from severe health problems and that his office clerk inadvertently failed to calendar the deadlines.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lawyer’s failure to file crucial pleadings resulting in an adverse final judgment constitutes gross negligence under legal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SUSPENDED FROM PRACTICE FOR 2 YEARS. The Supreme Court ruled that acceptance of a retainer binds the lawyer to serve with competence and diligence. Delegating responsibility to an office clerk does not relieve the lawyer of primary accountability.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Acceptance of a case obligates a lawyer to serve the client with competence and diligence. Gross negligence that deprives a client of their day in court constitutes a serious ethical violation.</w:t>
            </w:r>
          </w:p>
        </w:tc>
      </w:tr>
    </w:tbl>
    <w:p>
      <w:pPr>
        <w:spacing w:before="0" w:after="80"/>
      </w:pPr>
    </w:p>
    <w:p>
      <w:pPr>
        <w:keepNext/>
        <w:spacing w:before="240" w:after="40"/>
      </w:pPr>
      <w:r>
        <w:rPr>
          <w:rFonts w:ascii="Georgia" w:hAnsi="Georgia"/>
          <w:b/>
          <w:color w:val="0F2C59"/>
          <w:sz w:val="23"/>
        </w:rPr>
        <w:t>⚖ ANTERO J. POBRE v. SEN. MIRIAM DEFENSOR-SANTIAGO</w:t>
        <w:br/>
      </w:r>
      <w:r>
        <w:rPr>
          <w:rFonts w:ascii="Calibri" w:hAnsi="Calibri"/>
          <w:b/>
          <w:color w:val="B45309"/>
          <w:sz w:val="19"/>
        </w:rPr>
        <w:t>Citation: A.C. No. 7399, August 25, 2009 (En Banc)  |  Governing Anchor: Canon V (Equality) &amp; Parliamentary Immunity vs Bar Discipline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Senator Miriam Defensor-Santiago delivered an impassioned privilege speech on the Senate floor in which she uttered harsh, insulting, and derogatory remarks against the Chief Justice and the Supreme Court. An administrative disbarment complaint was filed against her by a private citizen for violating the Code of Professional Responsibility.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Senator Santiago asserted absolute parliamentary immunity under Article VI, Section 11 of the 1987 Constitution for speeches delivered in the legislature.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lawyer-legislator may be disbarred or administratively disciplined by the Supreme Court for statements made during a privilege speech in Congress.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DISMISSED DUE TO PARLIAMENTARY IMMUNITY, BUT STRICTLY ADMONISHED. The Supreme Court recognized that parliamentary immunity protects legislators from judicial punishment for speeches made on the floor. However, the Court expressed deep regret and reminded lawyer-legislators that their oath requires dignity, sobriety, and respect for the judiciary.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Parliamentary immunity shields lawyer-legislators from civil and criminal liability for speeches delivered on the floor of Congress. However, lawyer-legislators remain morally bound by their Lawyer's Oath to observe civility and respect toward the courts.</w:t>
            </w:r>
          </w:p>
        </w:tc>
      </w:tr>
    </w:tbl>
    <w:p>
      <w:pPr>
        <w:spacing w:before="0" w:after="80"/>
      </w:pPr>
    </w:p>
    <w:p>
      <w:pPr>
        <w:keepNext/>
        <w:spacing w:before="240" w:after="40"/>
      </w:pPr>
      <w:r>
        <w:rPr>
          <w:rFonts w:ascii="Georgia" w:hAnsi="Georgia"/>
          <w:b/>
          <w:color w:val="0F2C59"/>
          <w:sz w:val="23"/>
        </w:rPr>
        <w:t>⚖ OFFICE OF THE COURT ADMINISTRATOR v. ATTY. ERNESTO LIANGCO</w:t>
        <w:br/>
      </w:r>
      <w:r>
        <w:rPr>
          <w:rFonts w:ascii="Calibri" w:hAnsi="Calibri"/>
          <w:b/>
          <w:color w:val="B45309"/>
          <w:sz w:val="19"/>
        </w:rPr>
        <w:t>Citation: A.C. No. 7676, November 20, 2012 (En Banc)  |  Governing Anchor: Canon VI, Section 1 &amp; 33 (Disciplinary Sanctions on Lawyer-Judges)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Liangco was dismissed from judicial service for gross ignorance of the law and gross misconduct for issuing an unauthorized warrant of arrest and deciding a case without conducting a trial. Following his dismissal as judge, administrative disciplinary proceedings were instituted against him as a member of the Bar.</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Liangco argued that he had already been punished by dismissal from judicial service, and that subjecting him to disbarment constituted double jeopardy.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dismissed judge may also be disbarred from the practice of law based on the same acts of gross misconduct committed while on the bench.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DISBARRED. The Supreme Court ruled that double jeopardy does not apply to administrative disciplinary proceedings. Gross misconduct committed by a judge reflects directly on their fitness to remain a member of the legal profession.</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Dismissal from judicial service does not preclude disbarment. Disciplinary proceedings are sui generis; gross misconduct on the bench constitutes ground for removing the respondent's name from the Roll of Attorneys.</w:t>
            </w:r>
          </w:p>
        </w:tc>
      </w:tr>
    </w:tbl>
    <w:p>
      <w:pPr>
        <w:spacing w:before="0" w:after="80"/>
      </w:pPr>
    </w:p>
    <w:p>
      <w:pPr>
        <w:keepNext/>
        <w:spacing w:before="240" w:after="40"/>
      </w:pPr>
      <w:r>
        <w:rPr>
          <w:rFonts w:ascii="Georgia" w:hAnsi="Georgia"/>
          <w:b/>
          <w:color w:val="0F2C59"/>
          <w:sz w:val="23"/>
        </w:rPr>
        <w:t>⚖ ATTY. MAURICIO C. ULEP v. THE LEGAL CLINIC, INC.</w:t>
        <w:br/>
      </w:r>
      <w:r>
        <w:rPr>
          <w:rFonts w:ascii="Calibri" w:hAnsi="Calibri"/>
          <w:b/>
          <w:color w:val="B45309"/>
          <w:sz w:val="19"/>
        </w:rPr>
        <w:t>Citation: B.M. No. 553, June 17, 1993 (En Banc Landmark)  |  Governing Anchor: CPRA Canon II, Section 17 (Advertising &amp; Practice of Law as Profession)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Legal Clinic, Inc. published commercial advertisements in national newspapers offering legal services, assistance on secret marriages, divorces in Guam, and annulments. Atty. Ulep filed a petition to restrain the company, alleging unauthorized practice of law and illegal advertising.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Legal Clinic argued that it was not engaged in the practice of law, but merely offered administrative, clerical, and paralegal assistance, which is protected under commercial freedom of enterprise.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providing legal services through commercial corporate advertisements violates legal ethics and the prohibition on commercializing law practice.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ORDERED TO CEASE AND DESIST. The Supreme Court held that the practice of law is a profession, not a commercial enterprise or trade. Corporations cannot practice law, and legal services cannot be advertised like ordinary merchant commodities.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practice of law is a noble profession, not a money-making trade. Commercial advertising of legal services is strictly prohibited, as it debases the dignity of the profession.</w:t>
            </w:r>
          </w:p>
        </w:tc>
      </w:tr>
    </w:tbl>
    <w:p>
      <w:pPr>
        <w:spacing w:before="0" w:after="80"/>
      </w:pPr>
    </w:p>
    <w:p>
      <w:pPr>
        <w:keepNext/>
        <w:spacing w:before="280" w:after="80"/>
      </w:pPr>
      <w:r>
        <w:rPr>
          <w:rFonts w:ascii="Georgia" w:hAnsi="Georgia"/>
          <w:b/>
          <w:color w:val="B45309"/>
          <w:sz w:val="25"/>
        </w:rPr>
        <w:t>MODULE C: JUDICIAL ETHICS LANDMARK JURISPRUDENCE (CJCA &amp; NCJC)</w:t>
      </w:r>
    </w:p>
    <w:p>
      <w:pPr>
        <w:keepNext/>
        <w:spacing w:before="240" w:after="40"/>
      </w:pPr>
      <w:r>
        <w:rPr>
          <w:rFonts w:ascii="Georgia" w:hAnsi="Georgia"/>
          <w:b/>
          <w:color w:val="0F2C59"/>
          <w:sz w:val="23"/>
        </w:rPr>
        <w:t>⚖ CONRADO VIDAL v. JUDGE ROLANDO DOJILLO, JR.</w:t>
        <w:br/>
      </w:r>
      <w:r>
        <w:rPr>
          <w:rFonts w:ascii="Calibri" w:hAnsi="Calibri"/>
          <w:b/>
          <w:color w:val="B45309"/>
          <w:sz w:val="19"/>
        </w:rPr>
        <w:t>Citation: A.M. No. MTJ-05-1591, July 14, 2005  |  Governing Anchor: CJCA Canon III (Impartiality) &amp; Canon I (Independence)</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Dojillo attended court hearings of an election protest pending in another judge's sala involving his brother, sat beside his brother's legal counsel, and spoke with court staff during trial recesses.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Dojillo argued that he was merely attending the hearing as a concerned brother in his private capacity and did not say a word to the presiding judge on the bench.</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judge's physical presence and proximity to counsel in another courtroom creates an appearance of improper influence violating judicial impartiality.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FOUND GUILTY OF CONDUCT UNBECOMING OF A JUDGE. The Supreme Court fined the judge, holding that magistrates must avoid not only actual impropriety but also the appearance of impropriety. A judge's presence carries inherent institutional weight that creates an appearance of influence.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must preserve the cold neutrality of an impartial magistrate. A judge must avoid any conduct or physical presence in another courtroom that could reasonably create the impression of exerting influence.</w:t>
            </w:r>
          </w:p>
        </w:tc>
      </w:tr>
    </w:tbl>
    <w:p>
      <w:pPr>
        <w:spacing w:before="0" w:after="80"/>
      </w:pPr>
    </w:p>
    <w:p>
      <w:pPr>
        <w:keepNext/>
        <w:spacing w:before="240" w:after="40"/>
      </w:pPr>
      <w:r>
        <w:rPr>
          <w:rFonts w:ascii="Georgia" w:hAnsi="Georgia"/>
          <w:b/>
          <w:color w:val="0F2C59"/>
          <w:sz w:val="23"/>
        </w:rPr>
        <w:t>⚖ ROLANDO GO v. COURT OF APPEALS &amp; PEOPLE OF THE PHILIPPINES</w:t>
        <w:br/>
      </w:r>
      <w:r>
        <w:rPr>
          <w:rFonts w:ascii="Calibri" w:hAnsi="Calibri"/>
          <w:b/>
          <w:color w:val="B45309"/>
          <w:sz w:val="19"/>
        </w:rPr>
        <w:t>Citation: G.R. No. 101837, February 11, 1992  |  Governing Anchor: CJCA Canon III, Sections 11–13 (Mandatory Disqualification vs Voluntary Inhibition)</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Petitioner Rolando Go filed a motion for the voluntary inhibition of the presiding trial judge, alleging that the judge had expressed prejudgment of guilt in bail hearings and exhibited personal hostility toward defense counsel.</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trial judge refused to inhibit, maintaining that none of the mandatory grounds for disqualification under Rule 137 were present, and that he could decide the case with cold neutrality.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What are the governing standards for voluntary inhibition of a trial judge under judicial ethics.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INHIBITION UPHELD. The Supreme Court held that while the grounds did not fall under mandatory disqualification, a judge should voluntarily inhibit if their impartiality might reasonably be questioned, in order to preserve the appearance of justice.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Where a judge's impartiality is subject to reasonable suspicion, voluntary inhibition is the better course of action. Justice must not only be done, but must also be seen to be done.</w:t>
            </w:r>
          </w:p>
        </w:tc>
      </w:tr>
    </w:tbl>
    <w:p>
      <w:pPr>
        <w:spacing w:before="0" w:after="80"/>
      </w:pPr>
    </w:p>
    <w:p>
      <w:pPr>
        <w:keepNext/>
        <w:spacing w:before="240" w:after="40"/>
      </w:pPr>
      <w:r>
        <w:rPr>
          <w:rFonts w:ascii="Georgia" w:hAnsi="Georgia"/>
          <w:b/>
          <w:color w:val="0F2C59"/>
          <w:sz w:val="23"/>
        </w:rPr>
        <w:t>⚖ EDGARDO PADILLA v. JUDGE SALVADOR ZANTUA</w:t>
        <w:br/>
      </w:r>
      <w:r>
        <w:rPr>
          <w:rFonts w:ascii="Calibri" w:hAnsi="Calibri"/>
          <w:b/>
          <w:color w:val="B45309"/>
          <w:sz w:val="19"/>
        </w:rPr>
        <w:t>Citation: A.M. No. MTJ-93-888, October 24, 1994  |  Governing Anchor: CJCA Canon IV (Propriety), Decorum &amp; Judicial Temperament</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Zantua conducted court hearings while wearing a casual round-neck shirt instead of the prescribed black judicial robe, arrived late for hearings, and engaged in heated verbal altercations with practicing lawyers in open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that the courtroom was uncomfortably hot without air-conditioning, that traffic caused unavoidable delays, and that he was merely maintaining order against disrespectful counsel.</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conducting hearings without judicial attire and exhibiting bad judicial temperament violate judicial propriety.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FINED AND ADMONISHED. The Supreme Court held that wearing the black judicial robe is a mandatory symbol of authority and solemnity under Administrative Circular No. 25. A judge must personify patience, dignified decorum, and judicial temperament.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black judicial robe is an indispensable symbol of judicial authority and dignity. A judge must maintain dignified decorum, punctuality, and judicial temperament at all times.</w:t>
            </w:r>
          </w:p>
        </w:tc>
      </w:tr>
    </w:tbl>
    <w:p>
      <w:pPr>
        <w:spacing w:before="0" w:after="80"/>
      </w:pPr>
    </w:p>
    <w:p>
      <w:pPr>
        <w:keepNext/>
        <w:spacing w:before="240" w:after="40"/>
      </w:pPr>
      <w:r>
        <w:rPr>
          <w:rFonts w:ascii="Georgia" w:hAnsi="Georgia"/>
          <w:b/>
          <w:color w:val="0F2C59"/>
          <w:sz w:val="23"/>
        </w:rPr>
        <w:t>⚖ MATEO ALFONSO v. JUDGE FORTUNATO JUANSON</w:t>
        <w:br/>
      </w:r>
      <w:r>
        <w:rPr>
          <w:rFonts w:ascii="Calibri" w:hAnsi="Calibri"/>
          <w:b/>
          <w:color w:val="B45309"/>
          <w:sz w:val="19"/>
        </w:rPr>
        <w:t>Citation: A.M. No. RTJ-92-904, December 7, 1993  |  Governing Anchor: CJCA Canon IV, Section 19 (Financial &amp; Business Integrity of Judges)</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Juanson obtained personal loans from litigants who had pending cases in his sala, and engaged in private lending and commercial business transactions using his court staff.</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judge claimed that the financial transactions were private business dealings completely unrelated to his adjudicative rulings.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 may engage in business transactions or borrow money from litigants having pending matters before the court.</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DISMISSED FROM JUDICIAL SERVICE WITH FORFEITURE OF RETIREMENT BENEFITS. The Supreme Court ruled that engaging in financial transactions with litigants is a grave offense that completely destroys judicial independence and integrity.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Judges are strictly prohibited from engaging in financial dealings or borrowing money from litigants. Such conduct constitutes corrupt misconduct warranting dismissal from the Judiciary.</w:t>
            </w:r>
          </w:p>
        </w:tc>
      </w:tr>
    </w:tbl>
    <w:p>
      <w:pPr>
        <w:spacing w:before="0" w:after="80"/>
      </w:pPr>
    </w:p>
    <w:p>
      <w:pPr>
        <w:keepNext/>
        <w:spacing w:before="240" w:after="40"/>
      </w:pPr>
      <w:r>
        <w:rPr>
          <w:rFonts w:ascii="Georgia" w:hAnsi="Georgia"/>
          <w:b/>
          <w:color w:val="0F2C59"/>
          <w:sz w:val="23"/>
        </w:rPr>
        <w:t>⚖ ATTY. JOSE SISON v. JUDGE JOSE CAOIBES, JR.</w:t>
        <w:br/>
      </w:r>
      <w:r>
        <w:rPr>
          <w:rFonts w:ascii="Calibri" w:hAnsi="Calibri"/>
          <w:b/>
          <w:color w:val="B45309"/>
          <w:sz w:val="19"/>
        </w:rPr>
        <w:t>Citation: A.M. No. RTJ-03-1771, May 27, 2004  |  Governing Anchor: CJCA Canon IV &amp; Canon I (Arbitrary Exercise of Contempt Power)</w:t>
      </w:r>
    </w:p>
    <w:tbl>
      <w:tblPr>
        <w:tblW w:type="auto" w:w="0"/>
        <w:jc w:val="center"/>
        <w:tblLook w:firstColumn="1" w:firstRow="1" w:lastColumn="0" w:lastRow="0" w:noHBand="0" w:noVBand="1" w:val="04A0"/>
      </w:tblPr>
      <w:tblGrid>
        <w:gridCol w:w="4680"/>
        <w:gridCol w:w="4680"/>
      </w:tblGrid>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Facts:</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Following a minor traffic altercation involving the judge’s son and a lawyer, Judge Caoibes issued an immediate order citing the lawyer in direct contempt of court and ordered his summary arrest, even though the incident had nothing to do with any court proceeding.</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Accused's Defense:</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Judge Caoibes claimed that the lawyer insulted a member of his family, which indirectly insulted the dignity of the judicial office.</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Issue:</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Whether a judge may invoke contempt powers to avenge personal or family grievances.</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Ruling / Holding:</w:t>
            </w:r>
          </w:p>
        </w:tc>
        <w:tc>
          <w:tcPr>
            <w:tcW w:type="dxa" w:w="7344"/>
            <w:tcMar>
              <w:top w:w="60" w:type="dxa"/>
              <w:bottom w:w="60" w:type="dxa"/>
              <w:left w:w="80" w:type="dxa"/>
              <w:right w:w="80" w:type="dxa"/>
            </w:tcMar>
            <w:shd w:val="clear" w:color="auto" w:fill="FFFFFF"/>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FINED AND SUSPENDED. The Supreme Court held that the contempt power is a drastic tool intended to preserve court authority, not a weapon for personal retaliation. Using judicial power to settle personal scores constitutes gross oppression and grave abuse of authority.</w:t>
            </w:r>
          </w:p>
        </w:tc>
      </w:tr>
      <w:tr>
        <w:tc>
          <w:tcPr>
            <w:tcW w:type="dxa" w:w="2016"/>
            <w:tcMar>
              <w:top w:w="60" w:type="dxa"/>
              <w:bottom w:w="60" w:type="dxa"/>
              <w:left w:w="80" w:type="dxa"/>
              <w:right w:w="80" w:type="dxa"/>
            </w:tcMar>
            <w:shd w:val="clear" w:color="auto" w:fill="EEF2F6"/>
            <w:tcBorders>
              <w:top w:val="single" w:sz="4" w:space="0" w:color="D0D7DE"/>
              <w:bottom w:val="single" w:sz="4" w:space="0" w:color="D0D7DE"/>
              <w:left w:val="single" w:sz="8" w:space="0" w:color="0F2C59"/>
              <w:right w:val="single" w:sz="4" w:space="0" w:color="D0D7DE"/>
            </w:tcBorders>
          </w:tcPr>
          <w:p>
            <w:pPr>
              <w:spacing w:before="0" w:after="0" w:line="264" w:lineRule="auto"/>
            </w:pPr>
            <w:r>
              <w:rPr>
                <w:rFonts w:ascii="Calibri" w:hAnsi="Calibri"/>
                <w:b/>
                <w:color w:val="0F2C59"/>
                <w:sz w:val="19"/>
              </w:rPr>
              <w:t>Doctrinal Takeaway:</w:t>
            </w:r>
          </w:p>
        </w:tc>
        <w:tc>
          <w:tcPr>
            <w:tcW w:type="dxa" w:w="7344"/>
            <w:tcMar>
              <w:top w:w="60" w:type="dxa"/>
              <w:bottom w:w="60" w:type="dxa"/>
              <w:left w:w="80" w:type="dxa"/>
              <w:right w:w="80" w:type="dxa"/>
            </w:tcMar>
            <w:shd w:val="clear" w:color="auto" w:fill="F8FAFC"/>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9"/>
              </w:rPr>
              <w:t>The judicial power of contempt must be exercised with restraint and sobriety for public purposes only. Using contempt to avenge personal or familial grievances constitutes gross abuse of authority.</w:t>
            </w:r>
          </w:p>
        </w:tc>
      </w:tr>
    </w:tbl>
    <w:p>
      <w:pPr>
        <w:spacing w:before="0" w:after="80"/>
      </w:pPr>
    </w:p>
    <w:p>
      <w:pPr>
        <w:keepNext/>
        <w:spacing w:before="360" w:after="120"/>
      </w:pPr>
      <w:r>
        <w:rPr>
          <w:rFonts w:ascii="Georgia" w:hAnsi="Georgia"/>
          <w:b/>
          <w:color w:val="0F2C59"/>
          <w:sz w:val="30"/>
        </w:rPr>
        <w:t>PART IV: MASTER SYNTHESIS &amp; HIGH-YIELD BAR EXAM MATRICES</w:t>
      </w:r>
    </w:p>
    <w:p>
      <w:pPr>
        <w:keepNext/>
        <w:spacing w:before="280" w:after="80"/>
      </w:pPr>
      <w:r>
        <w:rPr>
          <w:rFonts w:ascii="Georgia" w:hAnsi="Georgia"/>
          <w:b/>
          <w:color w:val="B45309"/>
          <w:sz w:val="25"/>
        </w:rPr>
        <w:t>1. CPRA DISCIPLINARY OFFENSES &amp; PENALTIES MATRIX (CANON VI)</w:t>
      </w:r>
    </w:p>
    <w:p>
      <w:pPr>
        <w:spacing w:before="0" w:after="80" w:line="276" w:lineRule="auto"/>
      </w:pPr>
      <w:r>
        <w:rPr>
          <w:rFonts w:ascii="Calibri" w:hAnsi="Calibri"/>
          <w:i w:val="0"/>
          <w:color w:val="282828"/>
          <w:sz w:val="21"/>
        </w:rPr>
        <w:t>The CPRA establishes a three-tier classification of administrative offenses with designated penalties and modifying circumstance rules:</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F2C59"/>
            <w:tcMar>
              <w:top w:w="80" w:type="dxa"/>
              <w:bottom w:w="80" w:type="dxa"/>
              <w:left w:w="100" w:type="dxa"/>
              <w:right w:w="100" w:type="dxa"/>
            </w:tcMar>
          </w:tcPr>
          <w:p>
            <w:pPr>
              <w:jc w:val="center"/>
            </w:pPr>
            <w:r>
              <w:rPr>
                <w:rFonts w:ascii="Georgia" w:hAnsi="Georgia"/>
                <w:b/>
                <w:color w:val="FFFFFF"/>
                <w:sz w:val="19"/>
              </w:rPr>
              <w:t>OFFENSE LEVEL</w:t>
            </w:r>
          </w:p>
        </w:tc>
        <w:tc>
          <w:tcPr>
            <w:tcW w:type="dxa" w:w="3744"/>
            <w:shd w:val="clear" w:color="auto" w:fill="0F2C59"/>
            <w:tcMar>
              <w:top w:w="80" w:type="dxa"/>
              <w:bottom w:w="80" w:type="dxa"/>
              <w:left w:w="100" w:type="dxa"/>
              <w:right w:w="100" w:type="dxa"/>
            </w:tcMar>
          </w:tcPr>
          <w:p>
            <w:pPr>
              <w:jc w:val="center"/>
            </w:pPr>
            <w:r>
              <w:rPr>
                <w:rFonts w:ascii="Georgia" w:hAnsi="Georgia"/>
                <w:b/>
                <w:color w:val="FFFFFF"/>
                <w:sz w:val="19"/>
              </w:rPr>
              <w:t>KEY QUALIFYING ACTS</w:t>
            </w:r>
          </w:p>
        </w:tc>
        <w:tc>
          <w:tcPr>
            <w:tcW w:type="dxa" w:w="3456"/>
            <w:shd w:val="clear" w:color="auto" w:fill="0F2C59"/>
            <w:tcMar>
              <w:top w:w="80" w:type="dxa"/>
              <w:bottom w:w="80" w:type="dxa"/>
              <w:left w:w="100" w:type="dxa"/>
              <w:right w:w="100" w:type="dxa"/>
            </w:tcMar>
          </w:tcPr>
          <w:p>
            <w:pPr>
              <w:jc w:val="center"/>
            </w:pPr>
            <w:r>
              <w:rPr>
                <w:rFonts w:ascii="Georgia" w:hAnsi="Georgia"/>
                <w:b/>
                <w:color w:val="FFFFFF"/>
                <w:sz w:val="19"/>
              </w:rPr>
              <w:t>PRESCRIBED PENALTIES (SEC. 37)</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B45309"/>
                <w:sz w:val="18"/>
              </w:rPr>
              <w:t>SERIOUS OFFENSES</w:t>
              <w:br/>
              <w:t>(Section 33)</w:t>
            </w:r>
          </w:p>
        </w:tc>
        <w:tc>
          <w:tcPr>
            <w:tcW w:type="dxa" w:w="3744"/>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Gross misconduct &amp; serious dishonesty</w:t>
              <w:br/>
              <w:t>• Bribery, corruption, extortion</w:t>
              <w:br/>
              <w:t>• Misappropriation of client funds</w:t>
              <w:br/>
              <w:t>• Gross negligence causing loss of day in court</w:t>
              <w:br/>
              <w:t>• Conviction of crime involving moral turpitude</w:t>
              <w:br/>
              <w:t>• Sexual abuse, harassment, gender-based violence</w:t>
              <w:br/>
              <w:t>• Grossly immoral conduct</w:t>
            </w:r>
          </w:p>
        </w:tc>
        <w:tc>
          <w:tcPr>
            <w:tcW w:type="dxa" w:w="3456"/>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Disbarment; or</w:t>
              <w:br/>
              <w:t>2. Suspension from practice of law for 1 to 5 years; or</w:t>
              <w:br/>
              <w:t>3. Fine exceeding ₱100,000.00 up to ₱500,000.00; or</w:t>
              <w:br/>
              <w:t>4. Both Suspension and Fine.</w:t>
            </w:r>
          </w:p>
        </w:tc>
      </w:tr>
      <w:tr>
        <w:tc>
          <w:tcPr>
            <w:tcW w:type="dxa" w:w="2160"/>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LESS SERIOUS OFFENSES</w:t>
              <w:br/>
              <w:t>(Section 34)</w:t>
            </w:r>
          </w:p>
        </w:tc>
        <w:tc>
          <w:tcPr>
            <w:tcW w:type="dxa" w:w="3744"/>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Simple misconduct without manifest corruption</w:t>
              <w:br/>
              <w:t>• Simple negligence without loss of day in court</w:t>
              <w:br/>
              <w:t>• Unwarranted delay in filing pleadings</w:t>
              <w:br/>
              <w:t>• Violation of SC/IBP administrative issuances</w:t>
              <w:br/>
              <w:t>• Failure to comply with MCLE</w:t>
              <w:br/>
              <w:t>• Improper advertising / commercial solicitation</w:t>
            </w:r>
          </w:p>
        </w:tc>
        <w:tc>
          <w:tcPr>
            <w:tcW w:type="dxa" w:w="3456"/>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Suspension from practice for 1 month to 1 year; or</w:t>
              <w:br/>
              <w:t>2. Fine of ₱35,000.00 to ₱100,000.00; or</w:t>
              <w:br/>
              <w:t>3. Both Suspension and Fine.</w:t>
            </w:r>
          </w:p>
        </w:tc>
      </w:tr>
      <w:tr>
        <w:tc>
          <w:tcPr>
            <w:tcW w:type="dxa" w:w="2160"/>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b/>
                <w:color w:val="0F2C59"/>
                <w:sz w:val="18"/>
              </w:rPr>
              <w:t>LIGHT OFFENSES</w:t>
              <w:br/>
              <w:t>(Section 35)</w:t>
            </w:r>
          </w:p>
        </w:tc>
        <w:tc>
          <w:tcPr>
            <w:tcW w:type="dxa" w:w="3744"/>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 Non-payment of IBP chapter dues</w:t>
              <w:br/>
              <w:t>• Use of vulgar/intemperate words in private life</w:t>
              <w:br/>
              <w:t>• Fraternizing with court personnel with pending cases</w:t>
              <w:br/>
              <w:t>• Minor procedural and decorum infractions</w:t>
            </w:r>
          </w:p>
        </w:tc>
        <w:tc>
          <w:tcPr>
            <w:tcW w:type="dxa" w:w="3456"/>
            <w:shd w:val="clear" w:color="auto" w:fill="F8FAFC"/>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282828"/>
                <w:sz w:val="18"/>
              </w:rPr>
              <w:t>1. Reprimand; or</w:t>
              <w:br/>
              <w:t>2. Admonition with stern warning; or</w:t>
              <w:br/>
              <w:t>3. Fine of ₱1,000.00 to ₱35,000.00; or</w:t>
              <w:br/>
              <w:t>4. Both Reprimand/Admonition and Fine.</w:t>
            </w:r>
          </w:p>
        </w:tc>
      </w:tr>
    </w:tbl>
    <w:p>
      <w:pPr>
        <w:spacing w:before="120" w:after="120"/>
      </w:pPr>
    </w:p>
    <w:p>
      <w:pPr>
        <w:keepNext/>
        <w:spacing w:before="280" w:after="80"/>
      </w:pPr>
      <w:r>
        <w:rPr>
          <w:rFonts w:ascii="Georgia" w:hAnsi="Georgia"/>
          <w:b/>
          <w:color w:val="B45309"/>
          <w:sz w:val="25"/>
        </w:rPr>
        <w:t>2. SOCIAL MEDIA &amp; DIGITAL ETHICS: HIGH-YIELD DO'S &amp; DON'TS MATRIX</w:t>
      </w:r>
    </w:p>
    <w:tbl>
      <w:tblPr>
        <w:tblW w:type="auto" w:w="0"/>
        <w:jc w:val="center"/>
        <w:tblLook w:firstColumn="1" w:firstRow="1" w:lastColumn="0" w:lastRow="0" w:noHBand="0" w:noVBand="1" w:val="04A0"/>
      </w:tblPr>
      <w:tblGrid>
        <w:gridCol w:w="4680"/>
        <w:gridCol w:w="4680"/>
      </w:tblGrid>
      <w:tr>
        <w:tc>
          <w:tcPr>
            <w:tcW w:type="dxa" w:w="4608"/>
            <w:shd w:val="clear" w:color="auto" w:fill="047857"/>
            <w:tcMar>
              <w:top w:w="80" w:type="dxa"/>
              <w:bottom w:w="80" w:type="dxa"/>
              <w:left w:w="100" w:type="dxa"/>
              <w:right w:w="100" w:type="dxa"/>
            </w:tcMar>
          </w:tcPr>
          <w:p>
            <w:pPr>
              <w:jc w:val="center"/>
            </w:pPr>
            <w:r>
              <w:rPr>
                <w:rFonts w:ascii="Georgia" w:hAnsi="Georgia"/>
                <w:b/>
                <w:color w:val="FFFFFF"/>
                <w:sz w:val="19"/>
              </w:rPr>
              <w:t>PERMISSIBLE ACTS (DO'S)</w:t>
            </w:r>
          </w:p>
        </w:tc>
        <w:tc>
          <w:tcPr>
            <w:tcW w:type="dxa" w:w="4752"/>
            <w:shd w:val="clear" w:color="auto" w:fill="991B1B"/>
            <w:tcMar>
              <w:top w:w="80" w:type="dxa"/>
              <w:bottom w:w="80" w:type="dxa"/>
              <w:left w:w="100" w:type="dxa"/>
              <w:right w:w="100" w:type="dxa"/>
            </w:tcMar>
          </w:tcPr>
          <w:p>
            <w:pPr>
              <w:jc w:val="center"/>
            </w:pPr>
            <w:r>
              <w:rPr>
                <w:rFonts w:ascii="Georgia" w:hAnsi="Georgia"/>
                <w:b/>
                <w:color w:val="FFFFFF"/>
                <w:sz w:val="19"/>
              </w:rPr>
              <w:t>PROHIBITED ETHICAL INFRACTIONS (DON'TS)</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Disseminating accurate, educational, and general legal info to promote public legal literacy (Sec. 43).</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Giving specific legal advice on user-submitted facts online without conflict checking and formal retainer (Sec. 43).</w:t>
            </w:r>
          </w:p>
        </w:tc>
      </w:tr>
      <w:tr>
        <w:tc>
          <w:tcPr>
            <w:tcW w:type="dxa" w:w="460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Maintaining professional, verified social media accounts with appropriate privacy &amp; 2FA security (Sec. 36 &amp; 41).</w:t>
            </w:r>
          </w:p>
        </w:tc>
        <w:tc>
          <w:tcPr>
            <w:tcW w:type="dxa" w:w="475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Creating troll, fake, bot, sockpuppet, or anonymous accounts to attack others, harass, or evade liability (Sec. 39).</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Expressing fair, sober, and respectful academic commentary on settled jurisprudence.</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Making public comments, vlogs, or posts on pending cases that prejudice or influence judicial outcome (Sub Judice, Sec. 19).</w:t>
            </w:r>
          </w:p>
        </w:tc>
      </w:tr>
      <w:tr>
        <w:tc>
          <w:tcPr>
            <w:tcW w:type="dxa" w:w="4608"/>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Promoting legal aid initiatives and dignified public information regarding office practice areas.</w:t>
            </w:r>
          </w:p>
        </w:tc>
        <w:tc>
          <w:tcPr>
            <w:tcW w:type="dxa" w:w="4752"/>
            <w:shd w:val="clear" w:color="auto" w:fill="FFFFFF"/>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Flaunting lavish lifestyles, posting profane/misogynistic vitriol, or cyber-harassing opposing counsel/judges (Sec. 37).</w:t>
            </w:r>
          </w:p>
        </w:tc>
      </w:tr>
      <w:tr>
        <w:tc>
          <w:tcPr>
            <w:tcW w:type="dxa" w:w="4608"/>
            <w:shd w:val="clear" w:color="auto" w:fill="F0FDF4"/>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047857"/>
                <w:sz w:val="18"/>
              </w:rPr>
              <w:t>✓ Safeguarding digital files with encryption and secure client data storage (Sec. 41).</w:t>
            </w:r>
          </w:p>
        </w:tc>
        <w:tc>
          <w:tcPr>
            <w:tcW w:type="dxa" w:w="4752"/>
            <w:shd w:val="clear" w:color="auto" w:fill="FEF2F2"/>
            <w:tcMar>
              <w:top w:w="60" w:type="dxa"/>
              <w:bottom w:w="60" w:type="dxa"/>
              <w:left w:w="80" w:type="dxa"/>
              <w:right w:w="80" w:type="dxa"/>
            </w:tcMar>
            <w:tcBorders>
              <w:top w:val="single" w:sz="4" w:space="0" w:color="D0D7DE"/>
              <w:bottom w:val="single" w:sz="4" w:space="0" w:color="D0D7DE"/>
              <w:left w:val="single" w:sz="4" w:space="0" w:color="D0D7DE"/>
              <w:right w:val="single" w:sz="4" w:space="0" w:color="D0D7DE"/>
            </w:tcBorders>
          </w:tcPr>
          <w:p>
            <w:pPr>
              <w:spacing w:before="0" w:after="0" w:line="264" w:lineRule="auto"/>
            </w:pPr>
            <w:r>
              <w:rPr>
                <w:rFonts w:ascii="Calibri" w:hAnsi="Calibri"/>
                <w:color w:val="991B1B"/>
                <w:sz w:val="18"/>
              </w:rPr>
              <w:t>✗ Posting client case 'stories', court pleadings, or confidential evidence on TikTok, Facebook, or Instagram (Sec. 40).</w:t>
            </w:r>
          </w:p>
        </w:tc>
      </w:tr>
    </w:tbl>
    <w:p>
      <w:pPr>
        <w:spacing w:before="120" w:after="120"/>
      </w:pPr>
    </w:p>
    <w:p>
      <w:pPr>
        <w:keepNext/>
        <w:spacing w:before="280" w:after="80"/>
      </w:pPr>
      <w:r>
        <w:rPr>
          <w:rFonts w:ascii="Georgia" w:hAnsi="Georgia"/>
          <w:b/>
          <w:color w:val="B45309"/>
          <w:sz w:val="25"/>
        </w:rPr>
        <w:t>3. HIGH-YIELD BAR EXAM ANALYSIS CHECKLIST &amp; GOLDEN RULES</w:t>
      </w:r>
    </w:p>
    <w:p>
      <w:pPr>
        <w:spacing w:before="0" w:after="80" w:line="276" w:lineRule="auto"/>
      </w:pPr>
      <w:r>
        <w:rPr>
          <w:rFonts w:ascii="Calibri" w:hAnsi="Calibri"/>
          <w:b/>
          <w:color w:val="0F2C59"/>
          <w:sz w:val="21"/>
        </w:rPr>
        <w:t xml:space="preserve">1. Quantum of Proof in Bar Discipline: </w:t>
      </w:r>
      <w:r>
        <w:rPr>
          <w:rFonts w:ascii="Calibri" w:hAnsi="Calibri"/>
          <w:i w:val="0"/>
          <w:color w:val="282828"/>
          <w:sz w:val="21"/>
        </w:rPr>
        <w:t>Under CPRA Canon VI, Section 4, the standard of proof is now SUBSTANTIAL EVIDENCE (overruling the previous 'clearly preponderant evidence' formulation). In judicial cases under CJCA, substantial evidence is also the standard.</w:t>
      </w:r>
    </w:p>
    <w:p>
      <w:pPr>
        <w:spacing w:before="0" w:after="80" w:line="276" w:lineRule="auto"/>
      </w:pPr>
      <w:r>
        <w:rPr>
          <w:rFonts w:ascii="Calibri" w:hAnsi="Calibri"/>
          <w:b/>
          <w:color w:val="0F2C59"/>
          <w:sz w:val="21"/>
        </w:rPr>
        <w:t xml:space="preserve">2. Retroactive Effect of the CPRA: </w:t>
      </w:r>
      <w:r>
        <w:rPr>
          <w:rFonts w:ascii="Calibri" w:hAnsi="Calibri"/>
          <w:i w:val="0"/>
          <w:color w:val="282828"/>
          <w:sz w:val="21"/>
        </w:rPr>
        <w:t>The CPRA applies retroactively to all pending disciplinary cases, unless the Supreme Court finds that its application would not be feasible or would work injustice (Section 1, General Provisions).</w:t>
      </w:r>
    </w:p>
    <w:p>
      <w:pPr>
        <w:spacing w:before="0" w:after="80" w:line="276" w:lineRule="auto"/>
      </w:pPr>
      <w:r>
        <w:rPr>
          <w:rFonts w:ascii="Calibri" w:hAnsi="Calibri"/>
          <w:b/>
          <w:color w:val="0F2C59"/>
          <w:sz w:val="21"/>
        </w:rPr>
        <w:t xml:space="preserve">3. Privacy Settings on Social Media: </w:t>
      </w:r>
      <w:r>
        <w:rPr>
          <w:rFonts w:ascii="Calibri" w:hAnsi="Calibri"/>
          <w:i w:val="0"/>
          <w:color w:val="282828"/>
          <w:sz w:val="21"/>
        </w:rPr>
        <w:t>A lawyer cannot interpose privacy settings (e.g., 'Friends Only' or private messaging groups) as a valid defense against charges of online misconduct, defamation, or breach of confidentiality (Belo v. Guevarra, Re: Lorenzo Gadon).</w:t>
      </w:r>
    </w:p>
    <w:p>
      <w:pPr>
        <w:spacing w:before="0" w:after="80" w:line="276" w:lineRule="auto"/>
      </w:pPr>
      <w:r>
        <w:rPr>
          <w:rFonts w:ascii="Calibri" w:hAnsi="Calibri"/>
          <w:b/>
          <w:color w:val="0F2C59"/>
          <w:sz w:val="21"/>
        </w:rPr>
        <w:t xml:space="preserve">4. Strict Separation of Client Funds: </w:t>
      </w:r>
      <w:r>
        <w:rPr>
          <w:rFonts w:ascii="Calibri" w:hAnsi="Calibri"/>
          <w:i w:val="0"/>
          <w:color w:val="282828"/>
          <w:sz w:val="21"/>
        </w:rPr>
        <w:t>The moment a lawyer receives money from a client for a designated purpose (filing fees, bonds, settlement), it is held in sacred trust. Commingling with personal funds or unilateral application to unpaid attorney's fees constitutes Serious Misconduct warranting suspension or disbarment (Burbe v. Magulta).</w:t>
      </w:r>
    </w:p>
    <w:p>
      <w:pPr>
        <w:spacing w:before="0" w:after="80" w:line="276" w:lineRule="auto"/>
      </w:pPr>
      <w:r>
        <w:rPr>
          <w:rFonts w:ascii="Calibri" w:hAnsi="Calibri"/>
          <w:b/>
          <w:color w:val="0F2C59"/>
          <w:sz w:val="21"/>
        </w:rPr>
        <w:t xml:space="preserve">5. Conflict of Interest Test: </w:t>
      </w:r>
      <w:r>
        <w:rPr>
          <w:rFonts w:ascii="Calibri" w:hAnsi="Calibri"/>
          <w:i w:val="0"/>
          <w:color w:val="282828"/>
          <w:sz w:val="21"/>
        </w:rPr>
        <w:t>The test is whether representation of the new client will require the lawyer to perform an act that will adversely affect the existing/former client, or use confidential information acquired from them. Representation of conflicting interests requires WRITTEN INFORMED CONSENT from all affected parties (Hornilla v. Saldivar, Hilado v. David).</w:t>
      </w:r>
    </w:p>
    <w:p>
      <w:pPr>
        <w:spacing w:before="0" w:after="80" w:line="276" w:lineRule="auto"/>
      </w:pPr>
      <w:r>
        <w:rPr>
          <w:rFonts w:ascii="Calibri" w:hAnsi="Calibri"/>
          <w:b/>
          <w:color w:val="0F2C59"/>
          <w:sz w:val="21"/>
        </w:rPr>
        <w:t xml:space="preserve">6. Judicial Robe and Temperance: </w:t>
      </w:r>
      <w:r>
        <w:rPr>
          <w:rFonts w:ascii="Calibri" w:hAnsi="Calibri"/>
          <w:i w:val="0"/>
          <w:color w:val="282828"/>
          <w:sz w:val="21"/>
        </w:rPr>
        <w:t>The black judicial robe is a mandatory symbol of authority under Administrative Circular No. 25. A judge must personify cold neutrality, punctuality, and sobriety on and off the bench (Padilla v. Zantua, Vidal v. Dojillo).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